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Information Processing &amp; Management</w:t>
      </w:r>
      <w:r>
        <w:rPr>
          <w:rFonts w:ascii="Times New Roman" w:hAnsi="Times New Roman" w:eastAsia="SimSun"/>
          <w:sz w:val="22"/>
        </w:rPr>
        <w:t xml:space="preserve"> (CAS Q1 Top, IF 8.1) — alternative: </w:t>
      </w:r>
      <w:r>
        <w:rPr>
          <w:rFonts w:ascii="Times New Roman" w:hAnsi="Times New Roman" w:eastAsia="SimSun"/>
          <w:i/>
          <w:sz w:val="22"/>
        </w:rPr>
        <w:t>Information Sciences</w:t>
      </w:r>
    </w:p>
    <w:p>
      <w:r>
        <w:rPr>
          <w:rFonts w:ascii="Times New Roman" w:hAnsi="Times New Roman" w:eastAsia="SimSun"/>
          <w:sz w:val="22"/>
        </w:rPr>
        <w:t>&lt;!-- SUBMISSION ARTIFACT — entered in the journal submission system, not typeset into the manuscript.</w:t>
      </w:r>
    </w:p>
    <w:p>
      <w:r>
        <w:rPr>
          <w:rFonts w:ascii="Times New Roman" w:hAnsi="Times New Roman" w:eastAsia="SimSun"/>
          <w:sz w:val="22"/>
        </w:rPr>
        <w:t>Highlights (3-5 items, each &lt;= 85 characters):</w:t>
      </w:r>
    </w:p>
    <w:p>
      <w:pPr>
        <w:pStyle w:val="ListBullet"/>
        <w:spacing w:line="360" w:lineRule="auto"/>
      </w:pPr>
      <w:r>
        <w:rPr>
          <w:rFonts w:ascii="Times New Roman" w:hAnsi="Times New Roman" w:eastAsia="SimSun"/>
          <w:sz w:val="22"/>
        </w:rPr>
        <w:t>Aggregate fairness statistics are adversarially invariant by structure</w:t>
      </w:r>
    </w:p>
    <w:p>
      <w:pPr>
        <w:pStyle w:val="ListBullet"/>
        <w:spacing w:line="360" w:lineRule="auto"/>
      </w:pPr>
      <w:r>
        <w:rPr>
          <w:rFonts w:ascii="Times New Roman" w:hAnsi="Times New Roman" w:eastAsia="SimSun"/>
          <w:sz w:val="22"/>
        </w:rPr>
        <w:t>Three predictable modes defeat composition, reference and difference metrics</w:t>
      </w:r>
    </w:p>
    <w:p>
      <w:pPr>
        <w:pStyle w:val="ListBullet"/>
        <w:spacing w:line="360" w:lineRule="auto"/>
      </w:pPr>
      <w:r>
        <w:rPr>
          <w:rFonts w:ascii="Times New Roman" w:hAnsi="Times New Roman" w:eastAsia="SimSun"/>
          <w:sz w:val="22"/>
        </w:rPr>
        <w:t>Per-group shifts move 0.13 where the cross-group gap moves under 0.002</w:t>
      </w:r>
    </w:p>
    <w:p>
      <w:pPr>
        <w:pStyle w:val="ListBullet"/>
        <w:spacing w:line="360" w:lineRule="auto"/>
      </w:pPr>
      <w:r>
        <w:rPr>
          <w:rFonts w:ascii="Times New Roman" w:hAnsi="Times New Roman" w:eastAsia="SimSun"/>
          <w:sz w:val="22"/>
        </w:rPr>
        <w:t>Static defense advantage is largest on the encoders the field uses</w:t>
      </w:r>
    </w:p>
    <w:p>
      <w:pPr>
        <w:pStyle w:val="ListBullet"/>
        <w:spacing w:line="360" w:lineRule="auto"/>
      </w:pPr>
      <w:r>
        <w:rPr>
          <w:rFonts w:ascii="Times New Roman" w:hAnsi="Times New Roman" w:eastAsia="SimSun"/>
          <w:sz w:val="22"/>
        </w:rPr>
        <w:t>A six-point protocol makes retrieval robustness claims interpretable</w:t>
      </w:r>
    </w:p>
    <w:p>
      <w:r>
        <w:rPr>
          <w:rFonts w:ascii="Times New Roman" w:hAnsi="Times New Roman" w:eastAsia="SimSun"/>
          <w:sz w:val="22"/>
        </w:rPr>
        <w:t>--&gt;</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and the invariance is conditional on the back-end: §8.1 states the retrievers and threat models in which the composition statistic stays flat, which is what a reader needs in order to know whether a null aggregate is informative in their own setting.</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because that attack preserves the very composition those statistics summarise,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candidate metric has that form; whether it reads clean depends on whether the injection balances the terms it aggregates. That is a property of the back-end rather than of the metric, and §5.9 measures it across four of them.</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On the lexical retriever the composition statistic reads clean however much of the injected set is retrieved, while two of three candidate R2 statistics are flat across the clean and fully attacked conditions; §8.1 states the retrievers and attacks on which each part of this holds.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when adversarial fairness statistics are invariant.</w:t>
      </w:r>
      <w:r>
        <w:rPr>
          <w:rFonts w:ascii="Times New Roman" w:hAnsi="Times New Roman" w:eastAsia="SimSun"/>
          <w:sz w:val="22"/>
        </w:rPr>
        <w:t xml:space="preserve"> The form is universal; the invariance is conditional, and checkable in advance.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invariances an adversary can impose</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2165986"/>
            <wp:docPr id="1" name="Picture 1"/>
            <wp:cNvGraphicFramePr>
              <a:graphicFrameLocks noChangeAspect="1"/>
            </wp:cNvGraphicFramePr>
            <a:graphic>
              <a:graphicData uri="http://schemas.openxmlformats.org/drawingml/2006/picture">
                <pic:pic>
                  <pic:nvPicPr>
                    <pic:cNvPr id="0" name="fig_framework_py.png"/>
                    <pic:cNvPicPr/>
                  </pic:nvPicPr>
                  <pic:blipFill>
                    <a:blip r:embed="rId9"/>
                    <a:stretch>
                      <a:fillRect/>
                    </a:stretch>
                  </pic:blipFill>
                  <pic:spPr>
                    <a:xfrm>
                      <a:off x="0" y="0"/>
                      <a:ext cx="3168000" cy="2165986"/>
                    </a:xfrm>
                    <a:prstGeom prst="rect"/>
                  </pic:spPr>
                </pic:pic>
              </a:graphicData>
            </a:graphic>
          </wp:inline>
        </w:drawing>
      </w:r>
    </w:p>
    <w:p>
      <w:pPr>
        <w:jc w:val="center"/>
      </w:pPr>
      <w:r>
        <w:rPr>
          <w:i/>
          <w:sz w:val="17"/>
        </w:rPr>
        <w:t>Figure 1. 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1337805"/>
            <wp:docPr id="2" name="Picture 2"/>
            <wp:cNvGraphicFramePr>
              <a:graphicFrameLocks noChangeAspect="1"/>
            </wp:cNvGraphicFramePr>
            <a:graphic>
              <a:graphicData uri="http://schemas.openxmlformats.org/drawingml/2006/picture">
                <pic:pic>
                  <pic:nvPicPr>
                    <pic:cNvPr id="0" name="fig_failure_modes_py.png"/>
                    <pic:cNvPicPr/>
                  </pic:nvPicPr>
                  <pic:blipFill>
                    <a:blip r:embed="rId10"/>
                    <a:stretch>
                      <a:fillRect/>
                    </a:stretch>
                  </pic:blipFill>
                  <pic:spPr>
                    <a:xfrm>
                      <a:off x="0" y="0"/>
                      <a:ext cx="5040000" cy="1337805"/>
                    </a:xfrm>
                    <a:prstGeom prst="rect"/>
                  </pic:spPr>
                </pic:pic>
              </a:graphicData>
            </a:graphic>
          </wp:inline>
        </w:drawing>
      </w:r>
    </w:p>
    <w:p>
      <w:pPr>
        <w:jc w:val="center"/>
      </w:pPr>
      <w:r>
        <w:rPr>
          <w:i/>
          <w:sz w:val="17"/>
        </w:rPr>
        <w:t>Figure 2. 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Figure 3. 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Figure 4. 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6.</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7.</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Figure 5. 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7's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8.</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Figure 6. 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9.</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1884877"/>
            <wp:docPr id="7" name="Picture 7"/>
            <wp:cNvGraphicFramePr>
              <a:graphicFrameLocks noChangeAspect="1"/>
            </wp:cNvGraphicFramePr>
            <a:graphic>
              <a:graphicData uri="http://schemas.openxmlformats.org/drawingml/2006/picture">
                <pic:pic>
                  <pic:nvPicPr>
                    <pic:cNvPr id="0" name="fig_probe_commitment_py.png"/>
                    <pic:cNvPicPr/>
                  </pic:nvPicPr>
                  <pic:blipFill>
                    <a:blip r:embed="rId15"/>
                    <a:stretch>
                      <a:fillRect/>
                    </a:stretch>
                  </pic:blipFill>
                  <pic:spPr>
                    <a:xfrm>
                      <a:off x="0" y="0"/>
                      <a:ext cx="5040000" cy="1884877"/>
                    </a:xfrm>
                    <a:prstGeom prst="rect"/>
                  </pic:spPr>
                </pic:pic>
              </a:graphicData>
            </a:graphic>
          </wp:inline>
        </w:drawing>
      </w:r>
    </w:p>
    <w:p>
      <w:pPr>
        <w:jc w:val="center"/>
      </w:pPr>
      <w:r>
        <w:rPr>
          <w:i/>
          <w:sz w:val="17"/>
        </w:rPr>
        <w:t>Figure 7. 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10). The panels are conceptual and carry no measured values; the commitment values they illustrate are in Table 9.</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10.</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8)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hd w:val="clear" w:color="auto" w:fill="DCE6F1"/>
        <w:spacing w:before="200" w:after="80"/>
      </w:pPr>
      <w:r>
        <w:rPr>
          <w:rFonts w:ascii="Times New Roman" w:hAnsi="Times New Roman" w:eastAsia="Microsoft YaHei"/>
          <w:b/>
          <w:sz w:val="26"/>
        </w:rPr>
        <w:t>5.9 The composition statistic's validity is a property of the back-end</w:t>
      </w:r>
    </w:p>
    <w:p>
      <w:r>
        <w:rPr>
          <w:rFonts w:ascii="Times New Roman" w:hAnsi="Times New Roman" w:eastAsia="SimSun"/>
          <w:sz w:val="22"/>
        </w:rPr>
        <w:t>The results so far establish the invariance and its cause. This section establishes where it</w:t>
      </w:r>
    </w:p>
    <w:p>
      <w:r>
        <w:rPr>
          <w:rFonts w:ascii="Times New Roman" w:hAnsi="Times New Roman" w:eastAsia="SimSun"/>
          <w:sz w:val="22"/>
        </w:rPr>
        <w:t>holds, which turns out to vary by retrieval back-end in a way that is measurable and that a</w:t>
      </w:r>
    </w:p>
    <w:p>
      <w:r>
        <w:rPr>
          <w:rFonts w:ascii="Times New Roman" w:hAnsi="Times New Roman" w:eastAsia="SimSun"/>
          <w:sz w:val="22"/>
        </w:rPr>
        <w:t>practitioner can check before trusting a null aggregate.</w:t>
      </w:r>
    </w:p>
    <w:p>
      <w:r>
        <w:rPr>
          <w:rFonts w:ascii="Times New Roman" w:hAnsi="Times New Roman" w:eastAsia="SimSun"/>
          <w:b/>
          <w:sz w:val="22"/>
        </w:rPr>
        <w:t>Design.</w:t>
      </w:r>
      <w:r>
        <w:rPr>
          <w:rFonts w:ascii="Times New Roman" w:hAnsi="Times New Roman" w:eastAsia="SimSun"/>
          <w:sz w:val="22"/>
        </w:rPr>
        <w:t xml:space="preserve"> The same balanced pairwise injection is applied to four retrieval back-ends under</w:t>
      </w:r>
    </w:p>
    <w:p>
      <w:r>
        <w:rPr>
          <w:rFonts w:ascii="Times New Roman" w:hAnsi="Times New Roman" w:eastAsia="SimSun"/>
          <w:sz w:val="22"/>
        </w:rPr>
        <w:t>identical conditions, and the composition statistic is read as a function of how much of the</w:t>
      </w:r>
    </w:p>
    <w:p>
      <w:r>
        <w:rPr>
          <w:rFonts w:ascii="Times New Roman" w:hAnsi="Times New Roman" w:eastAsia="SimSun"/>
          <w:sz w:val="22"/>
        </w:rPr>
        <w:t>retrieved set is adversarial. If composition drifts nowhere, the invariance is a property of the</w:t>
      </w:r>
    </w:p>
    <w:p>
      <w:r>
        <w:rPr>
          <w:rFonts w:ascii="Times New Roman" w:hAnsi="Times New Roman" w:eastAsia="SimSun"/>
          <w:sz w:val="22"/>
        </w:rPr>
        <w:t>statistic. If it drifts on some back-ends and not others, the invariance is a property of the</w:t>
      </w:r>
    </w:p>
    <w:p>
      <w:r>
        <w:rPr>
          <w:rFonts w:ascii="Times New Roman" w:hAnsi="Times New Roman" w:eastAsia="SimSun"/>
          <w:sz w:val="22"/>
        </w:rPr>
        <w:t>back-end, and that distinction decides whether a clean aggregate means anything.</w:t>
      </w:r>
    </w:p>
    <w:p>
      <w:r>
        <w:rPr>
          <w:rFonts w:ascii="Times New Roman" w:hAnsi="Times New Roman" w:eastAsia="SimSun"/>
          <w:b/>
          <w:sz w:val="22"/>
        </w:rPr>
        <w:t>Result.</w:t>
      </w:r>
      <w:r>
        <w:rPr>
          <w:rFonts w:ascii="Times New Roman" w:hAnsi="Times New Roman" w:eastAsia="SimSun"/>
          <w:sz w:val="22"/>
        </w:rPr>
        <w:t xml:space="preserve"> Undefended composition drift, by relocated fraction: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b/>
                <w:sz w:val="19"/>
              </w:rPr>
              <w:t>0.0000 at every partial level</w:t>
            </w:r>
            <w:r>
              <w:rPr>
                <w:rFonts w:ascii="Times New Roman" w:hAnsi="Times New Roman" w:eastAsia="SimSun"/>
                <w:sz w:val="19"/>
              </w:rPr>
              <w:t>, 0.2400 only at full relocation</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 xml:space="preserve">0.0000 at the lowest level, rising to </w:t>
            </w:r>
            <w:r>
              <w:rPr>
                <w:rFonts w:ascii="Times New Roman" w:hAnsi="Times New Roman" w:eastAsia="SimSun"/>
                <w:b/>
                <w:sz w:val="19"/>
              </w:rPr>
              <w:t>0.1750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low relocation, rising to </w:t>
            </w:r>
            <w:r>
              <w:rPr>
                <w:rFonts w:ascii="Times New Roman" w:hAnsi="Times New Roman" w:eastAsia="SimSun"/>
                <w:b/>
                <w:sz w:val="19"/>
              </w:rPr>
              <w:t>0.2280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zero, 0.2000--0.4000 through the middle, </w:t>
            </w:r>
            <w:r>
              <w:rPr>
                <w:rFonts w:ascii="Times New Roman" w:hAnsi="Times New Roman" w:eastAsia="SimSun"/>
                <w:b/>
                <w:sz w:val="19"/>
              </w:rPr>
              <w:t>0.2250</w:t>
            </w:r>
            <w:r>
              <w:rPr>
                <w:rFonts w:ascii="Times New Roman" w:hAnsi="Times New Roman" w:eastAsia="SimSun"/>
                <w:sz w:val="19"/>
              </w:rPr>
              <w:t xml:space="preserve">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balanced however much of it is</w:t>
      </w:r>
    </w:p>
    <w:p>
      <w:r>
        <w:rPr>
          <w:rFonts w:ascii="Times New Roman" w:hAnsi="Times New Roman" w:eastAsia="SimSun"/>
          <w:sz w:val="22"/>
        </w:rPr>
        <w:t>retrieved, so the composition statistic reads clean while the evidence moves: the regime in which</w:t>
      </w:r>
    </w:p>
    <w:p>
      <w:r>
        <w:rPr>
          <w:rFonts w:ascii="Times New Roman" w:hAnsi="Times New Roman" w:eastAsia="SimSun"/>
          <w:sz w:val="22"/>
        </w:rPr>
        <w:t>the aggregate is uninformative. On the other three back-ends the retrieved set relocates</w:t>
      </w:r>
    </w:p>
    <w:p>
      <w:r>
        <w:rPr>
          <w:rFonts w:ascii="Times New Roman" w:hAnsi="Times New Roman" w:eastAsia="SimSun"/>
          <w:sz w:val="22"/>
        </w:rPr>
        <w:t>composition as well and the statistic moves with it, so a clean reading there would carry</w:t>
      </w:r>
    </w:p>
    <w:p>
      <w:r>
        <w:rPr>
          <w:rFonts w:ascii="Times New Roman" w:hAnsi="Times New Roman" w:eastAsia="SimSun"/>
          <w:sz w:val="22"/>
        </w:rPr>
        <w:t>information.</w:t>
      </w:r>
    </w:p>
    <w:p>
      <w:r>
        <w:rPr>
          <w:rFonts w:ascii="Times New Roman" w:hAnsi="Times New Roman" w:eastAsia="SimSun"/>
          <w:b/>
          <w:sz w:val="22"/>
        </w:rPr>
        <w:t>The dependence is not a monotone function of the relocated fraction.</w:t>
      </w:r>
      <w:r>
        <w:rPr>
          <w:rFonts w:ascii="Times New Roman" w:hAnsi="Times New Roman" w:eastAsia="SimSun"/>
          <w:sz w:val="22"/>
        </w:rPr>
        <w:t xml:space="preserve"> BM25 reads 0.0000 at a</w:t>
      </w:r>
    </w:p>
    <w:p>
      <w:r>
        <w:rPr>
          <w:rFonts w:ascii="Times New Roman" w:hAnsi="Times New Roman" w:eastAsia="SimSun"/>
          <w:sz w:val="22"/>
        </w:rPr>
        <w:t>relocated fraction of 0.8 while reading 0.2000 at 0.6, and SPLADE peaks in the middle</w:t>
      </w:r>
    </w:p>
    <w:p>
      <w:r>
        <w:rPr>
          <w:rFonts w:ascii="Times New Roman" w:hAnsi="Times New Roman" w:eastAsia="SimSun"/>
          <w:sz w:val="22"/>
        </w:rPr>
        <w:t>(0.4000 at 0.6) and falls back (0.2250 at 1.0). The relation between how much adversarial</w:t>
      </w:r>
    </w:p>
    <w:p>
      <w:r>
        <w:rPr>
          <w:rFonts w:ascii="Times New Roman" w:hAnsi="Times New Roman" w:eastAsia="SimSun"/>
          <w:sz w:val="22"/>
        </w:rPr>
        <w:t>evidence is present and how much composition moves therefore cannot be summarised by a single</w:t>
      </w:r>
    </w:p>
    <w:p>
      <w:r>
        <w:rPr>
          <w:rFonts w:ascii="Times New Roman" w:hAnsi="Times New Roman" w:eastAsia="SimSun"/>
          <w:sz w:val="22"/>
        </w:rPr>
        <w:t>slope, which is the practical reason to measure the regime rather than extrapolate to it.</w:t>
      </w:r>
    </w:p>
    <w:p>
      <w:r>
        <w:rPr>
          <w:rFonts w:ascii="Times New Roman" w:hAnsi="Times New Roman" w:eastAsia="SimSun"/>
          <w:b/>
          <w:sz w:val="22"/>
        </w:rPr>
        <w:t>Why this is a result and not a caveat.</w:t>
      </w:r>
      <w:r>
        <w:rPr>
          <w:rFonts w:ascii="Times New Roman" w:hAnsi="Times New Roman" w:eastAsia="SimSun"/>
          <w:sz w:val="22"/>
        </w:rPr>
        <w:t xml:space="preserve"> The balanced pairwise construction is a sufficient</w:t>
      </w:r>
    </w:p>
    <w:p>
      <w:r>
        <w:rPr>
          <w:rFonts w:ascii="Times New Roman" w:hAnsi="Times New Roman" w:eastAsia="SimSun"/>
          <w:sz w:val="22"/>
        </w:rPr>
        <w:t>condition for the invariance, not a universal one. Stated that way the finding is actionable: the</w:t>
      </w:r>
    </w:p>
    <w:p>
      <w:r>
        <w:rPr>
          <w:rFonts w:ascii="Times New Roman" w:hAnsi="Times New Roman" w:eastAsia="SimSun"/>
          <w:sz w:val="22"/>
        </w:rPr>
        <w:t>three-question test of §3.4 predicts whether a candidate statistic is invariant *for a stated</w:t>
      </w:r>
    </w:p>
    <w:p>
      <w:r>
        <w:rPr>
          <w:rFonts w:ascii="Times New Roman" w:hAnsi="Times New Roman" w:eastAsia="SimSun"/>
          <w:sz w:val="22"/>
        </w:rPr>
        <w:t>back-end and threat model*, and §5.9 supplies the measurement that tells a practitioner which</w:t>
      </w:r>
    </w:p>
    <w:p>
      <w:r>
        <w:rPr>
          <w:rFonts w:ascii="Times New Roman" w:hAnsi="Times New Roman" w:eastAsia="SimSun"/>
          <w:sz w:val="22"/>
        </w:rPr>
        <w:t>regime they are in. A paper reporting a null aggregate cannot interpret it without this, and the</w:t>
      </w:r>
    </w:p>
    <w:p>
      <w:r>
        <w:rPr>
          <w:rFonts w:ascii="Times New Roman" w:hAnsi="Times New Roman" w:eastAsia="SimSun"/>
          <w:sz w:val="22"/>
        </w:rPr>
        <w:t>table is the check.</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hd w:val="clear" w:color="auto" w:fill="DCE6F1"/>
        <w:spacing w:before="200" w:after="80"/>
      </w:pPr>
      <w:r>
        <w:rPr>
          <w:rFonts w:ascii="Times New Roman" w:hAnsi="Times New Roman" w:eastAsia="Microsoft YaHei"/>
          <w:b/>
          <w:sz w:val="26"/>
        </w:rPr>
        <w:t>8.1 When the aggregate is informative</w:t>
      </w:r>
    </w:p>
    <w:p>
      <w:r>
        <w:rPr>
          <w:rFonts w:ascii="Times New Roman" w:hAnsi="Times New Roman" w:eastAsia="SimSun"/>
          <w:sz w:val="22"/>
        </w:rPr>
        <w:t>The aggregate statistics this paper examines are informative only where the</w:t>
      </w:r>
    </w:p>
    <w:p>
      <w:r>
        <w:rPr>
          <w:rFonts w:ascii="Times New Roman" w:hAnsi="Times New Roman" w:eastAsia="SimSun"/>
          <w:sz w:val="22"/>
        </w:rPr>
        <w:t>composition they summarise is itself informative, and §5.9 measured which</w:t>
      </w:r>
    </w:p>
    <w:p>
      <w:r>
        <w:rPr>
          <w:rFonts w:ascii="Times New Roman" w:hAnsi="Times New Roman" w:eastAsia="SimSun"/>
          <w:sz w:val="22"/>
        </w:rPr>
        <w:t>back-ends that is. The conditions are restated here in the form a practitioner</w:t>
      </w:r>
    </w:p>
    <w:p>
      <w:r>
        <w:rPr>
          <w:rFonts w:ascii="Times New Roman" w:hAnsi="Times New Roman" w:eastAsia="SimSun"/>
          <w:sz w:val="22"/>
        </w:rPr>
        <w:t>needs in order to interpret a null result.</w:t>
      </w:r>
    </w:p>
    <w:p>
      <w:r>
        <w:rPr>
          <w:rFonts w:ascii="Times New Roman" w:hAnsi="Times New Roman" w:eastAsia="SimSun"/>
          <w:b/>
          <w:sz w:val="22"/>
        </w:rPr>
        <w:t>The composition statistic is flat on the lexical retriever, and moves elsewhere.</w:t>
      </w:r>
      <w:r>
        <w:rPr>
          <w:rFonts w:ascii="Times New Roman" w:hAnsi="Times New Roman" w:eastAsia="SimSun"/>
          <w:sz w:val="22"/>
        </w:rPr>
        <w:t xml:space="preserve"> Undefended</w:t>
      </w:r>
    </w:p>
    <w:p>
      <w:r>
        <w:rPr>
          <w:rFonts w:ascii="Times New Roman" w:hAnsi="Times New Roman" w:eastAsia="SimSun"/>
          <w:sz w:val="22"/>
        </w:rPr>
        <w:t>composition drift on the controlled corpus, at the relocation levels where the label is partial: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 at partial relocation</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every partial level</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the lowest level, rising to 0.1750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low relocation, rising to 0.2280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zero relocation, 0.2000-0.4000 through the middle, 0.2250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so however much of it is</w:t>
      </w:r>
    </w:p>
    <w:p>
      <w:r>
        <w:rPr>
          <w:rFonts w:ascii="Times New Roman" w:hAnsi="Times New Roman" w:eastAsia="SimSun"/>
          <w:sz w:val="22"/>
        </w:rPr>
        <w:t>retrieved, so the aggregate reads clean while the evidence moves — the regime the framework</w:t>
      </w:r>
    </w:p>
    <w:p>
      <w:r>
        <w:rPr>
          <w:rFonts w:ascii="Times New Roman" w:hAnsi="Times New Roman" w:eastAsia="SimSun"/>
          <w:sz w:val="22"/>
        </w:rPr>
        <w:t>describes. On the other back-ends the retrieved set relocates composition as well, and the</w:t>
      </w:r>
    </w:p>
    <w:p>
      <w:r>
        <w:rPr>
          <w:rFonts w:ascii="Times New Roman" w:hAnsi="Times New Roman" w:eastAsia="SimSun"/>
          <w:sz w:val="22"/>
        </w:rPr>
        <w:t>aggregate moves with it, reaching 0.1750 on dense and 0.2 or above on the projected</w:t>
      </w:r>
    </w:p>
    <w:p>
      <w:r>
        <w:rPr>
          <w:rFonts w:ascii="Times New Roman" w:hAnsi="Times New Roman" w:eastAsia="SimSun"/>
          <w:sz w:val="22"/>
        </w:rPr>
        <w:t>lexical back-ends. The dependence is not strictly monotone in the relocated fraction,</w:t>
      </w:r>
    </w:p>
    <w:p>
      <w:r>
        <w:rPr>
          <w:rFonts w:ascii="Times New Roman" w:hAnsi="Times New Roman" w:eastAsia="SimSun"/>
          <w:sz w:val="22"/>
        </w:rPr>
        <w:t>which is itself a reason to measure the regime rather than assume it. The balanced pairwise construction is therefore a sufficient condition</w:t>
      </w:r>
    </w:p>
    <w:p>
      <w:r>
        <w:rPr>
          <w:rFonts w:ascii="Times New Roman" w:hAnsi="Times New Roman" w:eastAsia="SimSun"/>
          <w:sz w:val="22"/>
        </w:rPr>
        <w:t>for the blindness and not a universal one, and the practical reading is: check which regime your</w:t>
      </w:r>
    </w:p>
    <w:p>
      <w:r>
        <w:rPr>
          <w:rFonts w:ascii="Times New Roman" w:hAnsi="Times New Roman" w:eastAsia="SimSun"/>
          <w:sz w:val="22"/>
        </w:rPr>
        <w:t>retriever is in before treating a null aggregate as evidence of robustness.</w:t>
      </w:r>
    </w:p>
    <w:p>
      <w:r>
        <w:rPr>
          <w:rFonts w:ascii="Times New Roman" w:hAnsi="Times New Roman" w:eastAsia="SimSun"/>
          <w:b/>
          <w:sz w:val="22"/>
        </w:rPr>
        <w:t>Subspace projection removes the passage text from the ranking decision.</w:t>
      </w:r>
      <w:r>
        <w:rPr>
          <w:rFonts w:ascii="Times New Roman" w:hAnsi="Times New Roman" w:eastAsia="SimSun"/>
          <w:sz w:val="22"/>
        </w:rPr>
        <w:t xml:space="preserve"> Under</w:t>
      </w:r>
    </w:p>
    <w:p>
      <w:r>
        <w:rPr>
          <w:rFonts w:ascii="Consolas" w:hAnsi="Consolas" w:eastAsia="Consolas"/>
          <w:sz w:val="21"/>
        </w:rPr>
        <w:t>template_plus_projection</w:t>
      </w:r>
      <w:r>
        <w:rPr>
          <w:rFonts w:ascii="Times New Roman" w:hAnsi="Times New Roman" w:eastAsia="SimSun"/>
          <w:sz w:val="22"/>
        </w:rPr>
        <w:t xml:space="preserve"> the relocated fraction was 1.000 for all 192 queries at every</w:t>
      </w:r>
    </w:p>
    <w:p>
      <w:r>
        <w:rPr>
          <w:rFonts w:ascii="Times New Roman" w:hAnsi="Times New Roman" w:eastAsia="SimSun"/>
          <w:sz w:val="22"/>
        </w:rPr>
        <w:t>alignment setting we tried. Projection sets the ranking from document and query vectors, so the</w:t>
      </w:r>
    </w:p>
    <w:p>
      <w:r>
        <w:rPr>
          <w:rFonts w:ascii="Times New Roman" w:hAnsi="Times New Roman" w:eastAsia="SimSun"/>
          <w:sz w:val="22"/>
        </w:rPr>
        <w:t>composition the composition statistics observe is fixed by the projection rather than by the</w:t>
      </w:r>
    </w:p>
    <w:p>
      <w:r>
        <w:rPr>
          <w:rFonts w:ascii="Times New Roman" w:hAnsi="Times New Roman" w:eastAsia="SimSun"/>
          <w:sz w:val="22"/>
        </w:rPr>
        <w:t>passages. This bounds what any text-side defence or perturbation can achieve against that</w:t>
      </w:r>
    </w:p>
    <w:p>
      <w:r>
        <w:rPr>
          <w:rFonts w:ascii="Times New Roman" w:hAnsi="Times New Roman" w:eastAsia="SimSun"/>
          <w:sz w:val="22"/>
        </w:rPr>
        <w:t>back-end, and it is the mechanism behind the saturation reported in §5.8.</w:t>
      </w:r>
    </w:p>
    <w:p>
      <w:r>
        <w:rPr>
          <w:rFonts w:ascii="Times New Roman" w:hAnsi="Times New Roman" w:eastAsia="SimSun"/>
          <w:b/>
          <w:sz w:val="22"/>
        </w:rPr>
        <w:t>The per-group statistic is a batch average, and its power is bounded by batch count.</w:t>
      </w:r>
      <w:r>
        <w:rPr>
          <w:rFonts w:ascii="Times New Roman" w:hAnsi="Times New Roman" w:eastAsia="SimSun"/>
          <w:sz w:val="22"/>
        </w:rPr>
        <w:t xml:space="preserve"> Every</w:t>
      </w:r>
    </w:p>
    <w:p>
      <w:r>
        <w:rPr>
          <w:rFonts w:ascii="Times New Roman" w:hAnsi="Times New Roman" w:eastAsia="SimSun"/>
          <w:sz w:val="22"/>
        </w:rPr>
        <w:t>group-level rate in this paper averages binary stance decisions over the queries in a stratum. A</w:t>
      </w:r>
    </w:p>
    <w:p>
      <w:r>
        <w:rPr>
          <w:rFonts w:ascii="Times New Roman" w:hAnsi="Times New Roman" w:eastAsia="SimSun"/>
          <w:sz w:val="22"/>
        </w:rPr>
        <w:t>single query contributes one draw, so the diagnostic is not a per-query test and should not be</w:t>
      </w:r>
    </w:p>
    <w:p>
      <w:r>
        <w:rPr>
          <w:rFonts w:ascii="Times New Roman" w:hAnsi="Times New Roman" w:eastAsia="SimSun"/>
          <w:sz w:val="22"/>
        </w:rPr>
        <w:t>evaluated as one; we report it per stratum for this reason. The consequence is a power bound that</w:t>
      </w:r>
    </w:p>
    <w:p>
      <w:r>
        <w:rPr>
          <w:rFonts w:ascii="Times New Roman" w:hAnsi="Times New Roman" w:eastAsia="SimSun"/>
          <w:sz w:val="22"/>
        </w:rPr>
        <w:t>does not yield to more queries of the same kind: on a corpus whose queries are instantiations of a</w:t>
      </w:r>
    </w:p>
    <w:p>
      <w:r>
        <w:rPr>
          <w:rFonts w:ascii="Times New Roman" w:hAnsi="Times New Roman" w:eastAsia="SimSun"/>
          <w:sz w:val="22"/>
        </w:rPr>
        <w:t>small template set, raising the query count repeats the same texts, and we measured this rather</w:t>
      </w:r>
    </w:p>
    <w:p>
      <w:r>
        <w:rPr>
          <w:rFonts w:ascii="Times New Roman" w:hAnsi="Times New Roman" w:eastAsia="SimSun"/>
          <w:sz w:val="22"/>
        </w:rPr>
        <w:t>than assuming it — a regime that held 36 of 192 queries held 0 of 1,536 once the count was raised.</w:t>
      </w:r>
    </w:p>
    <w:p>
      <w:r>
        <w:rPr>
          <w:rFonts w:ascii="Times New Roman" w:hAnsi="Times New Roman" w:eastAsia="SimSun"/>
          <w:sz w:val="22"/>
        </w:rPr>
        <w:t>Obtaining more power requires more independent strata or repeated audits over time, not a larger</w:t>
      </w:r>
    </w:p>
    <w:p>
      <w:r>
        <w:rPr>
          <w:rFonts w:ascii="Times New Roman" w:hAnsi="Times New Roman" w:eastAsia="SimSun"/>
          <w:sz w:val="22"/>
        </w:rPr>
        <w:t>sample of the same queries.</w:t>
      </w:r>
    </w:p>
    <w:p>
      <w:r>
        <w:rPr>
          <w:rFonts w:ascii="Times New Roman" w:hAnsi="Times New Roman" w:eastAsia="SimSun"/>
          <w:b/>
          <w:sz w:val="22"/>
        </w:rPr>
        <w:t>What this means for reporting.</w:t>
      </w:r>
      <w:r>
        <w:rPr>
          <w:rFonts w:ascii="Times New Roman" w:hAnsi="Times New Roman" w:eastAsia="SimSun"/>
          <w:sz w:val="22"/>
        </w:rPr>
        <w:t xml:space="preserve"> The framework's three questions (§3.4) and the protocol above</w:t>
      </w:r>
    </w:p>
    <w:p>
      <w:r>
        <w:rPr>
          <w:rFonts w:ascii="Times New Roman" w:hAnsi="Times New Roman" w:eastAsia="SimSun"/>
          <w:sz w:val="22"/>
        </w:rPr>
        <w:t>identify blindness in advance, but they identify it for a stated retriever and threat model. A</w:t>
      </w:r>
    </w:p>
    <w:p>
      <w:r>
        <w:rPr>
          <w:rFonts w:ascii="Times New Roman" w:hAnsi="Times New Roman" w:eastAsia="SimSun"/>
          <w:sz w:val="22"/>
        </w:rPr>
        <w:t>robustness claim should say which of these regimes it was evaluated in, because a null result in</w:t>
      </w:r>
    </w:p>
    <w:p>
      <w:r>
        <w:rPr>
          <w:rFonts w:ascii="Times New Roman" w:hAnsi="Times New Roman" w:eastAsia="SimSun"/>
          <w:sz w:val="22"/>
        </w:rPr>
        <w:t>the first regime is informative and a null result in the others is not.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8;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