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w:t>
      </w:r>
    </w:p>
    <w:p>
      <w:r>
        <w:rPr>
          <w:rFonts w:ascii="Times New Roman" w:hAnsi="Times New Roman" w:eastAsia="SimSun"/>
          <w:sz w:val="22"/>
        </w:rPr>
        <w:t xml:space="preserve">Finding (3)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w:t>
      </w:r>
    </w:p>
    <w:p>
      <w:r>
        <w:rPr>
          <w:rFonts w:ascii="Times New Roman" w:hAnsi="Times New Roman" w:eastAsia="SimSun"/>
          <w:sz w:val="22"/>
        </w:rPr>
        <w:t xml:space="preserve">We then replicate on </w:t>
      </w:r>
      <w:r>
        <w:rPr>
          <w:rFonts w:ascii="Times New Roman" w:hAnsi="Times New Roman" w:eastAsia="SimSun"/>
          <w:b/>
          <w:sz w:val="22"/>
        </w:rPr>
        <w:t>BBQ</w:t>
      </w:r>
      <w:r>
        <w:rPr>
          <w:rFonts w:ascii="Times New Roman" w:hAnsi="Times New Roman" w:eastAsia="SimSun"/>
          <w:sz w:val="22"/>
        </w:rPr>
        <w:t xml:space="preserve">, a naturally written bias benchmark, using BBQ's own stereotype annotations to derive stance labels, and report results that are </w:t>
      </w:r>
      <w:r>
        <w:rPr>
          <w:rFonts w:ascii="Times New Roman" w:hAnsi="Times New Roman" w:eastAsia="SimSun"/>
          <w:b/>
          <w:sz w:val="22"/>
        </w:rPr>
        <w:t>partly unfavourable to our own earlier conclusions</w:t>
      </w:r>
      <w:r>
        <w:rPr>
          <w:rFonts w:ascii="Times New Roman" w:hAnsi="Times New Roman" w:eastAsia="SimSun"/>
          <w:sz w:val="22"/>
        </w:rPr>
        <w:t xml:space="preserve">. Two findings change: the text-only template attack, which reached 75% inclusion on the controlled corpus against BM25, is entirely ineffective on natural data (0%), so we withdraw the claim that text-level injection suffices; and the R2-constraining defense, which was inert against the projection attack on the controlled corpus, does reduce adversarial inclusion on natural data (0.764 → 0.660) while improving the utility proxy. Two findings survive on both corpora, and they are the ones we retain: </w:t>
      </w:r>
      <w:r>
        <w:rPr>
          <w:rFonts w:ascii="Times New Roman" w:hAnsi="Times New Roman" w:eastAsia="SimSun"/>
          <w:b/>
          <w:sz w:val="22"/>
        </w:rPr>
        <w:t>constraints on group composition are inert against this attack</w:t>
      </w:r>
      <w:r>
        <w:rPr>
          <w:rFonts w:ascii="Times New Roman" w:hAnsi="Times New Roman" w:eastAsia="SimSun"/>
          <w:sz w:val="22"/>
        </w:rPr>
        <w:t xml:space="preserve"> — attaining exactly the adversarial-inclusion rate of no defense, at every value of their budget parameter — and </w:t>
      </w:r>
      <w:r>
        <w:rPr>
          <w:rFonts w:ascii="Times New Roman" w:hAnsi="Times New Roman" w:eastAsia="SimSun"/>
          <w:b/>
          <w:sz w:val="22"/>
        </w:rPr>
        <w:t>the within-group stance dimension is the only one along which any metric moves in the desired direction</w:t>
      </w:r>
      <w:r>
        <w:rPr>
          <w:rFonts w:ascii="Times New Roman" w:hAnsi="Times New Roman" w:eastAsia="SimSun"/>
          <w:sz w:val="22"/>
        </w:rPr>
        <w:t>.</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[FILL: replace with or replicate on TREC 2022 Fair Ranking Track [17] and BBQ [15] corpora; see §8.]</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and a dense embedder. [FILL: add GTE-base (matching [5]) and Contriever/SPLADE (matching [8]) to enable direct comparison.]</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The controlled suite completes in ~25 s and the BBQ replication in ~180 s, both on CPU with no GPU. Remaining </w:t>
      </w:r>
      <w:r>
        <w:rPr>
          <w:rFonts w:ascii="Consolas" w:hAnsi="Consolas" w:eastAsia="Consolas"/>
          <w:sz w:val="20"/>
        </w:rPr>
        <w:t>[FILL]</w:t>
      </w:r>
      <w:r>
        <w:rPr>
          <w:rFonts w:ascii="Times New Roman" w:hAnsi="Times New Roman" w:eastAsia="SimSun"/>
          <w:sz w:val="21"/>
        </w:rPr>
        <w:t xml:space="preserve"> placeholders concern the additional retrieval back-ends and the generation-stage evaluation described in §8.</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 3 is not a tuning failure. It follows from what a distributional constraint </w:t>
      </w:r>
      <w:r>
        <w:rPr>
          <w:rFonts w:ascii="Times New Roman" w:hAnsi="Times New Roman" w:eastAsia="SimSun"/>
          <w:i/>
          <w:sz w:val="22"/>
        </w:rPr>
        <w:t>is</w:t>
      </w:r>
      <w:r>
        <w:rPr>
          <w:rFonts w:ascii="Times New Roman" w:hAnsi="Times New Roman" w:eastAsia="SimSun"/>
          <w:sz w:val="22"/>
        </w:rPr>
        <w:t>.</w:t>
      </w:r>
    </w:p>
    <w:p>
      <w:r>
        <w:rPr>
          <w:rFonts w:ascii="Times New Roman" w:hAnsi="Times New Roman" w:eastAsia="SimSun"/>
          <w:sz w:val="22"/>
        </w:rPr>
        <w:t>Let a defense constrain $\mathcal{D}_q$ to a region $\mathcal{R} \subseteq 2^{\mathcal{C}}$ of admissible retrieved sets, defined by conditions on aggregate statistics of $\mathcal{D}_q$ (group composition, stance composition, exposure). Let $\mathcal{A}$ be the set of passages the attacker controls.</w:t>
      </w:r>
    </w:p>
    <w:p>
      <w:r>
        <w:rPr>
          <w:rFonts w:ascii="Times New Roman" w:hAnsi="Times New Roman" w:eastAsia="SimSun"/>
          <w:b/>
          <w:sz w:val="22"/>
        </w:rPr>
        <w:t>Proposition 1.</w:t>
      </w:r>
      <w:r>
        <w:rPr>
          <w:rFonts w:ascii="Times New Roman" w:hAnsi="Times New Roman" w:eastAsia="SimSun"/>
          <w:sz w:val="22"/>
        </w:rPr>
        <w:t xml:space="preserve"> If there exists an admissible set $\mathcal{D} \in \mathcal{R}$ with $\mathcal{D} \cap \mathcal{A} \neq \emptyset$, then any defense that only enforces $\mathcal{D} \in \mathcal{R}$ admits adversarial passages.</w:t>
      </w:r>
    </w:p>
    <w:p>
      <w:r>
        <w:rPr>
          <w:rFonts w:ascii="Times New Roman" w:hAnsi="Times New Roman" w:eastAsia="SimSun"/>
          <w:i/>
          <w:sz w:val="22"/>
        </w:rPr>
        <w:t>Proof.</w:t>
      </w:r>
      <w:r>
        <w:rPr>
          <w:rFonts w:ascii="Times New Roman" w:hAnsi="Times New Roman" w:eastAsia="SimSun"/>
          <w:sz w:val="22"/>
        </w:rPr>
        <w:t xml:space="preserve"> Immediate: the defense's acceptance test is membership in $\mathcal{R}$, which the set satisfies. $\square$</w:t>
      </w:r>
    </w:p>
    <w:p>
      <w:r>
        <w:rPr>
          <w:rFonts w:ascii="Times New Roman" w:hAnsi="Times New Roman" w:eastAsia="SimSun"/>
          <w:sz w:val="22"/>
        </w:rPr>
        <w:t xml:space="preserve">The force of the proposition is that $\mathcal{R}$ is constructed from </w:t>
      </w:r>
      <w:r>
        <w:rPr>
          <w:rFonts w:ascii="Times New Roman" w:hAnsi="Times New Roman" w:eastAsia="SimSun"/>
          <w:i/>
          <w:sz w:val="22"/>
        </w:rPr>
        <w:t>clean</w:t>
      </w:r>
      <w:r>
        <w:rPr>
          <w:rFonts w:ascii="Times New Roman" w:hAnsi="Times New Roman" w:eastAsia="SimSun"/>
          <w:sz w:val="22"/>
        </w:rPr>
        <w:t xml:space="preserve"> statistics — the reference profiles $P^{</w:t>
      </w:r>
      <w:r>
        <w:rPr>
          <w:rFonts w:ascii="Times New Roman" w:hAnsi="Times New Roman" w:eastAsia="SimSun"/>
          <w:i/>
          <w:sz w:val="22"/>
        </w:rPr>
        <w:t>}$. An attacker who shapes injected passages to match those statistics generates sets in $\mathcal{R}$ at will. Pairwise injection is the canonical construction: by drawing from the legitimate template inventory and balancing the two groups, the attacker produces a set whose group composition is exactly $P^{</w:t>
      </w:r>
      <w:r>
        <w:rPr>
          <w:rFonts w:ascii="Times New Roman" w:hAnsi="Times New Roman" w:eastAsia="SimSun"/>
          <w:sz w:val="22"/>
        </w:rPr>
        <w:t>}_{\text{grp}}$, and by controlling stance within each group the attacker can place the set's stance composition anywhere in $[0,1]^{|\mathcal{G}|}$ that the $\epsilon$-ball around $P^{*}_{\text{fav}}$ permits.</w:t>
      </w:r>
    </w:p>
    <w:p>
      <w:r>
        <w:rPr>
          <w:rFonts w:ascii="Times New Roman" w:hAnsi="Times New Roman" w:eastAsia="SimSun"/>
          <w:sz w:val="22"/>
        </w:rPr>
        <w:t>Two consequences follow, and they are the actionable content of this section.</w:t>
      </w:r>
    </w:p>
    <w:p>
      <w:r>
        <w:rPr>
          <w:rFonts w:ascii="Times New Roman" w:hAnsi="Times New Roman" w:eastAsia="SimSun"/>
          <w:b/>
          <w:sz w:val="22"/>
        </w:rPr>
        <w:t>(a) Dimensionality does not help.</w:t>
      </w:r>
      <w:r>
        <w:rPr>
          <w:rFonts w:ascii="Times New Roman" w:hAnsi="Times New Roman" w:eastAsia="SimSun"/>
          <w:sz w:val="22"/>
        </w:rPr>
        <w:t xml:space="preserve"> Extending the constraint from R1 to R2 to $m$ dimensions does not shrink $\mathcal{R}$ in a way that excludes adversarial passages; it merely gives the attacker more statistics to match. The attacker's cost grows, but their </w:t>
      </w:r>
      <w:r>
        <w:rPr>
          <w:rFonts w:ascii="Times New Roman" w:hAnsi="Times New Roman" w:eastAsia="SimSun"/>
          <w:i/>
          <w:sz w:val="22"/>
        </w:rPr>
        <w:t>feasibility</w:t>
      </w:r>
      <w:r>
        <w:rPr>
          <w:rFonts w:ascii="Times New Roman" w:hAnsi="Times New Roman" w:eastAsia="SimSun"/>
          <w:sz w:val="22"/>
        </w:rPr>
        <w:t xml:space="preserve"> does not disappear, because the injected passages are, by construction, individually indistinguishable from legitimate ones under any statistic computed over their aggregate.</w:t>
      </w:r>
    </w:p>
    <w:p>
      <w:r>
        <w:rPr>
          <w:rFonts w:ascii="Times New Roman" w:hAnsi="Times New Roman" w:eastAsia="SimSun"/>
          <w:b/>
          <w:sz w:val="22"/>
        </w:rPr>
        <w:t>(b) The only escape is individual-level evidence.</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composition. In the adversarial setting this is a provenance question — was this passage injected? — and it is answerable only from signals the attacker's optimisation leaves behind.</w:t>
      </w:r>
    </w:p>
    <w:p>
      <w:r>
        <w:rPr>
          <w:rFonts w:ascii="Times New Roman" w:hAnsi="Times New Roman" w:eastAsia="SimSun"/>
          <w:sz w:val="22"/>
        </w:rPr>
        <w:t xml:space="preserve">This reframes the defense problem. Prior work in this space has largely been an optimisation problem (which composition is fairest, and how to reach it). Under an adversary it is a </w:t>
      </w:r>
      <w:r>
        <w:rPr>
          <w:rFonts w:ascii="Times New Roman" w:hAnsi="Times New Roman" w:eastAsia="SimSun"/>
          <w:i/>
          <w:sz w:val="22"/>
        </w:rPr>
        <w:t>detection</w:t>
      </w:r>
      <w:r>
        <w:rPr>
          <w:rFonts w:ascii="Times New Roman" w:hAnsi="Times New Roman" w:eastAsia="SimSun"/>
          <w:sz w:val="22"/>
        </w:rPr>
        <w:t xml:space="preserve"> problem, and the two are not interchangeable: as §5.3 and §5.4 jointly show, a defense can improve its fairness objective while its security objective is unchanged (controlled corpus) — and, more importantly, the </w:t>
      </w:r>
      <w:r>
        <w:rPr>
          <w:rFonts w:ascii="Times New Roman" w:hAnsi="Times New Roman" w:eastAsia="SimSun"/>
          <w:i/>
          <w:sz w:val="22"/>
        </w:rPr>
        <w:t>only</w:t>
      </w:r>
      <w:r>
        <w:rPr>
          <w:rFonts w:ascii="Times New Roman" w:hAnsi="Times New Roman" w:eastAsia="SimSun"/>
          <w:sz w:val="22"/>
        </w:rPr>
        <w:t xml:space="preserve"> configurations in which the security objective moves at all are those that constrain the R2 dimension (BBQ). An optimisation framing that does not include a composition-independent term has no purchase on the attacker.</w:t>
      </w:r>
    </w:p>
    <w:p>
      <w:r>
        <w:rPr>
          <w:rFonts w:ascii="Times New Roman" w:hAnsi="Times New Roman" w:eastAsia="SimSun"/>
          <w:sz w:val="22"/>
        </w:rPr>
        <w:t>[FILL: formalise the attacker's feasibility set $\mathcal{R} \cap \{\mathcal{D} : \mathcal{D} \cap \mathcal{A} \neq \emptyset\}$ as a function of $n$, $k$, and $\epsilon$, and derive the minimum injection ratio required for $\epsilon$-stance-shift. This is the natural extension of Proposition 1 and is planned as follow-up work.]</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 known reference, and a naturally written bias benchmark. [FILL: construct or adopt such a benchmark.]</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and a controlled dense embedder. Directly comparable results against the R1-constraining literature require GTE-base (as in [5]) and Contriever/SPLADE (as in [8]). [FILL]</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We deliberately evaluate at the retrieval layer, so that the R1/R2 mechanism is measurable without a generator and the study is reproducible on commodity hardware (the full suite runs on CPU in under three minutes). This means we do not report attributed exposure [8] or generator bias [4, 7]. Since the retrieval-layer failure we document is a precondition for the downstream harm, we consider the two complementary, and we report generator-stage attribution as planned work. [FILL]</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Consolas" w:hAnsi="Consolas" w:eastAsia="Consolas"/>
          <w:sz w:val="21"/>
        </w:rPr>
        <w:t>[repository URL]</w:t>
      </w:r>
      <w:r>
        <w:rPr>
          <w:rFonts w:ascii="Times New Roman" w:hAnsi="Times New Roman" w:eastAsia="SimSun"/>
          <w:sz w:val="22"/>
        </w:rPr>
        <w:t>. The controlled corpus is generated deterministically from a fixed seed and requires no dataset download; the BBQ corpus is reconstructed from the official benchmark files by a released loader that derives stance labels from BBQ's own annotations.</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