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(RAG) are selected and validated using aggregate statistics of the retrieved set: the proportion of passages about each protected group, the deviation of a group's stance from a corpus reference, or the exposure of items across repeated requests. We show that these statistics are </w:t>
      </w:r>
      <w:r>
        <w:rPr>
          <w:rFonts w:ascii="Times New Roman" w:hAnsi="Times New Roman" w:eastAsia="SimSun"/>
          <w:b/>
          <w:sz w:val="22"/>
        </w:rPr>
        <w:t>blind to the attack they are meant to detect</w:t>
      </w:r>
      <w:r>
        <w:rPr>
          <w:rFonts w:ascii="Times New Roman" w:hAnsi="Times New Roman" w:eastAsia="SimSun"/>
          <w:sz w:val="22"/>
        </w:rPr>
        <w:t>, and we identify the property they all share that makes them blind.</w:t>
      </w:r>
    </w:p>
    <w:p>
      <w:r>
        <w:rPr>
          <w:rFonts w:ascii="Times New Roman" w:hAnsi="Times New Roman" w:eastAsia="SimSun"/>
          <w:sz w:val="22"/>
        </w:rPr>
        <w:t xml:space="preserve">The attack is </w:t>
      </w:r>
      <w:r>
        <w:rPr>
          <w:rFonts w:ascii="Times New Roman" w:hAnsi="Times New Roman" w:eastAsia="SimSun"/>
          <w:i/>
          <w:sz w:val="22"/>
        </w:rPr>
        <w:t>pairwise poisoning</w:t>
      </w:r>
      <w:r>
        <w:rPr>
          <w:rFonts w:ascii="Times New Roman" w:hAnsi="Times New Roman" w:eastAsia="SimSun"/>
          <w:sz w:val="22"/>
        </w:rPr>
        <w:t xml:space="preserve">: injected passages reuse the legitimate template inventory and differ only in which group they favour. Because the injection is balanced across groups by construction, it leaves every group-composition statistic clean while skewing the stance of the evidence. We formalise this as two orthogonal dimensions —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 and show that the blindness is not an accident of any one metric:</w:t>
      </w:r>
    </w:p>
    <w:p>
      <w:pPr>
        <w:pStyle w:val="ListNumber"/>
        <w:spacing w:line="360" w:lineRule="auto"/>
      </w:pPr>
      <w:r>
        <w:rPr>
          <w:rFonts w:ascii="Times New Roman" w:hAnsi="Times New Roman" w:eastAsia="SimSun"/>
          <w:b/>
          <w:sz w:val="22"/>
        </w:rPr>
        <w:t>Composition statistics do not move.</w:t>
      </w:r>
      <w:r>
        <w:rPr>
          <w:rFonts w:ascii="Times New Roman" w:hAnsi="Times New Roman" w:eastAsia="SimSun"/>
          <w:sz w:val="22"/>
        </w:rPr>
        <w:t xml:space="preserve"> R1 drift stays at or below the level legitimate retrieval variance produces, on both a controlled corpus and a naturally written bias benchmark.</w:t>
      </w:r>
    </w:p>
    <w:p>
      <w:pPr>
        <w:pStyle w:val="ListNumber"/>
        <w:spacing w:line="360" w:lineRule="auto"/>
      </w:pPr>
      <w:r>
        <w:rPr>
          <w:rFonts w:ascii="Times New Roman" w:hAnsi="Times New Roman" w:eastAsia="SimSun"/>
          <w:b/>
          <w:sz w:val="22"/>
        </w:rPr>
        <w:t>Two natural R2 statistics are also blind.</w:t>
      </w:r>
      <w:r>
        <w:rPr>
          <w:rFonts w:ascii="Times New Roman" w:hAnsi="Times New Roman" w:eastAsia="SimSun"/>
          <w:sz w:val="22"/>
        </w:rPr>
        <w:t xml:space="preserve"> Deviation of stance from a corpus reference (0.286 → 0.311) and one-sidedness of stance (0.467 → 0.500) are flat across the clean and fully attacked conditions, because a group-neutral query legitimately retrieves one-sided evidence, so both measure topic conditioning rather than group skew — a component the attack preserves. The statistic that responds is the cross-group stance gap.</w:t>
      </w:r>
    </w:p>
    <w:p>
      <w:pPr>
        <w:pStyle w:val="ListNumber"/>
        <w:spacing w:line="360" w:lineRule="auto"/>
      </w:pPr>
      <w:r>
        <w:rPr>
          <w:rFonts w:ascii="Times New Roman" w:hAnsi="Times New Roman" w:eastAsia="SimSun"/>
          <w:b/>
          <w:sz w:val="22"/>
        </w:rPr>
        <w:t>The right axis is the per-group shift, not the gap between groups — and we initially got this wrong ourselves.</w:t>
      </w:r>
      <w:r>
        <w:rPr>
          <w:rFonts w:ascii="Times New Roman" w:hAnsi="Times New Roman" w:eastAsia="SimSun"/>
          <w:sz w:val="22"/>
        </w:rPr>
        <w:t xml:space="preserve"> Every metric above is an absolute difference between groups. Because the corpus carries a pre-existing asymmetry and the attack </w:t>
      </w:r>
      <w:r>
        <w:rPr>
          <w:rFonts w:ascii="Times New Roman" w:hAnsi="Times New Roman" w:eastAsia="SimSun"/>
          <w:i/>
          <w:sz w:val="22"/>
        </w:rPr>
        <w:t>relocates both groups</w:t>
      </w:r>
      <w:r>
        <w:rPr>
          <w:rFonts w:ascii="Times New Roman" w:hAnsi="Times New Roman" w:eastAsia="SimSun"/>
          <w:sz w:val="22"/>
        </w:rPr>
        <w:t xml:space="preserve"> rather than opening a gap between them, an absolute difference discards the signal. Measured per group on our controlled corpus, injection moves the suppressed group's stance by −0.13 to −0.18 and the favoured group's by +0.13, consistently across </w:t>
      </w:r>
      <w:r>
        <w:rPr>
          <w:rFonts w:ascii="Times New Roman" w:hAnsi="Times New Roman" w:eastAsia="SimSun"/>
          <w:b/>
          <w:sz w:val="22"/>
        </w:rPr>
        <w:t>four generators spanning three model families</w:t>
      </w:r>
      <w:r>
        <w:rPr>
          <w:rFonts w:ascii="Times New Roman" w:hAnsi="Times New Roman" w:eastAsia="SimSun"/>
          <w:sz w:val="22"/>
        </w:rPr>
        <w:t xml:space="preserve"> — API-served Qwen and DeepSeek models plus an open-weight Mistral-7B run locally — at $p \le 0.0035$ in all six per-group comparisons; the absolute gap moves by less than 0.002 for three of the four. We reproduced, one level up, the exact error we identify at the retrieval layer. </w:t>
      </w:r>
      <w:r>
        <w:rPr>
          <w:rFonts w:ascii="Times New Roman" w:hAnsi="Times New Roman" w:eastAsia="SimSun"/>
          <w:b/>
          <w:sz w:val="22"/>
        </w:rPr>
        <w:t>That effect does not survive a naturally written corpus, and we report the failure rather than the controlled-corpus number alone</w:t>
      </w:r>
      <w:r>
        <w:rPr>
          <w:rFonts w:ascii="Times New Roman" w:hAnsi="Times New Roman" w:eastAsia="SimSun"/>
          <w:sz w:val="22"/>
        </w:rPr>
        <w:t>: on the full BBQ benchmark, 144 distinct naturally written questions, two of three generators show no measurable shift at all and the third shows one three to six times smaller with a different group-wise signature. The propagation claim is therefore scoped to a template corpus whose questions presuppose their answers — a property our own negative control had already exposed — and the general claim is withdrawn.</w:t>
      </w:r>
    </w:p>
    <w:p>
      <w:r>
        <w:rPr>
          <w:rFonts w:ascii="Times New Roman" w:hAnsi="Times New Roman" w:eastAsia="SimSun"/>
          <w:sz w:val="22"/>
        </w:rPr>
        <w:t xml:space="preserve">The practical consequence is a </w:t>
      </w:r>
      <w:r>
        <w:rPr>
          <w:rFonts w:ascii="Times New Roman" w:hAnsi="Times New Roman" w:eastAsia="SimSun"/>
          <w:b/>
          <w:sz w:val="22"/>
        </w:rPr>
        <w:t>negative result about a class of defenses</w:t>
      </w:r>
      <w:r>
        <w:rPr>
          <w:rFonts w:ascii="Times New Roman" w:hAnsi="Times New Roman" w:eastAsia="SimSun"/>
          <w:sz w:val="22"/>
        </w:rPr>
        <w:t xml:space="preserve">, which we prove rather than only measure. A distribution-constrained defense faces a trilemma: it cannot simultaneously exclude adversarial passages, admit good clean selections, and impose a non-vacuous constraint. Empirically the R1 constraint is not weak but </w:t>
      </w:r>
      <w:r>
        <w:rPr>
          <w:rFonts w:ascii="Times New Roman" w:hAnsi="Times New Roman" w:eastAsia="SimSun"/>
          <w:b/>
          <w:sz w:val="22"/>
        </w:rPr>
        <w:t>inert</w:t>
      </w:r>
      <w:r>
        <w:rPr>
          <w:rFonts w:ascii="Times New Roman" w:hAnsi="Times New Roman" w:eastAsia="SimSun"/>
          <w:sz w:val="22"/>
        </w:rPr>
        <w:t xml:space="preserve"> — and the reason is a ceiling, not a sample-size problem. The unconstrained baseline already admits adversarial passages on every query where it can (1.000 for a dense retriever, 0.750 for BM25), so there is no headroom for a reduction to appear even in principle; the per-query difference is identically zero, giving an equivalence bound of exactly ±0.0000. This is not because the constraint fails to change the selection — it does change it, moving the R2 stance gap from 0.7436 to 0.5385 — but because different passages are selected and not one adversarial passage is displaced. We reach the same conclusion across six retrieval back-ends, two corpora, five injection rates and the full budget sweep, with $|\mathcal{G}| = 2$ throughout.</w:t>
      </w:r>
    </w:p>
    <w:p>
      <w:r>
        <w:rPr>
          <w:rFonts w:ascii="Times New Roman" w:hAnsi="Times New Roman" w:eastAsia="SimSun"/>
          <w:sz w:val="22"/>
        </w:rPr>
        <w:t xml:space="preserve">Two further measurement hazards follow from taking the encoder seriously as a factor rather than an implementation detail.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representation rather than by whether the encoder is learned (a learned sparse retriever is as susceptible as BM25, 0.625 versus 0.750), but sparsity is a correlate and not a law: enlarging GTE within one family and training recipe makes it </w:t>
      </w:r>
      <w:r>
        <w:rPr>
          <w:rFonts w:ascii="Times New Roman" w:hAnsi="Times New Roman" w:eastAsia="SimSun"/>
          <w:b/>
          <w:sz w:val="22"/>
        </w:rPr>
        <w:t>eight times more susceptible</w:t>
      </w:r>
      <w:r>
        <w:rPr>
          <w:rFonts w:ascii="Times New Roman" w:hAnsi="Times New Roman" w:eastAsia="SimSun"/>
          <w:sz w:val="22"/>
        </w:rPr>
        <w:t xml:space="preserve"> (0.0625 → 0.5000) while enlarging E5 makes it more resistant. Susceptibility is a per-checkpoint property that must be measured, so a single-encoder robustness claim reports an unmeasured encoder property.</w:t>
      </w:r>
    </w:p>
    <w:p>
      <w:r>
        <w:rPr>
          <w:rFonts w:ascii="Times New Roman" w:hAnsi="Times New Roman" w:eastAsia="SimSun"/>
          <w:sz w:val="22"/>
        </w:rPr>
        <w:t>We close with the measurement protocol the results imply: per-group shifts rather than cross-group differences, injection as a rate rather than a count, the encoder reported as a factor, and equivalence bounds for null claims.</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that the insensitivity has a single identifiable cause, and that the same cause reappears at the generation layer — including in our own first attempt at measuring it.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statistic that aggregates over group composition is blind to this. It reports the group distribution as clean, admits the injected passages, and returns success.</w:t>
      </w:r>
    </w:p>
    <w:p>
      <w:r>
        <w:rPr>
          <w:rFonts w:ascii="Times New Roman" w:hAnsi="Times New Roman" w:eastAsia="SimSun"/>
          <w:b/>
          <w:sz w:val="22"/>
        </w:rPr>
        <w:t>A second, subtler failure — one we fell into ourselves.</w:t>
      </w:r>
      <w:r>
        <w:rPr>
          <w:rFonts w:ascii="Times New Roman" w:hAnsi="Times New Roman" w:eastAsia="SimSun"/>
          <w:sz w:val="22"/>
        </w:rPr>
        <w:t xml:space="preserve"> The obvious repair is to move from composition to stance and to keep using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also fails, and the reason generalises.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We identify this failure at the retrieval layer (§5.3), where two of three candidate R2 statistics are flat across the clean and fully attacked conditions, and then reproduce it at the generation layer in our own first measurement of propagation (§5.7): the absolute gap moved by less than 0.002 while the per-group shifts moved by 0.13 at $p \le 0.0035$, consistently across three generators. We report that second occurrence in full, because a measurement paper whose authors did not notice their own instance of the error would not be credible about anyone else's.</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R1 drift stays at or below the level legitimate retrieval variance produces; two of three candidate R2 statistics are flat across the clean and fully attacked conditions.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 — a distinction we had to be corrected by our own data to see.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and an analysis of which aggregate statistics are sensitive to it (§3, §5.1).</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error demonstrated at two layers, including in our own first generation-layer measurement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five further retrievers, §5.6 the encoder-scale check, and §5.7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xml:space="preserve"> and does not reproduce the scratch values. The qualitative conclusion is unchanged, but the static advantage is a factor of three, not six. The same error appeared in the companion paper's Table 1 and is corrected there as well; we record it here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3.</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4.</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5.</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6.</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Encoder robustness: a per-checkpoint property, not a family property</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7.</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8.</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8's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b/>
          <w:sz w:val="22"/>
        </w:rPr>
        <w:t>Table 9.</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b/>
          <w:sz w:val="22"/>
        </w:rPr>
        <w:t>Table 10.</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Adaptive attacker: no defense survives an informed adversary</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b/>
          <w:sz w:val="22"/>
        </w:rPr>
        <w:t>Correction.</w:t>
      </w:r>
      <w:r>
        <w:rPr>
          <w:rFonts w:ascii="Times New Roman" w:hAnsi="Times New Roman" w:eastAsia="SimSun"/>
          <w:sz w:val="22"/>
        </w:rPr>
        <w:t xml:space="preserve"> An earlier draft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Table C1 with 18 of 18 adaptive cells bit-identical. The qualitative conclusion is unchanged, but the static advantage is a factor of three, not six. We record it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5.7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10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On the controlled corpus the retrieval-layer skew propagates to the generated output and replicates across three model families, but it does not survive a naturally written corpus.</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four generators spanning three model families, one of them (Mistral-7B) open-weight and served locally rather than by an API, so that the result does not rest on hosted models alone. The per-group shifts are large, consistent in sign, and highly significant everywhere:</w:t>
      </w:r>
    </w:p>
    <w:p>
      <w:r>
        <w:rPr>
          <w:rFonts w:ascii="Times New Roman" w:hAnsi="Times New Roman" w:eastAsia="SimSun"/>
          <w:b/>
          <w:sz w:val="22"/>
        </w:rPr>
        <w:t>Table 11.</w:t>
      </w:r>
      <w:r>
        <w:rPr>
          <w:rFonts w:ascii="Times New Roman" w:hAnsi="Times New Roman" w:eastAsia="SimSun"/>
          <w:sz w:val="22"/>
        </w:rPr>
        <w:t xml:space="preserve"> Generation-layer stance, entailment-scored, four generators spanning three model families.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r>
        <w:tc>
          <w:tcPr>
            <w:tcW w:type="dxa" w:w="1377"/>
          </w:tcPr>
          <w:p>
            <w:pPr>
              <w:spacing w:line="240" w:lineRule="auto" w:after="0"/>
            </w:pPr>
            <w:r>
              <w:rPr>
                <w:rFonts w:ascii="Times New Roman" w:hAnsi="Times New Roman" w:eastAsia="SimSun"/>
                <w:b/>
                <w:sz w:val="19"/>
              </w:rPr>
              <w:t>mistral-7b</w:t>
            </w:r>
            <w:r>
              <w:rPr>
                <w:rFonts w:ascii="Times New Roman" w:hAnsi="Times New Roman" w:eastAsia="SimSun"/>
                <w:sz w:val="19"/>
              </w:rPr>
              <w:t xml:space="preserve"> (local, open weights)</w:t>
            </w:r>
          </w:p>
        </w:tc>
        <w:tc>
          <w:tcPr>
            <w:tcW w:type="dxa" w:w="1377"/>
          </w:tcPr>
          <w:p>
            <w:pPr>
              <w:spacing w:line="240" w:lineRule="auto" w:after="0"/>
            </w:pPr>
            <w:r>
              <w:rPr>
                <w:rFonts w:ascii="Times New Roman" w:hAnsi="Times New Roman" w:eastAsia="SimSun"/>
                <w:sz w:val="19"/>
              </w:rPr>
              <w:t>+0.0025</w:t>
            </w:r>
          </w:p>
        </w:tc>
        <w:tc>
          <w:tcPr>
            <w:tcW w:type="dxa" w:w="1377"/>
          </w:tcPr>
          <w:p>
            <w:pPr>
              <w:spacing w:line="240" w:lineRule="auto" w:after="0"/>
            </w:pPr>
            <w:r>
              <w:rPr>
                <w:rFonts w:ascii="Times New Roman" w:hAnsi="Times New Roman" w:eastAsia="SimSun"/>
                <w:sz w:val="19"/>
              </w:rPr>
              <w:t>0.42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+0.1322</w:t>
            </w:r>
          </w:p>
        </w:tc>
        <w:tc>
          <w:tcPr>
            <w:tcW w:type="dxa" w:w="1377"/>
          </w:tcPr>
          <w:p>
            <w:pPr>
              <w:spacing w:line="240" w:lineRule="auto" w:after="0"/>
            </w:pPr>
            <w:r>
              <w:rPr>
                <w:rFonts w:ascii="Times New Roman" w:hAnsi="Times New Roman" w:eastAsia="SimSun"/>
                <w:b/>
                <w:sz w:val="19"/>
              </w:rPr>
              <w:t>&lt;0.0001</w:t>
            </w:r>
          </w:p>
        </w:tc>
      </w:tr>
    </w:tbl>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The same experiment on a naturally written corpus, which does not replicate it.</w:t>
      </w:r>
      <w:r>
        <w:rPr>
          <w:rFonts w:ascii="Times New Roman" w:hAnsi="Times New Roman" w:eastAsia="SimSun"/>
          <w:sz w:val="22"/>
        </w:rPr>
        <w:t xml:space="preserve"> The section above is measured on the controlled corpus, whose questions presuppose their own answers. That corpus was rendered affordable to improve: encoder throughput on an RTX 5060 is 171x the CPU rate measured here (1079 against 6.3 documents per second), and we verified that the device changes none of the reported retrieval metrics — all nine attack-by-metric combinations are identical to four decimal places — so the full 17,792-document BBQ corpus could be used instead of a subsample. It supplies 144 distinct, naturally written questions in place of our 16.</w:t>
      </w:r>
    </w:p>
    <w:p>
      <w:r>
        <w:rPr>
          <w:rFonts w:ascii="Times New Roman" w:hAnsi="Times New Roman" w:eastAsia="SimSun"/>
          <w:b/>
          <w:sz w:val="22"/>
        </w:rPr>
        <w:t>Table 15.</w:t>
      </w:r>
      <w:r>
        <w:rPr>
          <w:rFonts w:ascii="Times New Roman" w:hAnsi="Times New Roman" w:eastAsia="SimSun"/>
          <w:sz w:val="22"/>
        </w:rPr>
        <w:t xml:space="preserve"> The same generation-stage measurement on the full BBQ corpus. 144 queries, four conditions,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−0.0091</w:t>
            </w:r>
          </w:p>
        </w:tc>
        <w:tc>
          <w:tcPr>
            <w:tcW w:type="dxa" w:w="1377"/>
          </w:tcPr>
          <w:p>
            <w:pPr>
              <w:spacing w:line="240" w:lineRule="auto" w:after="0"/>
            </w:pPr>
            <w:r>
              <w:rPr>
                <w:rFonts w:ascii="Times New Roman" w:hAnsi="Times New Roman" w:eastAsia="SimSun"/>
                <w:sz w:val="19"/>
              </w:rPr>
              <w:t>0.41</w:t>
            </w:r>
          </w:p>
        </w:tc>
        <w:tc>
          <w:tcPr>
            <w:tcW w:type="dxa" w:w="1377"/>
          </w:tcPr>
          <w:p>
            <w:pPr>
              <w:spacing w:line="240" w:lineRule="auto" w:after="0"/>
            </w:pPr>
            <w:r>
              <w:rPr>
                <w:rFonts w:ascii="Times New Roman" w:hAnsi="Times New Roman" w:eastAsia="SimSun"/>
                <w:sz w:val="19"/>
              </w:rPr>
              <w:t>+0.0012</w:t>
            </w:r>
          </w:p>
        </w:tc>
        <w:tc>
          <w:tcPr>
            <w:tcW w:type="dxa" w:w="1377"/>
          </w:tcPr>
          <w:p>
            <w:pPr>
              <w:spacing w:line="240" w:lineRule="auto" w:after="0"/>
            </w:pPr>
            <w:r>
              <w:rPr>
                <w:rFonts w:ascii="Times New Roman" w:hAnsi="Times New Roman" w:eastAsia="SimSun"/>
                <w:sz w:val="19"/>
              </w:rPr>
              <w:t>0.82</w:t>
            </w:r>
          </w:p>
        </w:tc>
        <w:tc>
          <w:tcPr>
            <w:tcW w:type="dxa" w:w="1377"/>
          </w:tcPr>
          <w:p>
            <w:pPr>
              <w:spacing w:line="240" w:lineRule="auto" w:after="0"/>
            </w:pPr>
            <w:r>
              <w:rPr>
                <w:rFonts w:ascii="Times New Roman" w:hAnsi="Times New Roman" w:eastAsia="SimSun"/>
                <w:sz w:val="19"/>
              </w:rPr>
              <w:t>−0.0014</w:t>
            </w:r>
          </w:p>
        </w:tc>
        <w:tc>
          <w:tcPr>
            <w:tcW w:type="dxa" w:w="1377"/>
          </w:tcPr>
          <w:p>
            <w:pPr>
              <w:spacing w:line="240" w:lineRule="auto" w:after="0"/>
            </w:pPr>
            <w:r>
              <w:rPr>
                <w:rFonts w:ascii="Times New Roman" w:hAnsi="Times New Roman" w:eastAsia="SimSun"/>
                <w:sz w:val="19"/>
              </w:rPr>
              <w:t>0.95</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−0.0075</w:t>
            </w:r>
          </w:p>
        </w:tc>
        <w:tc>
          <w:tcPr>
            <w:tcW w:type="dxa" w:w="1377"/>
          </w:tcPr>
          <w:p>
            <w:pPr>
              <w:spacing w:line="240" w:lineRule="auto" w:after="0"/>
            </w:pPr>
            <w:r>
              <w:rPr>
                <w:rFonts w:ascii="Times New Roman" w:hAnsi="Times New Roman" w:eastAsia="SimSun"/>
                <w:sz w:val="19"/>
              </w:rPr>
              <w:t>0.52</w:t>
            </w:r>
          </w:p>
        </w:tc>
        <w:tc>
          <w:tcPr>
            <w:tcW w:type="dxa" w:w="1377"/>
          </w:tcPr>
          <w:p>
            <w:pPr>
              <w:spacing w:line="240" w:lineRule="auto" w:after="0"/>
            </w:pPr>
            <w:r>
              <w:rPr>
                <w:rFonts w:ascii="Times New Roman" w:hAnsi="Times New Roman" w:eastAsia="SimSun"/>
                <w:sz w:val="19"/>
              </w:rPr>
              <w:t>+0.0017</w:t>
            </w:r>
          </w:p>
        </w:tc>
        <w:tc>
          <w:tcPr>
            <w:tcW w:type="dxa" w:w="1377"/>
          </w:tcPr>
          <w:p>
            <w:pPr>
              <w:spacing w:line="240" w:lineRule="auto" w:after="0"/>
            </w:pPr>
            <w:r>
              <w:rPr>
                <w:rFonts w:ascii="Times New Roman" w:hAnsi="Times New Roman" w:eastAsia="SimSun"/>
                <w:sz w:val="19"/>
              </w:rPr>
              <w:t>0.78</w:t>
            </w:r>
          </w:p>
        </w:tc>
        <w:tc>
          <w:tcPr>
            <w:tcW w:type="dxa" w:w="1377"/>
          </w:tcPr>
          <w:p>
            <w:pPr>
              <w:spacing w:line="240" w:lineRule="auto" w:after="0"/>
            </w:pPr>
            <w:r>
              <w:rPr>
                <w:rFonts w:ascii="Times New Roman" w:hAnsi="Times New Roman" w:eastAsia="SimSun"/>
                <w:sz w:val="19"/>
              </w:rPr>
              <w:t>−0.0028</w:t>
            </w:r>
          </w:p>
        </w:tc>
        <w:tc>
          <w:tcPr>
            <w:tcW w:type="dxa" w:w="1377"/>
          </w:tcPr>
          <w:p>
            <w:pPr>
              <w:spacing w:line="240" w:lineRule="auto" w:after="0"/>
            </w:pPr>
            <w:r>
              <w:rPr>
                <w:rFonts w:ascii="Times New Roman" w:hAnsi="Times New Roman" w:eastAsia="SimSun"/>
                <w:sz w:val="19"/>
              </w:rPr>
              <w:t>0.91</w:t>
            </w:r>
          </w:p>
        </w:tc>
      </w:tr>
      <w:tr>
        <w:tc>
          <w:tcPr>
            <w:tcW w:type="dxa" w:w="1377"/>
          </w:tcPr>
          <w:p>
            <w:pPr>
              <w:spacing w:line="240" w:lineRule="auto" w:after="0"/>
            </w:pPr>
            <w:r>
              <w:rPr>
                <w:rFonts w:ascii="Times New Roman" w:hAnsi="Times New Roman" w:eastAsia="SimSun"/>
                <w:b/>
                <w:sz w:val="19"/>
              </w:rPr>
              <w:t>mistral-7b</w:t>
            </w:r>
          </w:p>
        </w:tc>
        <w:tc>
          <w:tcPr>
            <w:tcW w:type="dxa" w:w="1377"/>
          </w:tcPr>
          <w:p>
            <w:pPr>
              <w:spacing w:line="240" w:lineRule="auto" w:after="0"/>
            </w:pPr>
            <w:r>
              <w:rPr>
                <w:rFonts w:ascii="Times New Roman" w:hAnsi="Times New Roman" w:eastAsia="SimSun"/>
                <w:b/>
                <w:sz w:val="19"/>
              </w:rPr>
              <w:t>+0.0420</w:t>
            </w:r>
          </w:p>
        </w:tc>
        <w:tc>
          <w:tcPr>
            <w:tcW w:type="dxa" w:w="1377"/>
          </w:tcPr>
          <w:p>
            <w:pPr>
              <w:spacing w:line="240" w:lineRule="auto" w:after="0"/>
            </w:pPr>
            <w:r>
              <w:rPr>
                <w:rFonts w:ascii="Times New Roman" w:hAnsi="Times New Roman" w:eastAsia="SimSun"/>
                <w:b/>
                <w:sz w:val="19"/>
              </w:rPr>
              <w:t>0.006</w:t>
            </w:r>
          </w:p>
        </w:tc>
        <w:tc>
          <w:tcPr>
            <w:tcW w:type="dxa" w:w="1377"/>
          </w:tcPr>
          <w:p>
            <w:pPr>
              <w:spacing w:line="240" w:lineRule="auto" w:after="0"/>
            </w:pPr>
            <w:r>
              <w:rPr>
                <w:rFonts w:ascii="Times New Roman" w:hAnsi="Times New Roman" w:eastAsia="SimSun"/>
                <w:b/>
                <w:sz w:val="19"/>
              </w:rPr>
              <w:t>+0.0435</w:t>
            </w:r>
          </w:p>
        </w:tc>
        <w:tc>
          <w:tcPr>
            <w:tcW w:type="dxa" w:w="1377"/>
          </w:tcPr>
          <w:p>
            <w:pPr>
              <w:spacing w:line="240" w:lineRule="auto" w:after="0"/>
            </w:pPr>
            <w:r>
              <w:rPr>
                <w:rFonts w:ascii="Times New Roman" w:hAnsi="Times New Roman" w:eastAsia="SimSun"/>
                <w:b/>
                <w:sz w:val="19"/>
              </w:rPr>
              <w:t>0.006</w:t>
            </w:r>
          </w:p>
        </w:tc>
        <w:tc>
          <w:tcPr>
            <w:tcW w:type="dxa" w:w="1377"/>
          </w:tcPr>
          <w:p>
            <w:pPr>
              <w:spacing w:line="240" w:lineRule="auto" w:after="0"/>
            </w:pPr>
            <w:r>
              <w:rPr>
                <w:rFonts w:ascii="Times New Roman" w:hAnsi="Times New Roman" w:eastAsia="SimSun"/>
                <w:b/>
                <w:sz w:val="19"/>
              </w:rPr>
              <w:t>+0.0209</w:t>
            </w:r>
          </w:p>
        </w:tc>
        <w:tc>
          <w:tcPr>
            <w:tcW w:type="dxa" w:w="1377"/>
          </w:tcPr>
          <w:p>
            <w:pPr>
              <w:spacing w:line="240" w:lineRule="auto" w:after="0"/>
            </w:pPr>
            <w:r>
              <w:rPr>
                <w:rFonts w:ascii="Times New Roman" w:hAnsi="Times New Roman" w:eastAsia="SimSun"/>
                <w:b/>
                <w:sz w:val="19"/>
              </w:rPr>
              <w:t>0.030</w:t>
            </w:r>
          </w:p>
        </w:tc>
      </w:tr>
    </w:tbl>
    <w:p/>
    <w:p>
      <w:r>
        <w:rPr>
          <w:rFonts w:ascii="Times New Roman" w:hAnsi="Times New Roman" w:eastAsia="SimSun"/>
          <w:sz w:val="22"/>
        </w:rPr>
        <w:t>The effect does not carry over, and three separate things distinguish the two settings:</w:t>
      </w:r>
    </w:p>
    <w:p>
      <w:pPr>
        <w:pStyle w:val="ListBullet"/>
        <w:spacing w:line="360" w:lineRule="auto"/>
      </w:pPr>
      <w:r>
        <w:rPr>
          <w:rFonts w:ascii="Times New Roman" w:hAnsi="Times New Roman" w:eastAsia="SimSun"/>
          <w:b/>
          <w:sz w:val="22"/>
        </w:rPr>
        <w:t>Magnitude.</w:t>
      </w:r>
      <w:r>
        <w:rPr>
          <w:rFonts w:ascii="Times New Roman" w:hAnsi="Times New Roman" w:eastAsia="SimSun"/>
          <w:sz w:val="22"/>
        </w:rPr>
        <w:t xml:space="preserve"> 0.02–0.04 on BBQ against 0.13 on the controlled corpus.</w:t>
      </w:r>
    </w:p>
    <w:p>
      <w:pPr>
        <w:pStyle w:val="ListBullet"/>
        <w:spacing w:line="360" w:lineRule="auto"/>
      </w:pPr>
      <w:r>
        <w:rPr>
          <w:rFonts w:ascii="Times New Roman" w:hAnsi="Times New Roman" w:eastAsia="SimSun"/>
          <w:b/>
          <w:sz w:val="22"/>
        </w:rPr>
        <w:t>Sign.</w:t>
      </w:r>
      <w:r>
        <w:rPr>
          <w:rFonts w:ascii="Times New Roman" w:hAnsi="Times New Roman" w:eastAsia="SimSun"/>
          <w:sz w:val="22"/>
        </w:rPr>
        <w:t xml:space="preserve"> On BBQ the local model moves </w:t>
      </w:r>
      <w:r>
        <w:rPr>
          <w:rFonts w:ascii="Times New Roman" w:hAnsi="Times New Roman" w:eastAsia="SimSun"/>
          <w:i/>
          <w:sz w:val="22"/>
        </w:rPr>
        <w:t>both</w:t>
      </w:r>
      <w:r>
        <w:rPr>
          <w:rFonts w:ascii="Times New Roman" w:hAnsi="Times New Roman" w:eastAsia="SimSun"/>
          <w:sz w:val="22"/>
        </w:rPr>
        <w:t xml:space="preserve"> groups upward, rather than one collapsing while the other rises. The two API generators show no effect at all, and what little movement there is points the other way.</w:t>
      </w:r>
    </w:p>
    <w:p>
      <w:pPr>
        <w:pStyle w:val="ListBullet"/>
        <w:spacing w:line="360" w:lineRule="auto"/>
      </w:pPr>
      <w:r>
        <w:rPr>
          <w:rFonts w:ascii="Times New Roman" w:hAnsi="Times New Roman" w:eastAsia="SimSun"/>
          <w:b/>
          <w:sz w:val="22"/>
        </w:rPr>
        <w:t>Coverage.</w:t>
      </w:r>
      <w:r>
        <w:rPr>
          <w:rFonts w:ascii="Times New Roman" w:hAnsi="Times New Roman" w:eastAsia="SimSun"/>
          <w:sz w:val="22"/>
        </w:rPr>
        <w:t xml:space="preserve"> Three of the six per-group comparisons reach $p &lt; 0.05$ on BBQ, against six of six on the controlled corpus.</w:t>
      </w:r>
    </w:p>
    <w:p>
      <w:r>
        <w:rPr>
          <w:rFonts w:ascii="Times New Roman" w:hAnsi="Times New Roman" w:eastAsia="SimSun"/>
          <w:b/>
          <w:sz w:val="22"/>
        </w:rPr>
        <w:t>We therefore narrow the propagation claim rather than the corpus.</w:t>
      </w:r>
      <w:r>
        <w:rPr>
          <w:rFonts w:ascii="Times New Roman" w:hAnsi="Times New Roman" w:eastAsia="SimSun"/>
          <w:sz w:val="22"/>
        </w:rPr>
        <w:t xml:space="preserve"> Finding 8 holds for a template corpus whose questions presuppose their answers, which is what the controlled corpus is; it does not hold for the naturally written benchmark. The negative control in §8 pointed the same way before this experiment existed: on the controlled corpus the generator ignored a context whose stance had been </w:t>
      </w:r>
      <w:r>
        <w:rPr>
          <w:rFonts w:ascii="Times New Roman" w:hAnsi="Times New Roman" w:eastAsia="SimSun"/>
          <w:i/>
          <w:sz w:val="22"/>
        </w:rPr>
        <w:t>inverted</w:t>
      </w:r>
      <w:r>
        <w:rPr>
          <w:rFonts w:ascii="Times New Roman" w:hAnsi="Times New Roman" w:eastAsia="SimSun"/>
          <w:sz w:val="22"/>
        </w:rPr>
        <w:t xml:space="preserve"> while reacting to a completely unrelated one, so its answers there are determined by the question's framing rather than by the evidence. A corpus built that way can register an effect that a natural corpus does not, and the honest reading is that the retrieval-layer skew is consequential </w:t>
      </w:r>
      <w:r>
        <w:rPr>
          <w:rFonts w:ascii="Times New Roman" w:hAnsi="Times New Roman" w:eastAsia="SimSun"/>
          <w:b/>
          <w:sz w:val="22"/>
        </w:rPr>
        <w:t>when the generator is genuinely weighing the retrieved evidence</w:t>
      </w:r>
      <w:r>
        <w:rPr>
          <w:rFonts w:ascii="Times New Roman" w:hAnsi="Times New Roman" w:eastAsia="SimSun"/>
          <w:sz w:val="22"/>
        </w:rPr>
        <w:t>, which our template corpus cannot guarantee and BBQ can measure.</w:t>
      </w:r>
    </w:p>
    <w:p>
      <w:r>
        <w:rPr>
          <w:rFonts w:ascii="Times New Roman" w:hAnsi="Times New Roman" w:eastAsia="SimSun"/>
          <w:sz w:val="22"/>
        </w:rPr>
        <w:t>This is the second finding in this paper that a wider evaluation narrowed, and both narrowed in the same direction: the controlled corpus supports stronger conclusions than the natural one, and we now treat that asymmetry as a property of the instrument rather than of the phenomenon.</w:t>
      </w:r>
    </w:p>
    <w:p>
      <w:r>
        <w:rPr>
          <w:rFonts w:ascii="Times New Roman" w:hAnsi="Times New Roman" w:eastAsia="SimSun"/>
          <w:b/>
          <w:sz w:val="22"/>
        </w:rPr>
        <w:t>5.7.2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We do not claim these observations are novel in general; they are the standard reason adaptive evaluation is required, and they are why security venues expect it. The claim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now multi-generator and multi-corpus, and the wider evaluation weakened its conclusion.</w:t>
      </w:r>
      <w:r>
        <w:rPr>
          <w:rFonts w:ascii="Times New Roman" w:hAnsi="Times New Roman" w:eastAsia="SimSun"/>
          <w:sz w:val="22"/>
        </w:rPr>
        <w:t xml:space="preserve"> §5.7 reports four generators spanning three model families (API-served Qwen and DeepSeek, plus open-weight Mistral-7B run locally in 4-bit on an RTX 5060), scored by entailment rather than by a prompted judge, with paired permutation tests and bootstrap intervals. Two limits remain, and the second is the important one. (i) </w:t>
      </w:r>
      <w:r>
        <w:rPr>
          <w:rFonts w:ascii="Times New Roman" w:hAnsi="Times New Roman" w:eastAsia="SimSun"/>
          <w:i/>
          <w:sz w:val="22"/>
        </w:rPr>
        <w:t>Retrieval conditions are measured on one backbone</w:t>
      </w:r>
      <w:r>
        <w:rPr>
          <w:rFonts w:ascii="Times New Roman" w:hAnsi="Times New Roman" w:eastAsia="SimSun"/>
          <w:sz w:val="22"/>
        </w:rPr>
        <w:t xml:space="preserve"> (GTE-base); the generation-stage comparison holds retrieval fixed, so the encoder-dependence documented in §5.5 is not varied here. (ii) </w:t>
      </w:r>
      <w:r>
        <w:rPr>
          <w:rFonts w:ascii="Times New Roman" w:hAnsi="Times New Roman" w:eastAsia="SimSun"/>
          <w:i/>
          <w:sz w:val="22"/>
        </w:rPr>
        <w:t>The effect does not generalise to a naturally written corpus.</w:t>
      </w:r>
      <w:r>
        <w:rPr>
          <w:rFonts w:ascii="Times New Roman" w:hAnsi="Times New Roman" w:eastAsia="SimSun"/>
          <w:sz w:val="22"/>
        </w:rPr>
        <w:t xml:space="preserve"> On the controlled corpus the per-group shift is large and replicates across all four generators ($p \le 0.0035$ in six of six per-group comparisons). On the full BBQ benchmark, with 144 distinct naturally written questions, two of three generators show no measurable shift and the third shows one three to six times smaller with a different signature. We therefore scope the propagation claim to template corpora and withdraw the general form. This is not a power problem: BBQ supplies nine times as many distinct questions as the controlled corpus, and the two API generators give null results there with confidence intervals that exclude the controlled-corpus effect size. The negative control in §8 explains the asymmetry — on the controlled corpus the generator ignores an inverted context, so its answers are driven by the question's framing rather than by the evidence — and it is the reason we report the controlled-corpus result as scoped rather than as representative. A corpus whose questions presuppose their answers can produce a propagation effect that a natural corpus does not.</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structurally insensitive to the attack they are meant to detect, that the insensitivity has one identifiable cause, and that the defense failure which follows is a consequence of the measurement failure rather than a separate phenomenon.</w:t>
      </w:r>
    </w:p>
    <w:p>
      <w:r>
        <w:rPr>
          <w:rFonts w:ascii="Times New Roman" w:hAnsi="Times New Roman" w:eastAsia="SimSun"/>
          <w:sz w:val="22"/>
        </w:rPr>
        <w:t>The cause is that the attack balances what these statistics count and relocates what they difference. Pairwise poisoning — the natural adversarial construction, in which injected passages reuse the legitimate template inventory in matched pairs — is balanced in group composition by construction, so every composition statistic reads clean. And because it moves both groups rather than opening a gap between them, any statistic computed as an absolute difference between groups is dominated by the corpus's pre-existing asymmetry and is likewise blind. The diagnostic is the per-group shift. We identify this at the retrieval layer, where two of three candidate stance statistics are flat across the clean and fully attacked conditions, and then again at the generation layer in our own first measurement of propagation, where the absolute gap moved by less than 0.002 while the per-group shifts moved by 0.13 at $p \le 0.0035$. Reporting the second occurrence against ourselves is part of the argument: the error is not exotic, it is the natural first thing to compute.</w:t>
      </w:r>
    </w:p>
    <w:p>
      <w:r>
        <w:rPr>
          <w:rFonts w:ascii="Times New Roman" w:hAnsi="Times New Roman" w:eastAsia="SimSun"/>
          <w:sz w:val="22"/>
        </w:rPr>
        <w:t>The practical consequence is that the R1-only defense is not weak but inert, and we state this as a ceiling rather than as a null that further data might overturn. The unconstrained baseline already admits adversarial passages on every query where it can, so no reduction is available even in principle; the per-query difference is identically zero and the equivalence bound is exactly ±0.0000. That is not because the constraint cannot change the selection — it can, and does — but because changing which passages are selected does not displace a single adversarial one. Extending the constraint to a second dimension improves the statistic it measures without changing adversarial inclusion. The problem is therefore not one of optimisation but of detection, and it requires evidence about individual passages rather than about the set they belong to.</w:t>
      </w:r>
    </w:p>
    <w:p>
      <w:r>
        <w:rPr>
          <w:rFonts w:ascii="Times New Roman" w:hAnsi="Times New Roman" w:eastAsia="SimSun"/>
          <w:sz w:val="22"/>
        </w:rPr>
        <w:t xml:space="preserve">We close with the protocol the results imply. The first four points are about </w:t>
      </w:r>
      <w:r>
        <w:rPr>
          <w:rFonts w:ascii="Times New Roman" w:hAnsi="Times New Roman" w:eastAsia="SimSun"/>
          <w:b/>
          <w:sz w:val="22"/>
        </w:rPr>
        <w:t>measurement validity</w:t>
      </w:r>
      <w:r>
        <w:rPr>
          <w:rFonts w:ascii="Times New Roman" w:hAnsi="Times New Roman" w:eastAsia="SimSun"/>
          <w:sz w:val="22"/>
        </w:rPr>
        <w:t xml:space="preserve"> — whether a statistic can see the attack at all — and the last five about </w:t>
      </w:r>
      <w:r>
        <w:rPr>
          <w:rFonts w:ascii="Times New Roman" w:hAnsi="Times New Roman" w:eastAsia="SimSun"/>
          <w:b/>
          <w:sz w:val="22"/>
        </w:rPr>
        <w:t>adversarial evaluation hygiene</w:t>
      </w:r>
      <w:r>
        <w:rPr>
          <w:rFonts w:ascii="Times New Roman" w:hAnsi="Times New Roman" w:eastAsia="SimSun"/>
          <w:sz w:val="22"/>
        </w:rPr>
        <w:t>, which is what makes a robustness claim interpretable:</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 and produced a spurious conclusion in our own earlier experiment.</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easy and conclusive; where it is not, the bound is the honest statement.</w:t>
      </w:r>
    </w:p>
    <w:p>
      <w:pPr>
        <w:pStyle w:val="ListNumber"/>
        <w:spacing w:line="360" w:lineRule="auto"/>
      </w:pPr>
      <w:r>
        <w:rPr>
          <w:rFonts w:ascii="Times New Roman" w:hAnsi="Times New Roman" w:eastAsia="SimSun"/>
          <w:b/>
          <w:sz w:val="22"/>
        </w:rPr>
        <w:t>State the threat model explicitly, including whether the attacker knows the defense.</w:t>
      </w:r>
      <w:r>
        <w:rPr>
          <w:rFonts w:ascii="Times New Roman" w:hAnsi="Times New Roman" w:eastAsia="SimSun"/>
          <w:sz w:val="22"/>
        </w:rPr>
        <w:t xml:space="preserve"> A robustness claim without this qualifier is uninterpretable, and the qualifier is what separates the two evaluations in §5.2.</w:t>
      </w:r>
    </w:p>
    <w:p>
      <w:pPr>
        <w:pStyle w:val="ListNumber"/>
        <w:spacing w:line="360" w:lineRule="auto"/>
      </w:pPr>
      <w:r>
        <w:rPr>
          <w:rFonts w:ascii="Times New Roman" w:hAnsi="Times New Roman" w:eastAsia="SimSun"/>
          <w:b/>
          <w:sz w:val="22"/>
        </w:rPr>
        <w:t>Report adversarial inclusion as a function of attacker strength, not at a single operating point.</w:t>
      </w:r>
      <w:r>
        <w:rPr>
          <w:rFonts w:ascii="Times New Roman" w:hAnsi="Times New Roman" w:eastAsia="SimSun"/>
          <w:sz w:val="22"/>
        </w:rPr>
        <w:t xml:space="preserve"> One value cannot distinguish a robust defense from one evaluated below its failure threshold. In our sweep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A defense can achieve low adversarial inclusion trivially by returning fewer or worse passages, which is why §5.2 reports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xml:space="preserve"> Report the attacker's optimal response to the expectation rather than to a sample; by Proposition 4, randomisation bounds variance and not the expectation.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xml:space="preserve"> If it is, treat it as a constraint in the attacker's optimisation rather than as an unknown; by Corollary 2 that is the difference between a cost and a barrier.</w:t>
      </w:r>
    </w:p>
    <w:p>
      <w:r>
        <w:rPr>
          <w:rFonts w:ascii="Times New Roman" w:hAnsi="Times New Roman" w:eastAsia="SimSun"/>
          <w:sz w:val="22"/>
        </w:rPr>
        <w:t>Point 9 is the one most easily overlooked and, in our experiments, decisive for the defense that looked strongest statically. Point 5 is the one most often omitted in this literature. We suggest that points 1–4 are prerequisites for a fairness statistic to be reported at all under adversarial conditions, and points 5–9 for a robustness claim to be credited.</w:t>
      </w:r>
    </w:p>
    <w:p>
      <w:r>
        <w:rPr>
          <w:rFonts w:ascii="Times New Roman" w:hAnsi="Times New Roman" w:eastAsia="SimSun"/>
          <w:sz w:val="22"/>
        </w:rPr>
        <w:t>We have reported an exploratory provenance signal in the direction the protocol implies — evidence about individual passages rather than about aggregates —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11;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