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Every such statistic has the same form — a per-group quantity aggregated across groups — and we show that an adversary who knows this can defeat the aggregation in exactly </w:t>
      </w:r>
      <w:r>
        <w:rPr>
          <w:rFonts w:ascii="Times New Roman" w:hAnsi="Times New Roman" w:eastAsia="SimSun"/>
          <w:b/>
          <w:sz w:val="22"/>
        </w:rPr>
        <w:t>three ways</w:t>
      </w:r>
      <w:r>
        <w:rPr>
          <w:rFonts w:ascii="Times New Roman" w:hAnsi="Times New Roman" w:eastAsia="SimSun"/>
          <w:sz w:val="22"/>
        </w:rPr>
        <w:t>, which together explain why the defenses built on these statistics fail:</w:t>
      </w:r>
    </w:p>
    <w:p>
      <w:pPr>
        <w:pStyle w:val="ListBullet"/>
        <w:spacing w:line="360" w:lineRule="auto"/>
      </w:pPr>
      <w:r>
        <w:rPr>
          <w:rFonts w:ascii="Times New Roman" w:hAnsi="Times New Roman" w:eastAsia="SimSun"/>
          <w:b/>
          <w:sz w:val="22"/>
        </w:rPr>
        <w:t>F1, balanced count.</w:t>
      </w:r>
      <w:r>
        <w:rPr>
          <w:rFonts w:ascii="Times New Roman" w:hAnsi="Times New Roman" w:eastAsia="SimSun"/>
          <w:sz w:val="22"/>
        </w:rPr>
        <w:t xml:space="preserve"> The injection contributes equally to every group, so any statistic over group counts returns its clean value.</w:t>
      </w:r>
    </w:p>
    <w:p>
      <w:pPr>
        <w:pStyle w:val="ListBullet"/>
        <w:spacing w:line="360" w:lineRule="auto"/>
      </w:pPr>
      <w:r>
        <w:rPr>
          <w:rFonts w:ascii="Times New Roman" w:hAnsi="Times New Roman" w:eastAsia="SimSun"/>
          <w:b/>
          <w:sz w:val="22"/>
        </w:rPr>
        <w:t>F2, preserved nuisance.</w:t>
      </w:r>
      <w:r>
        <w:rPr>
          <w:rFonts w:ascii="Times New Roman" w:hAnsi="Times New Roman" w:eastAsia="SimSun"/>
          <w:sz w:val="22"/>
        </w:rPr>
        <w:t xml:space="preserve"> The statistic is anchored to a reference the attack does not change, so it reports the component that varies with the query rather than the one that varies with the attack.</w:t>
      </w:r>
    </w:p>
    <w:p>
      <w:pPr>
        <w:pStyle w:val="ListBullet"/>
        <w:spacing w:line="360" w:lineRule="auto"/>
      </w:pPr>
      <w:r>
        <w:rPr>
          <w:rFonts w:ascii="Times New Roman" w:hAnsi="Times New Roman" w:eastAsia="SimSun"/>
          <w:b/>
          <w:sz w:val="22"/>
        </w:rPr>
        <w:t>F3, cancelled shift.</w:t>
      </w:r>
      <w:r>
        <w:rPr>
          <w:rFonts w:ascii="Times New Roman" w:hAnsi="Times New Roman" w:eastAsia="SimSun"/>
          <w:sz w:val="22"/>
        </w:rPr>
        <w:t xml:space="preserve"> The attack moves all groups together, so any difference between groups is unchanged however far the groups move.</w:t>
      </w:r>
    </w:p>
    <w:p>
      <w:r>
        <w:rPr>
          <w:rFonts w:ascii="Times New Roman" w:hAnsi="Times New Roman" w:eastAsia="SimSun"/>
          <w:sz w:val="22"/>
        </w:rPr>
        <w:t xml:space="preserve">The three modes are not a description but a </w:t>
      </w:r>
      <w:r>
        <w:rPr>
          <w:rFonts w:ascii="Times New Roman" w:hAnsi="Times New Roman" w:eastAsia="SimSun"/>
          <w:b/>
          <w:sz w:val="22"/>
        </w:rPr>
        <w:t>test</w:t>
      </w:r>
      <w:r>
        <w:rPr>
          <w:rFonts w:ascii="Times New Roman" w:hAnsi="Times New Roman" w:eastAsia="SimSun"/>
          <w:sz w:val="22"/>
        </w:rPr>
        <w:t xml:space="preserve">: each can be checked against a candidate statistic before any attack is built, and we use them to predict which existing metrics will be blind. To separate </w:t>
      </w:r>
      <w:r>
        <w:rPr>
          <w:rFonts w:ascii="Times New Roman" w:hAnsi="Times New Roman" w:eastAsia="SimSun"/>
          <w:i/>
          <w:sz w:val="22"/>
        </w:rPr>
        <w:t>blind to this adversary</w:t>
      </w:r>
      <w:r>
        <w:rPr>
          <w:rFonts w:ascii="Times New Roman" w:hAnsi="Times New Roman" w:eastAsia="SimSun"/>
          <w:sz w:val="22"/>
        </w:rPr>
        <w:t xml:space="preserve"> from </w:t>
      </w:r>
      <w:r>
        <w:rPr>
          <w:rFonts w:ascii="Times New Roman" w:hAnsi="Times New Roman" w:eastAsia="SimSun"/>
          <w:i/>
          <w:sz w:val="22"/>
        </w:rPr>
        <w:t>broken instrument</w:t>
      </w:r>
      <w:r>
        <w:rPr>
          <w:rFonts w:ascii="Times New Roman" w:hAnsi="Times New Roman" w:eastAsia="SimSun"/>
          <w:sz w:val="22"/>
        </w:rPr>
        <w:t>, we add a positive control in which the ground truth changes by a known amount and the same statistics must respond: they do, monotonically and in the right direction.</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on our controlled corpus, injection moves the suppressed group's stance by −0.13 to −0.18 and the favoured group's by +0.13, consistently across </w:t>
      </w:r>
      <w:r>
        <w:rPr>
          <w:rFonts w:ascii="Times New Roman" w:hAnsi="Times New Roman" w:eastAsia="SimSun"/>
          <w:b/>
          <w:sz w:val="22"/>
        </w:rPr>
        <w:t>four generators spanning three model families</w:t>
      </w:r>
      <w:r>
        <w:rPr>
          <w:rFonts w:ascii="Times New Roman" w:hAnsi="Times New Roman" w:eastAsia="SimSun"/>
          <w:sz w:val="22"/>
        </w:rPr>
        <w:t xml:space="preserve"> — API-served Qwen and DeepSeek models plus an open-weight Mistral-7B run locally — at $p \le 0.0035$ in all six per-group comparisons; the absolute gap moves by less than 0.002 for three of the four. We reproduced, one level up, the exact error we identify at the retrieval layer. </w:t>
      </w:r>
      <w:r>
        <w:rPr>
          <w:rFonts w:ascii="Times New Roman" w:hAnsi="Times New Roman" w:eastAsia="SimSun"/>
          <w:b/>
          <w:sz w:val="22"/>
        </w:rPr>
        <w:t>That effect does not survive a naturally written corpus, and we report the failure rather than the controlled-corpus number alone</w:t>
      </w:r>
      <w:r>
        <w:rPr>
          <w:rFonts w:ascii="Times New Roman" w:hAnsi="Times New Roman" w:eastAsia="SimSun"/>
          <w:sz w:val="22"/>
        </w:rPr>
        <w:t>: on the full BBQ benchmark, 144 distinct naturally written questions, two of three generators show no measurable shift at all and the third shows one three to six times smaller with a different group-wise signature. The propagation claim is therefore scoped to a template corpus whose questions presuppose their answers — a property our own negative control had already exposed — and the general claim is withdrawn.</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b/>
          <w:sz w:val="22"/>
        </w:rPr>
        <w:t>Table 10.</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b/>
          <w:sz w:val="22"/>
        </w:rPr>
        <w:t>Table 11.</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11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The same experiment on a naturally written corpus, which does not replicate it.</w:t>
      </w:r>
      <w:r>
        <w:rPr>
          <w:rFonts w:ascii="Times New Roman" w:hAnsi="Times New Roman" w:eastAsia="SimSun"/>
          <w:sz w:val="22"/>
        </w:rPr>
        <w:t xml:space="preserve"> The section above is measured on the controlled corpus, whose questions presuppose their own answers. That corpus was rendered affordable to improve: encoder throughput on an RTX 5060 is 171x the CPU rate measured here (1079 against 6.3 documents per second), and we verified that the device changes none of the reported retrieval metrics — all nine attack-by-metric combinations are identical to four decimal places — so the full 17,792-document BBQ corpus could be used instead of a subsample. It supplies 144 distinct, naturally written questions in place of our 16.</w:t>
      </w:r>
    </w:p>
    <w:p>
      <w:r>
        <w:rPr>
          <w:rFonts w:ascii="Times New Roman" w:hAnsi="Times New Roman" w:eastAsia="SimSun"/>
          <w:b/>
          <w:sz w:val="22"/>
        </w:rPr>
        <w:t>Table 13.</w:t>
      </w:r>
      <w:r>
        <w:rPr>
          <w:rFonts w:ascii="Times New Roman" w:hAnsi="Times New Roman" w:eastAsia="SimSun"/>
          <w:sz w:val="22"/>
        </w:rPr>
        <w:t xml:space="preserve"> The same generation-stage measurement on the full BBQ corpus. 144 queries, four conditions,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−0.0091</w:t>
            </w:r>
          </w:p>
        </w:tc>
        <w:tc>
          <w:tcPr>
            <w:tcW w:type="dxa" w:w="1377"/>
          </w:tcPr>
          <w:p>
            <w:pPr>
              <w:spacing w:line="240" w:lineRule="auto" w:after="0"/>
            </w:pPr>
            <w:r>
              <w:rPr>
                <w:rFonts w:ascii="Times New Roman" w:hAnsi="Times New Roman" w:eastAsia="SimSun"/>
                <w:sz w:val="19"/>
              </w:rPr>
              <w:t>0.41</w:t>
            </w:r>
          </w:p>
        </w:tc>
        <w:tc>
          <w:tcPr>
            <w:tcW w:type="dxa" w:w="1377"/>
          </w:tcPr>
          <w:p>
            <w:pPr>
              <w:spacing w:line="240" w:lineRule="auto" w:after="0"/>
            </w:pPr>
            <w:r>
              <w:rPr>
                <w:rFonts w:ascii="Times New Roman" w:hAnsi="Times New Roman" w:eastAsia="SimSun"/>
                <w:sz w:val="19"/>
              </w:rPr>
              <w:t>+0.0012</w:t>
            </w:r>
          </w:p>
        </w:tc>
        <w:tc>
          <w:tcPr>
            <w:tcW w:type="dxa" w:w="1377"/>
          </w:tcPr>
          <w:p>
            <w:pPr>
              <w:spacing w:line="240" w:lineRule="auto" w:after="0"/>
            </w:pPr>
            <w:r>
              <w:rPr>
                <w:rFonts w:ascii="Times New Roman" w:hAnsi="Times New Roman" w:eastAsia="SimSun"/>
                <w:sz w:val="19"/>
              </w:rPr>
              <w:t>0.82</w:t>
            </w:r>
          </w:p>
        </w:tc>
        <w:tc>
          <w:tcPr>
            <w:tcW w:type="dxa" w:w="1377"/>
          </w:tcPr>
          <w:p>
            <w:pPr>
              <w:spacing w:line="240" w:lineRule="auto" w:after="0"/>
            </w:pPr>
            <w:r>
              <w:rPr>
                <w:rFonts w:ascii="Times New Roman" w:hAnsi="Times New Roman" w:eastAsia="SimSun"/>
                <w:sz w:val="19"/>
              </w:rPr>
              <w:t>−0.0014</w:t>
            </w:r>
          </w:p>
        </w:tc>
        <w:tc>
          <w:tcPr>
            <w:tcW w:type="dxa" w:w="1377"/>
          </w:tcPr>
          <w:p>
            <w:pPr>
              <w:spacing w:line="240" w:lineRule="auto" w:after="0"/>
            </w:pPr>
            <w:r>
              <w:rPr>
                <w:rFonts w:ascii="Times New Roman" w:hAnsi="Times New Roman" w:eastAsia="SimSun"/>
                <w:sz w:val="19"/>
              </w:rPr>
              <w:t>0.95</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−0.0075</w:t>
            </w:r>
          </w:p>
        </w:tc>
        <w:tc>
          <w:tcPr>
            <w:tcW w:type="dxa" w:w="1377"/>
          </w:tcPr>
          <w:p>
            <w:pPr>
              <w:spacing w:line="240" w:lineRule="auto" w:after="0"/>
            </w:pPr>
            <w:r>
              <w:rPr>
                <w:rFonts w:ascii="Times New Roman" w:hAnsi="Times New Roman" w:eastAsia="SimSun"/>
                <w:sz w:val="19"/>
              </w:rPr>
              <w:t>0.52</w:t>
            </w:r>
          </w:p>
        </w:tc>
        <w:tc>
          <w:tcPr>
            <w:tcW w:type="dxa" w:w="1377"/>
          </w:tcPr>
          <w:p>
            <w:pPr>
              <w:spacing w:line="240" w:lineRule="auto" w:after="0"/>
            </w:pPr>
            <w:r>
              <w:rPr>
                <w:rFonts w:ascii="Times New Roman" w:hAnsi="Times New Roman" w:eastAsia="SimSun"/>
                <w:sz w:val="19"/>
              </w:rPr>
              <w:t>+0.0017</w:t>
            </w:r>
          </w:p>
        </w:tc>
        <w:tc>
          <w:tcPr>
            <w:tcW w:type="dxa" w:w="1377"/>
          </w:tcPr>
          <w:p>
            <w:pPr>
              <w:spacing w:line="240" w:lineRule="auto" w:after="0"/>
            </w:pPr>
            <w:r>
              <w:rPr>
                <w:rFonts w:ascii="Times New Roman" w:hAnsi="Times New Roman" w:eastAsia="SimSun"/>
                <w:sz w:val="19"/>
              </w:rPr>
              <w:t>0.78</w:t>
            </w:r>
          </w:p>
        </w:tc>
        <w:tc>
          <w:tcPr>
            <w:tcW w:type="dxa" w:w="1377"/>
          </w:tcPr>
          <w:p>
            <w:pPr>
              <w:spacing w:line="240" w:lineRule="auto" w:after="0"/>
            </w:pPr>
            <w:r>
              <w:rPr>
                <w:rFonts w:ascii="Times New Roman" w:hAnsi="Times New Roman" w:eastAsia="SimSun"/>
                <w:sz w:val="19"/>
              </w:rPr>
              <w:t>−0.0028</w:t>
            </w:r>
          </w:p>
        </w:tc>
        <w:tc>
          <w:tcPr>
            <w:tcW w:type="dxa" w:w="1377"/>
          </w:tcPr>
          <w:p>
            <w:pPr>
              <w:spacing w:line="240" w:lineRule="auto" w:after="0"/>
            </w:pPr>
            <w:r>
              <w:rPr>
                <w:rFonts w:ascii="Times New Roman" w:hAnsi="Times New Roman" w:eastAsia="SimSun"/>
                <w:sz w:val="19"/>
              </w:rPr>
              <w:t>0.91</w:t>
            </w:r>
          </w:p>
        </w:tc>
      </w:tr>
      <w:tr>
        <w:tc>
          <w:tcPr>
            <w:tcW w:type="dxa" w:w="1377"/>
          </w:tcPr>
          <w:p>
            <w:pPr>
              <w:spacing w:line="240" w:lineRule="auto" w:after="0"/>
            </w:pPr>
            <w:r>
              <w:rPr>
                <w:rFonts w:ascii="Times New Roman" w:hAnsi="Times New Roman" w:eastAsia="SimSun"/>
                <w:b/>
                <w:sz w:val="19"/>
              </w:rPr>
              <w:t>mistral-7b</w:t>
            </w:r>
          </w:p>
        </w:tc>
        <w:tc>
          <w:tcPr>
            <w:tcW w:type="dxa" w:w="1377"/>
          </w:tcPr>
          <w:p>
            <w:pPr>
              <w:spacing w:line="240" w:lineRule="auto" w:after="0"/>
            </w:pPr>
            <w:r>
              <w:rPr>
                <w:rFonts w:ascii="Times New Roman" w:hAnsi="Times New Roman" w:eastAsia="SimSun"/>
                <w:b/>
                <w:sz w:val="19"/>
              </w:rPr>
              <w:t>+0.0420</w:t>
            </w:r>
          </w:p>
        </w:tc>
        <w:tc>
          <w:tcPr>
            <w:tcW w:type="dxa" w:w="1377"/>
          </w:tcPr>
          <w:p>
            <w:pPr>
              <w:spacing w:line="240" w:lineRule="auto" w:after="0"/>
            </w:pPr>
            <w:r>
              <w:rPr>
                <w:rFonts w:ascii="Times New Roman" w:hAnsi="Times New Roman" w:eastAsia="SimSun"/>
                <w:b/>
                <w:sz w:val="19"/>
              </w:rPr>
              <w:t>0.006</w:t>
            </w:r>
          </w:p>
        </w:tc>
        <w:tc>
          <w:tcPr>
            <w:tcW w:type="dxa" w:w="1377"/>
          </w:tcPr>
          <w:p>
            <w:pPr>
              <w:spacing w:line="240" w:lineRule="auto" w:after="0"/>
            </w:pPr>
            <w:r>
              <w:rPr>
                <w:rFonts w:ascii="Times New Roman" w:hAnsi="Times New Roman" w:eastAsia="SimSun"/>
                <w:b/>
                <w:sz w:val="19"/>
              </w:rPr>
              <w:t>+0.0435</w:t>
            </w:r>
          </w:p>
        </w:tc>
        <w:tc>
          <w:tcPr>
            <w:tcW w:type="dxa" w:w="1377"/>
          </w:tcPr>
          <w:p>
            <w:pPr>
              <w:spacing w:line="240" w:lineRule="auto" w:after="0"/>
            </w:pPr>
            <w:r>
              <w:rPr>
                <w:rFonts w:ascii="Times New Roman" w:hAnsi="Times New Roman" w:eastAsia="SimSun"/>
                <w:b/>
                <w:sz w:val="19"/>
              </w:rPr>
              <w:t>0.006</w:t>
            </w:r>
          </w:p>
        </w:tc>
        <w:tc>
          <w:tcPr>
            <w:tcW w:type="dxa" w:w="1377"/>
          </w:tcPr>
          <w:p>
            <w:pPr>
              <w:spacing w:line="240" w:lineRule="auto" w:after="0"/>
            </w:pPr>
            <w:r>
              <w:rPr>
                <w:rFonts w:ascii="Times New Roman" w:hAnsi="Times New Roman" w:eastAsia="SimSun"/>
                <w:b/>
                <w:sz w:val="19"/>
              </w:rPr>
              <w:t>+0.0209</w:t>
            </w:r>
          </w:p>
        </w:tc>
        <w:tc>
          <w:tcPr>
            <w:tcW w:type="dxa" w:w="1377"/>
          </w:tcPr>
          <w:p>
            <w:pPr>
              <w:spacing w:line="240" w:lineRule="auto" w:after="0"/>
            </w:pPr>
            <w:r>
              <w:rPr>
                <w:rFonts w:ascii="Times New Roman" w:hAnsi="Times New Roman" w:eastAsia="SimSun"/>
                <w:b/>
                <w:sz w:val="19"/>
              </w:rPr>
              <w:t>0.030</w:t>
            </w:r>
          </w:p>
        </w:tc>
      </w:tr>
    </w:tbl>
    <w:p/>
    <w:p>
      <w:r>
        <w:rPr>
          <w:rFonts w:ascii="Times New Roman" w:hAnsi="Times New Roman" w:eastAsia="SimSun"/>
          <w:sz w:val="22"/>
        </w:rPr>
        <w:t>The effect does not carry over, and three separate things distinguish the two settings:</w:t>
      </w:r>
    </w:p>
    <w:p>
      <w:pPr>
        <w:pStyle w:val="ListBullet"/>
        <w:spacing w:line="360" w:lineRule="auto"/>
      </w:pPr>
      <w:r>
        <w:rPr>
          <w:rFonts w:ascii="Times New Roman" w:hAnsi="Times New Roman" w:eastAsia="SimSun"/>
          <w:b/>
          <w:sz w:val="22"/>
        </w:rPr>
        <w:t>Magnitude.</w:t>
      </w:r>
      <w:r>
        <w:rPr>
          <w:rFonts w:ascii="Times New Roman" w:hAnsi="Times New Roman" w:eastAsia="SimSun"/>
          <w:sz w:val="22"/>
        </w:rPr>
        <w:t xml:space="preserve"> 0.02–0.04 on BBQ against 0.13 on the controlled corpus.</w:t>
      </w:r>
    </w:p>
    <w:p>
      <w:pPr>
        <w:pStyle w:val="ListBullet"/>
        <w:spacing w:line="360" w:lineRule="auto"/>
      </w:pPr>
      <w:r>
        <w:rPr>
          <w:rFonts w:ascii="Times New Roman" w:hAnsi="Times New Roman" w:eastAsia="SimSun"/>
          <w:b/>
          <w:sz w:val="22"/>
        </w:rPr>
        <w:t>Sign.</w:t>
      </w:r>
      <w:r>
        <w:rPr>
          <w:rFonts w:ascii="Times New Roman" w:hAnsi="Times New Roman" w:eastAsia="SimSun"/>
          <w:sz w:val="22"/>
        </w:rPr>
        <w:t xml:space="preserve"> On BBQ the local model moves </w:t>
      </w:r>
      <w:r>
        <w:rPr>
          <w:rFonts w:ascii="Times New Roman" w:hAnsi="Times New Roman" w:eastAsia="SimSun"/>
          <w:i/>
          <w:sz w:val="22"/>
        </w:rPr>
        <w:t>both</w:t>
      </w:r>
      <w:r>
        <w:rPr>
          <w:rFonts w:ascii="Times New Roman" w:hAnsi="Times New Roman" w:eastAsia="SimSun"/>
          <w:sz w:val="22"/>
        </w:rPr>
        <w:t xml:space="preserve"> groups upward, rather than one collapsing while the other rises. The two API generators show no effect at all, and what little movement there is points the other way.</w:t>
      </w:r>
    </w:p>
    <w:p>
      <w:pPr>
        <w:pStyle w:val="ListBullet"/>
        <w:spacing w:line="360" w:lineRule="auto"/>
      </w:pPr>
      <w:r>
        <w:rPr>
          <w:rFonts w:ascii="Times New Roman" w:hAnsi="Times New Roman" w:eastAsia="SimSun"/>
          <w:b/>
          <w:sz w:val="22"/>
        </w:rPr>
        <w:t>Coverage.</w:t>
      </w:r>
      <w:r>
        <w:rPr>
          <w:rFonts w:ascii="Times New Roman" w:hAnsi="Times New Roman" w:eastAsia="SimSun"/>
          <w:sz w:val="22"/>
        </w:rPr>
        <w:t xml:space="preserve"> Three of the six per-group comparisons reach $p &lt; 0.05$ on BBQ, against six of six on the controlled corpus.</w:t>
      </w:r>
    </w:p>
    <w:p>
      <w:r>
        <w:rPr>
          <w:rFonts w:ascii="Times New Roman" w:hAnsi="Times New Roman" w:eastAsia="SimSun"/>
          <w:b/>
          <w:sz w:val="22"/>
        </w:rPr>
        <w:t>We therefore narrow the propagation claim rather than the corpus.</w:t>
      </w:r>
      <w:r>
        <w:rPr>
          <w:rFonts w:ascii="Times New Roman" w:hAnsi="Times New Roman" w:eastAsia="SimSun"/>
          <w:sz w:val="22"/>
        </w:rPr>
        <w:t xml:space="preserve"> Finding 8 holds for a template corpus whose questions presuppose their answers, which is what the controlled corpus is; it does not hold for the naturally written benchmark. The negative control in §8 pointed the same way before this experiment existed: on the controlled corpus the generator ignored a context whose stance had been </w:t>
      </w:r>
      <w:r>
        <w:rPr>
          <w:rFonts w:ascii="Times New Roman" w:hAnsi="Times New Roman" w:eastAsia="SimSun"/>
          <w:i/>
          <w:sz w:val="22"/>
        </w:rPr>
        <w:t>inverted</w:t>
      </w:r>
      <w:r>
        <w:rPr>
          <w:rFonts w:ascii="Times New Roman" w:hAnsi="Times New Roman" w:eastAsia="SimSun"/>
          <w:sz w:val="22"/>
        </w:rPr>
        <w:t xml:space="preserve"> while reacting to a completely unrelated one, so its answers there are determined by the question's framing rather than by the evidence. A corpus built that way can register an effect that a natural corpus does not, and the honest reading is that the retrieval-layer skew is consequential </w:t>
      </w:r>
      <w:r>
        <w:rPr>
          <w:rFonts w:ascii="Times New Roman" w:hAnsi="Times New Roman" w:eastAsia="SimSun"/>
          <w:b/>
          <w:sz w:val="22"/>
        </w:rPr>
        <w:t>when the generator is genuinely weighing the retrieved evidence</w:t>
      </w:r>
      <w:r>
        <w:rPr>
          <w:rFonts w:ascii="Times New Roman" w:hAnsi="Times New Roman" w:eastAsia="SimSun"/>
          <w:sz w:val="22"/>
        </w:rPr>
        <w:t>, which our template corpus cannot guarantee and BBQ can measure.</w:t>
      </w:r>
    </w:p>
    <w:p>
      <w:r>
        <w:rPr>
          <w:rFonts w:ascii="Times New Roman" w:hAnsi="Times New Roman" w:eastAsia="SimSun"/>
          <w:sz w:val="22"/>
        </w:rPr>
        <w:t>This is the second finding in this paper that a wider evaluation narrowed, and both narrowed in the same direction: the controlled corpus supports stronger conclusions than the natural one, and we now treat that asymmetry as a property of the instrument rather than of the phenomenon.</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A caveat we insist on.</w:t>
      </w:r>
      <w:r>
        <w:rPr>
          <w:rFonts w:ascii="Times New Roman" w:hAnsi="Times New Roman" w:eastAsia="SimSun"/>
          <w:sz w:val="22"/>
        </w:rPr>
        <w:t xml:space="preserve"> The per-group report is more sensitive, and sensitivity is not validity. §5.7 also shows that on the controlled corpus the per-group shift is large and replicates across four generators while on the naturally written corpus it largely disappears, and our negative control attributes that to the controlled corpus's questions presupposing their answers. A more sensitive statistic will report a larger effect on an instrument that manufactures one. Sensitivity without a control is how a measurement paper produces a finding that does not exist, and we report both outcomes rather than the favourable one.</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now multi-generator and multi-corpus, and the wider evaluation weakened its conclusion.</w:t>
      </w:r>
      <w:r>
        <w:rPr>
          <w:rFonts w:ascii="Times New Roman" w:hAnsi="Times New Roman" w:eastAsia="SimSun"/>
          <w:sz w:val="22"/>
        </w:rPr>
        <w:t xml:space="preserve"> §5.7 reports four generators spanning three model families (API-served Qwen and DeepSeek, plus open-weight Mistral-7B run locally in 4-bit on an RTX 5060), scored by entailment rather than by a prompted judge, with paired permutation tests and bootstrap intervals. Two limits remain, and the second is the important one.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the generation-stage comparison holds retrieval fixed, so the encoder-dependence documented in §5.5 is not varied here. (ii) </w:t>
      </w:r>
      <w:r>
        <w:rPr>
          <w:rFonts w:ascii="Times New Roman" w:hAnsi="Times New Roman" w:eastAsia="SimSun"/>
          <w:i/>
          <w:sz w:val="22"/>
        </w:rPr>
        <w:t>The effect does not generalise to a naturally written corpus.</w:t>
      </w:r>
      <w:r>
        <w:rPr>
          <w:rFonts w:ascii="Times New Roman" w:hAnsi="Times New Roman" w:eastAsia="SimSun"/>
          <w:sz w:val="22"/>
        </w:rPr>
        <w:t xml:space="preserve"> On the controlled corpus the per-group shift is large and replicates across all four generators ($p \le 0.0035$ in six of six per-group comparisons). On the full BBQ benchmark, with 144 distinct naturally written questions, two of three generators show no measurable shift and the third shows one three to six times smaller with a different signature. We therefore scope the propagation claim to template corpora and withdraw the general form. This is not a power problem: BBQ supplies nine times as many distinct questions as the controlled corpus, and the two API generators give null results there with confidence intervals that exclude the controlled-corpus effect size. The negative control in §8 explains the asymmetry — on the controlled corpus the generator ignores an inverted context, so its answers are driven by the question's framing rather than by the evidence — and it is the reason we report the controlled-corpus result as scoped rather than as representative. A corpus whose questions presuppose their answers can produce a propagation effect that a natural corpus does not.</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