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Acta de conformidad de las reglas de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0488"/>
      </w:tblGrid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Proyecto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CalisFacu v1.0 · Equipo L-001 · COM450 Calidad de Software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[Nombre de la unidad educativa piloto]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Tarea y riesgo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T-004 · R02 (cálculo distinto al reglamento) · US-02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Reglas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docs/backlog/reglas-ministerio.md (RM 001/2026, decisiones del 13/10/2026)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Pruebas que lo verifican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  <w:t>calculo.casos.spec.ts y calculo.service.spec.ts, en cada build de Jenkins (M01)</w:t>
            </w:r>
          </w:p>
        </w:tc>
      </w:tr>
      <w:tr>
        <w:trPr>
          <w:cantSplit/>
        </w:trPr>
        <w:tc>
          <w:tcPr>
            <w:tcW w:type="dxa" w:w="3402"/>
          </w:tcPr>
          <w:p>
            <w:r>
              <w:rPr>
                <w:sz w:val="20"/>
              </w:rPr>
              <w:t>Fecha y lugar de la firma</w:t>
            </w:r>
          </w:p>
        </w:tc>
        <w:tc>
          <w:tcPr>
            <w:tcW w:type="dxa" w:w="10488"/>
          </w:tcPr>
          <w:p>
            <w:r>
              <w:rPr>
                <w:sz w:val="20"/>
              </w:rPr>
            </w:r>
          </w:p>
        </w:tc>
      </w:tr>
    </w:tbl>
    <w:p/>
    <w:p>
      <w:r>
        <w:t>El cliente confirma que CalisFacu calcula la nota trimestral y la nota anual como lo hace la unidad educativa según la RM 001/2026. Cada caso de esta acta es una prueba automática: si el cliente marca un caso o una decisión como "Cambiar", el equipo abre una solicitud de cambio (SQAP, Sección 16), corrige la prueba y el código, y vuelve a presentar el acta.</w:t>
      </w:r>
    </w:p>
    <w:p>
      <w:pPr>
        <w:pStyle w:val="Heading2"/>
      </w:pPr>
      <w:r>
        <w:rPr>
          <w:color w:val="1F4E79"/>
        </w:rPr>
        <w:t>1. Fórmula y puntajes (RM 001/2026)</w:t>
      </w:r>
    </w:p>
    <w:p>
      <w:pPr>
        <w:pStyle w:val="ListNumber"/>
      </w:pPr>
      <w:r>
        <w:t>Puntos de una dimensión = promedio de las notas de sus actividades × (puntaje máximo de la dimensión ÷ 100).</w:t>
      </w:r>
    </w:p>
    <w:p>
      <w:pPr>
        <w:pStyle w:val="ListNumber"/>
      </w:pPr>
      <w:r>
        <w:t>Nota trimestral = suma de los puntos de las cuatro dimensiones, redondeada al entero solo al final (0,5 hacia arriba).</w:t>
      </w:r>
    </w:p>
    <w:p>
      <w:pPr>
        <w:pStyle w:val="ListNumber"/>
      </w:pPr>
      <w:r>
        <w:t>Aprueba si la nota es 51 o más. Escala de cada actividad: 1 a 100.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1701"/>
        <w:gridCol w:w="1701"/>
        <w:gridCol w:w="2268"/>
        <w:gridCol w:w="1701"/>
      </w:tblGrid>
      <w:tr>
        <w:trPr>
          <w:cantSplit/>
          <w:tblHeader/>
        </w:trPr>
        <w:tc>
          <w:tcPr>
            <w:tcW w:type="dxa" w:w="2835"/>
            <w:shd w:val="clear" w:fill="DEEBF7"/>
          </w:tcPr>
          <w:p>
            <w:r>
              <w:rPr>
                <w:b/>
                <w:sz w:val="18"/>
              </w:rPr>
              <w:t>Dimensión</w:t>
            </w:r>
          </w:p>
        </w:tc>
        <w:tc>
          <w:tcPr>
            <w:tcW w:type="dxa" w:w="1701"/>
            <w:shd w:val="clear" w:fill="DEEBF7"/>
          </w:tcPr>
          <w:p>
            <w:r>
              <w:rPr>
                <w:b/>
                <w:sz w:val="18"/>
              </w:rPr>
              <w:t>Ser</w:t>
            </w:r>
          </w:p>
        </w:tc>
        <w:tc>
          <w:tcPr>
            <w:tcW w:type="dxa" w:w="1701"/>
            <w:shd w:val="clear" w:fill="DEEBF7"/>
          </w:tcPr>
          <w:p>
            <w:r>
              <w:rPr>
                <w:b/>
                <w:sz w:val="18"/>
              </w:rPr>
              <w:t>Saber</w:t>
            </w:r>
          </w:p>
        </w:tc>
        <w:tc>
          <w:tcPr>
            <w:tcW w:type="dxa" w:w="1701"/>
            <w:shd w:val="clear" w:fill="DEEBF7"/>
          </w:tcPr>
          <w:p>
            <w:r>
              <w:rPr>
                <w:b/>
                <w:sz w:val="18"/>
              </w:rPr>
              <w:t>Hacer</w:t>
            </w:r>
          </w:p>
        </w:tc>
        <w:tc>
          <w:tcPr>
            <w:tcW w:type="dxa" w:w="2268"/>
            <w:shd w:val="clear" w:fill="DEEBF7"/>
          </w:tcPr>
          <w:p>
            <w:r>
              <w:rPr>
                <w:b/>
                <w:sz w:val="18"/>
              </w:rPr>
              <w:t>Autoevaluación</w:t>
            </w:r>
          </w:p>
        </w:tc>
        <w:tc>
          <w:tcPr>
            <w:tcW w:type="dxa" w:w="1701"/>
            <w:shd w:val="clear" w:fill="DEEBF7"/>
          </w:tcPr>
          <w:p>
            <w:r>
              <w:rPr>
                <w:b/>
                <w:sz w:val="18"/>
              </w:rPr>
              <w:t>Total</w:t>
            </w:r>
          </w:p>
        </w:tc>
      </w:tr>
      <w:tr>
        <w:trPr>
          <w:cantSplit/>
        </w:trPr>
        <w:tc>
          <w:tcPr>
            <w:tcW w:type="dxa" w:w="2835"/>
          </w:tcPr>
          <w:p>
            <w:r>
              <w:rPr>
                <w:sz w:val="18"/>
              </w:rPr>
              <w:t>Puntaje máximo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100</w:t>
            </w:r>
          </w:p>
        </w:tc>
      </w:tr>
    </w:tbl>
    <w:p/>
    <w:p>
      <w:pPr>
        <w:pStyle w:val="Heading2"/>
      </w:pPr>
      <w:r>
        <w:rPr>
          <w:color w:val="1F4E79"/>
        </w:rPr>
        <w:t>2. Casos de la nota trimestral</w:t>
      </w:r>
    </w:p>
    <w:p>
      <w:r>
        <w:t>Promedio de cada dimensión (escala 1 a 100), puntos que aporta y nota final.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231"/>
        <w:gridCol w:w="737"/>
        <w:gridCol w:w="737"/>
        <w:gridCol w:w="737"/>
        <w:gridCol w:w="964"/>
        <w:gridCol w:w="2608"/>
        <w:gridCol w:w="1134"/>
        <w:gridCol w:w="737"/>
        <w:gridCol w:w="1134"/>
        <w:gridCol w:w="1361"/>
      </w:tblGrid>
      <w:tr>
        <w:trPr>
          <w:cantSplit/>
          <w:tblHeader/>
        </w:trPr>
        <w:tc>
          <w:tcPr>
            <w:tcW w:type="dxa" w:w="567"/>
            <w:shd w:val="clear" w:fill="DEEBF7"/>
          </w:tcPr>
          <w:p>
            <w:r>
              <w:rPr>
                <w:b/>
                <w:sz w:val="18"/>
              </w:rPr>
              <w:t>N.º</w:t>
            </w:r>
          </w:p>
        </w:tc>
        <w:tc>
          <w:tcPr>
            <w:tcW w:type="dxa" w:w="3231"/>
            <w:shd w:val="clear" w:fill="DEEBF7"/>
          </w:tcPr>
          <w:p>
            <w:r>
              <w:rPr>
                <w:b/>
                <w:sz w:val="18"/>
              </w:rPr>
              <w:t>Caso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Ser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Saber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Hacer</w:t>
            </w:r>
          </w:p>
        </w:tc>
        <w:tc>
          <w:tcPr>
            <w:tcW w:type="dxa" w:w="964"/>
            <w:shd w:val="clear" w:fill="DEEBF7"/>
          </w:tcPr>
          <w:p>
            <w:r>
              <w:rPr>
                <w:b/>
                <w:sz w:val="18"/>
              </w:rPr>
              <w:t>Autoev.</w:t>
            </w:r>
          </w:p>
        </w:tc>
        <w:tc>
          <w:tcPr>
            <w:tcW w:type="dxa" w:w="2608"/>
            <w:shd w:val="clear" w:fill="DEEBF7"/>
          </w:tcPr>
          <w:p>
            <w:r>
              <w:rPr>
                <w:b/>
                <w:sz w:val="18"/>
              </w:rPr>
              <w:t>Puntos (Ser + Saber + Hacer + Autoev.)</w:t>
            </w:r>
          </w:p>
        </w:tc>
        <w:tc>
          <w:tcPr>
            <w:tcW w:type="dxa" w:w="1134"/>
            <w:shd w:val="clear" w:fill="DEEBF7"/>
          </w:tcPr>
          <w:p>
            <w:r>
              <w:rPr>
                <w:b/>
                <w:sz w:val="18"/>
              </w:rPr>
              <w:t>Sin redondear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Nota</w:t>
            </w:r>
          </w:p>
        </w:tc>
        <w:tc>
          <w:tcPr>
            <w:tcW w:type="dxa" w:w="1134"/>
            <w:shd w:val="clear" w:fill="DEEBF7"/>
          </w:tcPr>
          <w:p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1361"/>
            <w:shd w:val="clear" w:fill="DEEBF7"/>
          </w:tcPr>
          <w:p>
            <w:r>
              <w:rPr>
                <w:b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Caso típico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8 + 36 + 32 + 5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Aprueba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Frontera: 50,5 se redondea a 51 (aprueba)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10 + 22,5 + 16 + 2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50,5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Aprueba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Frontera: 50,4 se redondea a 50 (reprueba)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8 + 23,4 + 16 + 3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50,4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Reprueba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Todo al máximo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10 + 45 + 40 + 5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Aprueba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231"/>
          </w:tcPr>
          <w:p>
            <w:r>
              <w:rPr>
                <w:sz w:val="18"/>
              </w:rPr>
              <w:t>Todo al mínimo de la escala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0,1 + 0,45 + 0,4 + 0,05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Reprueba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</w:tbl>
    <w:p/>
    <w:p>
      <w:pPr>
        <w:pStyle w:val="Heading2"/>
      </w:pPr>
      <w:r>
        <w:rPr>
          <w:color w:val="1F4E79"/>
        </w:rPr>
        <w:t>3. Nota anual y nota pendiente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3685"/>
        <w:gridCol w:w="2835"/>
        <w:gridCol w:w="737"/>
        <w:gridCol w:w="2494"/>
        <w:gridCol w:w="1361"/>
      </w:tblGrid>
      <w:tr>
        <w:trPr>
          <w:cantSplit/>
          <w:tblHeader/>
        </w:trPr>
        <w:tc>
          <w:tcPr>
            <w:tcW w:type="dxa" w:w="567"/>
            <w:shd w:val="clear" w:fill="DEEBF7"/>
          </w:tcPr>
          <w:p>
            <w:r>
              <w:rPr>
                <w:b/>
                <w:sz w:val="18"/>
              </w:rPr>
              <w:t>N.º</w:t>
            </w:r>
          </w:p>
        </w:tc>
        <w:tc>
          <w:tcPr>
            <w:tcW w:type="dxa" w:w="2268"/>
            <w:shd w:val="clear" w:fill="DEEBF7"/>
          </w:tcPr>
          <w:p>
            <w:r>
              <w:rPr>
                <w:b/>
                <w:sz w:val="18"/>
              </w:rPr>
              <w:t>Caso</w:t>
            </w:r>
          </w:p>
        </w:tc>
        <w:tc>
          <w:tcPr>
            <w:tcW w:type="dxa" w:w="3685"/>
            <w:shd w:val="clear" w:fill="DEEBF7"/>
          </w:tcPr>
          <w:p>
            <w:r>
              <w:rPr>
                <w:b/>
                <w:sz w:val="18"/>
              </w:rPr>
              <w:t>Datos</w:t>
            </w:r>
          </w:p>
        </w:tc>
        <w:tc>
          <w:tcPr>
            <w:tcW w:type="dxa" w:w="2835"/>
            <w:shd w:val="clear" w:fill="DEEBF7"/>
          </w:tcPr>
          <w:p>
            <w:r>
              <w:rPr>
                <w:b/>
                <w:sz w:val="18"/>
              </w:rPr>
              <w:t>Cálculo</w:t>
            </w:r>
          </w:p>
        </w:tc>
        <w:tc>
          <w:tcPr>
            <w:tcW w:type="dxa" w:w="737"/>
            <w:shd w:val="clear" w:fill="DEEBF7"/>
          </w:tcPr>
          <w:p>
            <w:r>
              <w:rPr>
                <w:b/>
                <w:sz w:val="18"/>
              </w:rPr>
              <w:t>Nota</w:t>
            </w:r>
          </w:p>
        </w:tc>
        <w:tc>
          <w:tcPr>
            <w:tcW w:type="dxa" w:w="2494"/>
            <w:shd w:val="clear" w:fill="DEEBF7"/>
          </w:tcPr>
          <w:p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1361"/>
            <w:shd w:val="clear" w:fill="DEEBF7"/>
          </w:tcPr>
          <w:p>
            <w:r>
              <w:rPr>
                <w:b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Nota anual (D3)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Trimestres 50, 51, 51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(50 + 51 + 51) ÷ 3 = 50,67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Aprueba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Nota anual (D3)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Trimestres 50, 50, 51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(50 + 50 + 51) ÷ 3 = 50,33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Reprueba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Dimensión sin notas (D4)</w:t>
            </w:r>
          </w:p>
        </w:tc>
        <w:tc>
          <w:tcPr>
            <w:tcW w:type="dxa" w:w="3685"/>
          </w:tcPr>
          <w:p>
            <w:r>
              <w:rPr>
                <w:sz w:val="18"/>
              </w:rPr>
              <w:t>Ser 80 · Saber 70 · Hacer 80 · Autoevaluación sin notas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No se calcula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Pendiente (falta Autoevaluación)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☐ Sí  ☐ No</w:t>
            </w:r>
          </w:p>
        </w:tc>
      </w:tr>
    </w:tbl>
    <w:p/>
    <w:p>
      <w:pPr>
        <w:pStyle w:val="Heading2"/>
      </w:pPr>
      <w:r>
        <w:rPr>
          <w:color w:val="1F4E79"/>
        </w:rPr>
        <w:t>4. Decisiones del equipo</w:t>
      </w:r>
    </w:p>
    <w:p>
      <w:r>
        <w:t>Las tomó el equipo porque el reglamento no las define o el SRS las dejó abiertas. El cliente marca cada una.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5669"/>
        <w:gridCol w:w="1134"/>
        <w:gridCol w:w="3118"/>
      </w:tblGrid>
      <w:tr>
        <w:trPr>
          <w:cantSplit/>
          <w:tblHeader/>
        </w:trPr>
        <w:tc>
          <w:tcPr>
            <w:tcW w:type="dxa" w:w="567"/>
            <w:shd w:val="clear" w:fill="DEEBF7"/>
          </w:tcPr>
          <w:p>
            <w:r>
              <w:rPr>
                <w:b/>
                <w:sz w:val="18"/>
              </w:rPr>
              <w:t>N.º</w:t>
            </w:r>
          </w:p>
        </w:tc>
        <w:tc>
          <w:tcPr>
            <w:tcW w:type="dxa" w:w="3402"/>
            <w:shd w:val="clear" w:fill="DEEBF7"/>
          </w:tcPr>
          <w:p>
            <w:r>
              <w:rPr>
                <w:b/>
                <w:sz w:val="18"/>
              </w:rPr>
              <w:t>Pregunta</w:t>
            </w:r>
          </w:p>
        </w:tc>
        <w:tc>
          <w:tcPr>
            <w:tcW w:type="dxa" w:w="5669"/>
            <w:shd w:val="clear" w:fill="DEEBF7"/>
          </w:tcPr>
          <w:p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1134"/>
            <w:shd w:val="clear" w:fill="DEEBF7"/>
          </w:tcPr>
          <w:p>
            <w:r>
              <w:rPr>
                <w:b/>
                <w:sz w:val="18"/>
              </w:rPr>
              <w:t>De acuerdo</w:t>
            </w:r>
          </w:p>
        </w:tc>
        <w:tc>
          <w:tcPr>
            <w:tcW w:type="dxa" w:w="3118"/>
            <w:shd w:val="clear" w:fill="DEEBF7"/>
          </w:tcPr>
          <w:p>
            <w:r>
              <w:rPr>
                <w:b/>
                <w:sz w:val="18"/>
              </w:rPr>
              <w:t>Cambiar (observación)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¿Se admite 0 en una actividad no presentada?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No. La escala es de 1 a 100; una actividad no presentada se registra con 1.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¿Cómo se redondea?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Al entero más cercano, 0,5 hacia arriba (ROUND_HALF_UP), solo al final de la suma.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¿La nota anual es el promedio de los 3 trimestres?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Sí, redondeado con la regla D2.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Dimensión sin notas: ¿"pendiente" o 0?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Pendiente: no hay nota trimestral hasta que las cuatro dimensiones tengan al menos una nota.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¿Una licencia cuenta como asistencia?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Sí: porcentaje = (presentes + licencias) / clases dictadas × 100, con un decimal.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Umbral de asistencia para "en riesgo"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Menos de 80 %, configurable por gestión. Riesgo = promedio &lt; 51 o asistencia &lt; 80 %.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Canal de notificación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Aviso dentro del sistema y correo electrónico.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¿Qué es una "fecha futura" en la asistencia?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Posterior a hoy en Bolivia (America/La_Paz), no a la fecha del servidor (UTC).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¿Se puede tomar asistencia a una parte del curso?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No: cada clase registra a todos los estudiantes del curso, así "clases dictadas" es igual para todos.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¿Cómo se sabe que un estudiante ya está inscrito en la gestión?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Por su código RUDE (Registro Único de Estudiantes): no se repite en una gestión; en otra gestión vuelve a inscribirse.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sz w:val="18"/>
              </w:rPr>
              <w:t>D11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¿Qué es "30 minutos sin actividad" en la sesión?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El token dura 30 minutos y la web lo renueva (POST /api/auth/renovar) mientras el usuario trabaja; sin peticiones durante 30 minutos, vence.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F4E79"/>
        </w:rPr>
        <w:t>5. Observaciones del cliente</w:t>
      </w:r>
    </w:p>
    <w:p>
      <w:r>
        <w:t>________________________________________________________________________________________________________________________</w:t>
      </w:r>
    </w:p>
    <w:p>
      <w:r>
        <w:t>________________________________________________________________________________________________________________________</w:t>
      </w:r>
    </w:p>
    <w:p>
      <w:r>
        <w:t>________________________________________________________________________________________________________________________</w:t>
      </w:r>
    </w:p>
    <w:p>
      <w:r>
        <w:t>________________________________________________________________________________________________________________________</w:t>
      </w:r>
    </w:p>
    <w:p>
      <w:pPr>
        <w:pStyle w:val="Heading2"/>
      </w:pPr>
      <w:r>
        <w:rPr>
          <w:color w:val="1F4E79"/>
        </w:rPr>
        <w:t>6. Decisión</w:t>
      </w:r>
    </w:p>
    <w:p>
      <w:r>
        <w:t>☐ Conforme: las reglas y los casos quedan aprobados.</w:t>
      </w:r>
    </w:p>
    <w:p>
      <w:r>
        <w:t>☐ Conforme con cambios: se abren las solicitudes de cambio anotadas en la Sección 5.</w:t>
      </w:r>
    </w:p>
    <w:p>
      <w:r>
        <w:t>☐ No conforme: se corrige y se vuelve a presentar el ____/____/2026.</w:t>
      </w:r>
    </w:p>
    <w:p>
      <w:pPr>
        <w:pStyle w:val="Heading2"/>
      </w:pPr>
      <w:r>
        <w:rPr>
          <w:color w:val="1F4E79"/>
        </w:rPr>
        <w:t>7. Firmas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4535"/>
        <w:gridCol w:w="5386"/>
      </w:tblGrid>
      <w:tr>
        <w:trPr>
          <w:cantSplit/>
          <w:tblHeader/>
        </w:trPr>
        <w:tc>
          <w:tcPr>
            <w:tcW w:type="dxa" w:w="3969"/>
            <w:shd w:val="clear" w:fill="DEEBF7"/>
          </w:tcPr>
          <w:p>
            <w:r>
              <w:rPr>
                <w:b/>
                <w:sz w:val="20"/>
              </w:rPr>
              <w:t>Nombre</w:t>
            </w:r>
          </w:p>
        </w:tc>
        <w:tc>
          <w:tcPr>
            <w:tcW w:type="dxa" w:w="4535"/>
            <w:shd w:val="clear" w:fill="DEEBF7"/>
          </w:tcPr>
          <w:p>
            <w:r>
              <w:rPr>
                <w:b/>
                <w:sz w:val="20"/>
              </w:rPr>
              <w:t>Rol</w:t>
            </w:r>
          </w:p>
        </w:tc>
        <w:tc>
          <w:tcPr>
            <w:tcW w:type="dxa" w:w="5386"/>
            <w:shd w:val="clear" w:fill="DEEBF7"/>
          </w:tcPr>
          <w:p>
            <w:r>
              <w:rPr>
                <w:b/>
                <w:sz w:val="20"/>
              </w:rPr>
              <w:t>Firma</w:t>
            </w:r>
          </w:p>
        </w:tc>
      </w:tr>
      <w:tr>
        <w:trPr>
          <w:cantSplit/>
          <w:trHeight w:val="907"/>
        </w:trPr>
        <w:tc>
          <w:tcPr>
            <w:tcW w:type="dxa" w:w="3969"/>
          </w:tcPr>
          <w:p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Cliente: profesor(a) representante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</w:r>
          </w:p>
        </w:tc>
      </w:tr>
      <w:tr>
        <w:trPr>
          <w:cantSplit/>
          <w:trHeight w:val="907"/>
        </w:trPr>
        <w:tc>
          <w:tcPr>
            <w:tcW w:type="dxa" w:w="3969"/>
          </w:tcPr>
          <w:p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Cliente: dirección o secretaría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</w:r>
          </w:p>
        </w:tc>
      </w:tr>
      <w:tr>
        <w:trPr>
          <w:cantSplit/>
          <w:trHeight w:val="907"/>
        </w:trPr>
        <w:tc>
          <w:tcPr>
            <w:tcW w:type="dxa" w:w="3969"/>
          </w:tcPr>
          <w:p>
            <w:r>
              <w:rPr>
                <w:sz w:val="20"/>
              </w:rPr>
              <w:t>Lujan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Autor (Líder y Arquitecto)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</w:r>
          </w:p>
        </w:tc>
      </w:tr>
      <w:tr>
        <w:trPr>
          <w:cantSplit/>
          <w:trHeight w:val="907"/>
        </w:trPr>
        <w:tc>
          <w:tcPr>
            <w:tcW w:type="dxa" w:w="3969"/>
          </w:tcPr>
          <w:p>
            <w:r>
              <w:rPr>
                <w:sz w:val="20"/>
              </w:rPr>
              <w:t>Galvan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Responsable SQA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footerReference w:type="default" r:id="rId9"/>
      <w:pgSz w:w="15840" w:h="12240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CalisFacu v1.0 · Acta de conformidad de las reglas de cálculo (T-004) · Equipo L-001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