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 w:line="276" w:lineRule="auto"/>
        <w:jc w:val="center"/>
      </w:pPr>
      <w:r>
        <w:rPr>
          <w:color w:val="1F4E79"/>
          <w:sz w:val="36"/>
        </w:rPr>
        <w:t>CalisFacu v1.0</w:t>
      </w:r>
    </w:p>
    <w:p>
      <w:pPr>
        <w:spacing w:after="60" w:line="276" w:lineRule="auto"/>
        <w:jc w:val="center"/>
      </w:pPr>
      <w:r>
        <w:rPr>
          <w:sz w:val="28"/>
        </w:rPr>
        <w:t>Documento de Arquitectura de Software (SAD)</w:t>
      </w:r>
    </w:p>
    <w:p>
      <w:pPr>
        <w:spacing w:after="240" w:line="276" w:lineRule="auto"/>
        <w:jc w:val="center"/>
      </w:pPr>
      <w:r>
        <w:rPr>
          <w:color w:val="767171"/>
          <w:sz w:val="24"/>
        </w:rPr>
        <w:t>Equipo L-001 · COM450 Calidad de Software · Gestión II/2026 · Versión 1.2</w:t>
      </w:r>
    </w:p>
    <w:p>
      <w:pPr>
        <w:pStyle w:val="Ttulo1"/>
      </w:pPr>
      <w:r>
        <w:t>1. Propósito</w:t>
      </w:r>
    </w:p>
    <w:p>
      <w:pPr>
        <w:spacing w:after="120" w:line="276" w:lineRule="auto"/>
      </w:pPr>
      <w:r>
        <w:t xml:space="preserve">Describe </w:t>
      </w:r>
      <w:r>
        <w:rPr>
          <w:b/>
        </w:rPr>
        <w:t>cómo</w:t>
      </w:r>
      <w:r>
        <w:t xml:space="preserve"> está construido CalisFacu: componentes, modelo de datos, seguridad, despliegue y las decisiones que cubren los RNF del SRS. Se inspecciona con Fagan el día 2 de la semana 1 (SQAP, Sección 6). Cada decisión importante tiene su ADR en </w:t>
      </w:r>
      <w:r>
        <w:rPr>
          <w:rFonts w:ascii="Consolas" w:hAnsi="Consolas" w:cs="Consolas"/>
          <w:sz w:val="19"/>
        </w:rPr>
        <w:t>docs/adr/</w:t>
      </w:r>
      <w:r>
        <w:t>.</w:t>
      </w:r>
    </w:p>
    <w:p>
      <w:pPr>
        <w:pStyle w:val="Ttulo1"/>
      </w:pPr>
      <w:r>
        <w:t>2. Vista general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816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1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 w:line="276" w:lineRule="auto"/>
        <w:jc w:val="center"/>
      </w:pPr>
      <w:r>
        <w:rPr>
          <w:b/>
          <w:color w:val="1F4E79"/>
          <w:sz w:val="19"/>
        </w:rPr>
        <w:t xml:space="preserve">Figura 1. </w:t>
      </w:r>
      <w:r>
        <w:rPr>
          <w:color w:val="595959"/>
          <w:sz w:val="19"/>
        </w:rPr>
        <w:t>Vista general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3175"/>
        <w:gridCol w:w="5434"/>
      </w:tblGrid>
      <w:tr>
        <w:trPr>
          <w:cantSplit/>
          <w:tblHeader/>
        </w:trPr>
        <w:tc>
          <w:tcPr>
            <w:tcW w:w="1471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w="3175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Tecnología</w:t>
            </w:r>
          </w:p>
        </w:tc>
        <w:tc>
          <w:tcPr>
            <w:tcW w:w="5434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Web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React + Vite + TypeScript, en Render</w:t>
            </w:r>
          </w:p>
        </w:tc>
        <w:tc>
          <w:tcPr>
            <w:tcW w:w="5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Pantallas de cada rol; valida la entrada y muestra los resultados que calcula la API</w:t>
            </w:r>
          </w:p>
        </w:tc>
      </w:tr>
      <w:tr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API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NestJS + TypeScript, en Render (Docker)</w:t>
            </w:r>
          </w:p>
        </w:tc>
        <w:tc>
          <w:tcPr>
            <w:tcW w:w="5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Reglas de negocio, autorización, cálculo, auditoría, PDF</w:t>
            </w:r>
          </w:p>
        </w:tc>
      </w:tr>
      <w:tr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Base de datos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PostgreSQL 16 con TypeORM</w:t>
            </w:r>
          </w:p>
        </w:tc>
        <w:tc>
          <w:tcPr>
            <w:tcW w:w="5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Datos académicos, notas y registro de auditoría</w:t>
            </w:r>
          </w:p>
        </w:tc>
      </w:tr>
      <w:tr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Cola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BullMQ + Redis (semana 3)</w:t>
            </w:r>
          </w:p>
        </w:tc>
        <w:tc>
          <w:tcPr>
            <w:tcW w:w="5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Generación de boletines de cursos grandes (RNF-03, R05)</w:t>
            </w:r>
          </w:p>
        </w:tc>
      </w:tr>
      <w:tr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CI/CD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Jenkins Multibranch (local, en Docker)</w:t>
            </w:r>
          </w:p>
        </w:tc>
        <w:tc>
          <w:tcPr>
            <w:tcW w:w="5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Pruebas, análisis, despliegue a staging y producción</w:t>
            </w:r>
          </w:p>
        </w:tc>
      </w:tr>
      <w:tr>
        <w:trPr>
          <w:cantSplit/>
        </w:trPr>
        <w:tc>
          <w:tcPr>
            <w:tcW w:w="14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Respaldos</w:t>
            </w:r>
          </w:p>
        </w:tc>
        <w:tc>
          <w:tcPr>
            <w:tcW w:w="31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GitHub Actions (</w:t>
            </w:r>
            <w:r>
              <w:rPr>
                <w:rFonts w:ascii="Consolas" w:hAnsi="Consolas" w:cs="Consolas"/>
                <w:sz w:val="18"/>
              </w:rPr>
              <w:t>backup.yml</w:t>
            </w:r>
            <w:r>
              <w:rPr>
                <w:sz w:val="19"/>
              </w:rPr>
              <w:t>)</w:t>
            </w:r>
          </w:p>
        </w:tc>
        <w:tc>
          <w:tcPr>
            <w:tcW w:w="5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pg_dump</w:t>
            </w:r>
            <w:r>
              <w:rPr>
                <w:sz w:val="19"/>
              </w:rPr>
              <w:t xml:space="preserve"> diario cifrado (RNF-07)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3. Estructura del repositorio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api/src/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main.ts · app.module.ts · app.setup.ts     arranque y configuración común (también la usan las pruebas)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common/decoradores.ts                      @Publico, @Roles, @UsuarioActual</w:t>
      </w:r>
    </w:p>
    <w:p>
      <w:pPr>
        <w:keepNext/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common/transformaciones.ts                 recorte y mayúsculas en DTO, duplicados (23505), LIKE seguro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database/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entities/                                entidades TypeORM (Sección 5)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migrations/                              migraciones versionadas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typeorm.config.ts · data-source.ts       configuración única (app, CLI, seed, pruebas)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naming.strategy.ts                       snake_case en tablas y columnas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seed.ts · reiniciar.ts                   datos sintéticos y reinicio (solo desarrollo)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modules/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salud/        GET /api/salud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auth/         [crítico] login, JWT, bloqueo, renovación, guards       US-17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notas/        [crítico] actividades, planilla, acceso por asignación  US-01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calculo/      [crítico] nota trimestral según la RM 001/2026          US-02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 [crítico] dimensiones por gestión: suman 100; bloqueadas  US-18 (T-015)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 si la gestión tiene notas (GET/PUT /api/gestiones/:id/dimensiones)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auditoria/    [crítico] corrección con motivo e historial             US-04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asistencia/   asistencia por clase y porcentaje por estudiante        US-19 (T-036)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academico/    cursos, estudiantes, materias y asignaciones,           US-18 (T-016)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 gestiones y trimestres, "mis materias", unidad educativa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 y su apariencia: colores y logo (ADR-0010)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api/test/        e2e con PostgreSQL real (autorizacion, notas, auditoria, dimensiones, asistencia, academico, esquema) y fixtures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web/src/         App (rutas por rol), componentes/ (marco, diálogos, estados de carga),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pages/{profesor,secretaria,admin,padre}, lib/ (cliente de la API, sesión, institución),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 xml:space="preserve">                 estilos/tema.css (tokens; colores de la institución desde la API, ADR-0010)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e2e/             Cypress</w:t>
      </w:r>
    </w:p>
    <w:p>
      <w:pPr>
        <w:keepLines/>
        <w:pBdr>
          <w:left w:val="single" w:color="9DBBD8" w:sz="12" w:space="6"/>
        </w:pBdr>
        <w:shd w:fill="F2F2F2" w:color="auto" w:val="clear"/>
        <w:spacing w:after="0" w:before="0" w:line="240"/>
        <w:ind w:left="170" w:right="170"/>
      </w:pPr>
      <w:r>
        <w:rPr>
          <w:rFonts w:ascii="Consolas" w:hAnsi="Consolas" w:cs="Consolas" w:eastAsia="Consolas"/>
          <w:sz w:val="17"/>
        </w:rPr>
        <w:t>perf/            planes de JMeter</w:t>
      </w:r>
    </w:p>
    <w:p>
      <w:pPr>
        <w:spacing w:after="60" w:line="276" w:lineRule="auto"/>
      </w:pPr>
    </w:p>
    <w:p>
      <w:pPr>
        <w:spacing w:after="120" w:line="276" w:lineRule="auto"/>
      </w:pPr>
      <w:r>
        <w:t xml:space="preserve">Los cuatro </w:t>
      </w:r>
      <w:r>
        <w:rPr>
          <w:b/>
        </w:rPr>
        <w:t>módulos críticos</w:t>
      </w:r>
      <w:r>
        <w:t xml:space="preserve"> (SQAP, Tabla 4) los programa solo Lujan, con TDD, y exigen cobertura ≥ 90 % (M06).</w:t>
      </w:r>
    </w:p>
    <w:p>
      <w:pPr>
        <w:pStyle w:val="Ttulo1"/>
      </w:pPr>
      <w:r>
        <w:t>4. Flujo de una petición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623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 w:line="276" w:lineRule="auto"/>
        <w:jc w:val="center"/>
      </w:pPr>
      <w:r>
        <w:rPr>
          <w:b/>
          <w:color w:val="1F4E79"/>
          <w:sz w:val="19"/>
        </w:rPr>
        <w:t xml:space="preserve">Figura 2. </w:t>
      </w:r>
      <w:r>
        <w:rPr>
          <w:color w:val="595959"/>
          <w:sz w:val="19"/>
        </w:rPr>
        <w:t>Flujo de una petición</w:t>
      </w:r>
    </w:p>
    <w:p>
      <w:pPr>
        <w:pStyle w:val="Ttulo1"/>
      </w:pPr>
      <w:r>
        <w:t>5. Modelo de datos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7623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7623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80" w:line="276" w:lineRule="auto"/>
        <w:jc w:val="center"/>
      </w:pPr>
      <w:r>
        <w:rPr>
          <w:b/>
          <w:color w:val="1F4E79"/>
          <w:sz w:val="19"/>
        </w:rPr>
        <w:t xml:space="preserve">Figura 3. </w:t>
      </w:r>
      <w:r>
        <w:rPr>
          <w:color w:val="595959"/>
          <w:sz w:val="19"/>
        </w:rPr>
        <w:t>Modelo de datos</w:t>
      </w:r>
    </w:p>
    <w:p>
      <w:pPr>
        <w:spacing w:after="120" w:line="276" w:lineRule="auto"/>
      </w:pPr>
      <w:r>
        <w:t>Decisiones del modelo:</w:t>
      </w:r>
    </w:p>
    <w:p>
      <w:pPr>
        <w:numPr>
          <w:ilvl w:val="0"/>
          <w:numId w:val="2"/>
        </w:numPr>
        <w:spacing w:after="80" w:line="276" w:lineRule="auto"/>
      </w:pPr>
      <w:r>
        <w:rPr>
          <w:rFonts w:ascii="Consolas" w:hAnsi="Consolas" w:cs="Consolas"/>
          <w:sz w:val="19"/>
        </w:rPr>
        <w:t>notas.valor</w:t>
      </w:r>
      <w:r>
        <w:t xml:space="preserve"> es </w:t>
      </w:r>
      <w:r>
        <w:rPr>
          <w:rFonts w:ascii="Consolas" w:hAnsi="Consolas" w:cs="Consolas"/>
          <w:sz w:val="19"/>
        </w:rPr>
        <w:t>numeric(5,2)</w:t>
      </w:r>
      <w:r>
        <w:t xml:space="preserve"> y el cálculo usa </w:t>
      </w:r>
      <w:r>
        <w:rPr>
          <w:rFonts w:ascii="Consolas" w:hAnsi="Consolas" w:cs="Consolas"/>
          <w:sz w:val="19"/>
        </w:rPr>
        <w:t>decimal.js</w:t>
      </w:r>
      <w:r>
        <w:t>: un 50,5 nunca se convierte en 50,4999… (ADR-0004).</w:t>
      </w:r>
    </w:p>
    <w:p>
      <w:pPr>
        <w:numPr>
          <w:ilvl w:val="0"/>
          <w:numId w:val="2"/>
        </w:numPr>
        <w:spacing w:after="80" w:line="276" w:lineRule="auto"/>
      </w:pPr>
      <w:r>
        <w:rPr>
          <w:rFonts w:ascii="Consolas" w:hAnsi="Consolas" w:cs="Consolas"/>
          <w:sz w:val="19"/>
        </w:rPr>
        <w:t>registros_auditoria</w:t>
      </w:r>
      <w:r>
        <w:t xml:space="preserve"> es de </w:t>
      </w:r>
      <w:r>
        <w:rPr>
          <w:b/>
        </w:rPr>
        <w:t>solo inserción</w:t>
      </w:r>
      <w:r>
        <w:t xml:space="preserve">: un trigger de PostgreSQL rechaza </w:t>
      </w:r>
      <w:r>
        <w:rPr>
          <w:rFonts w:ascii="Consolas" w:hAnsi="Consolas" w:cs="Consolas"/>
          <w:sz w:val="19"/>
        </w:rPr>
        <w:t>UPDATE</w:t>
      </w:r>
      <w:r>
        <w:t xml:space="preserve"> y </w:t>
      </w:r>
      <w:r>
        <w:rPr>
          <w:rFonts w:ascii="Consolas" w:hAnsi="Consolas" w:cs="Consolas"/>
          <w:sz w:val="19"/>
        </w:rPr>
        <w:t>DELETE</w:t>
      </w:r>
      <w:r>
        <w:t xml:space="preserve"> (ADR-0005).</w:t>
      </w:r>
    </w:p>
    <w:p>
      <w:pPr>
        <w:numPr>
          <w:ilvl w:val="0"/>
          <w:numId w:val="2"/>
        </w:numPr>
        <w:spacing w:after="80" w:line="276" w:lineRule="auto"/>
      </w:pPr>
      <w:r>
        <w:t>Restricciones en la base, además de la validación de la API: nota entre 1 y 100 (D1), puntaje de dimensión positivo, número de trimestre entre 1 y 3, una nota por estudiante y actividad, un profesor por materia.</w:t>
      </w:r>
    </w:p>
    <w:p>
      <w:pPr>
        <w:numPr>
          <w:ilvl w:val="0"/>
          <w:numId w:val="2"/>
        </w:numPr>
        <w:spacing w:after="80" w:line="276" w:lineRule="auto"/>
      </w:pPr>
      <w:r>
        <w:t xml:space="preserve">La nota trimestral </w:t>
      </w:r>
      <w:r>
        <w:rPr>
          <w:b/>
        </w:rPr>
        <w:t>no se guarda</w:t>
      </w:r>
      <w:r>
        <w:t>: se calcula al consultarla, así que una corrección se refleja de inmediato.</w:t>
      </w:r>
    </w:p>
    <w:p>
      <w:pPr>
        <w:numPr>
          <w:ilvl w:val="0"/>
          <w:numId w:val="2"/>
        </w:numPr>
        <w:spacing w:after="80" w:line="276" w:lineRule="auto"/>
      </w:pPr>
      <w:r>
        <w:t>estudiantes.codigo_rude (Registro Único de Estudiantes) es único por gestión: nadie queda inscrito en dos cursos de la misma gestión (US-18, criterio 3; D10). La fila guarda también la gestión del curso para que la base lo exija.</w:t>
      </w:r>
      <w:r>
        <w:rPr>
          <w:b/>
        </w:rPr>
      </w:r>
      <w:r/>
    </w:p>
    <w:p>
      <w:pPr>
        <w:numPr>
          <w:ilvl w:val="0"/>
          <w:numId w:val="2"/>
        </w:numPr>
        <w:spacing w:after="80" w:line="276" w:lineRule="auto"/>
      </w:pPr>
      <w:r>
        <w:t>unidades_educativas guarda los colores de la web (CHECK de formato #RRGGBB) y el logo (bytea, máximo 256 KB): la apariencia cambia sin tocar el código (ADR-0010).</w:t>
      </w:r>
      <w:r>
        <w:rPr>
          <w:b/>
        </w:rPr>
      </w:r>
      <w:r/>
    </w:p>
    <w:p>
      <w:pPr>
        <w:pStyle w:val="Ttulo1"/>
      </w:pPr>
      <w:r>
        <w:t>6. Seguridad (RNF-04)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5302"/>
        <w:gridCol w:w="2390"/>
      </w:tblGrid>
      <w:tr>
        <w:trPr>
          <w:cantSplit/>
          <w:tblHeader/>
        </w:trPr>
        <w:tc>
          <w:tcPr>
            <w:tcW w:w="2388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Amenaza</w:t>
            </w:r>
          </w:p>
        </w:tc>
        <w:tc>
          <w:tcPr>
            <w:tcW w:w="5302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Control</w:t>
            </w:r>
          </w:p>
        </w:tc>
        <w:tc>
          <w:tcPr>
            <w:tcW w:w="239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Verificación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Acceso sin sesión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JwtAuthGuard</w:t>
            </w:r>
            <w:r>
              <w:rPr>
                <w:sz w:val="19"/>
              </w:rPr>
              <w:t xml:space="preserve"> global; solo son públicas /api/salud, /api/auth/login y /api/institucion (nombre, colores y logo)</w:t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autorizacion.e2e-spec.ts</w:t>
            </w:r>
            <w:r>
              <w:rPr>
                <w:sz w:val="19"/>
              </w:rPr>
              <w:t xml:space="preserve"> (401)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Rol sin permiso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@Roles()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cs="Consolas"/>
                <w:sz w:val="18"/>
              </w:rPr>
              <w:t>RolesGuard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M09 (403)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 de otra materia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AccesoNotasService</w:t>
            </w:r>
            <w:r>
              <w:rPr>
                <w:sz w:val="19"/>
              </w:rPr>
              <w:t xml:space="preserve"> comprueba la asignación profesor–materia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M09 (403)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Padre que cambia el ID en la URL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Guard de vínculo padre–estudiante (US-20, semana 3)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M09 (403)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Fuerza bruta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Bloqueo de 15 minutos tras 5 intentos; mismo mensaje para correo inexistente y contraseña incorrecta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e2e de inicio de sesión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Sesión abandonada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Token de 30 minutos que la web renueva (POST /api/auth/renovar) solo mientras hay actividad (D11)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e2e de expiración de sesión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Archivo malicioso (logo)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Solo PNG, JPEG o WebP, reconocidos por su contenido (sin SVG); 256 KB; X-Content-Type-Options: nosniff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academico.e2e-spec.ts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Contraseñas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Hash argon2; la columna no se selecciona por defecto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Revisión de código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Repudio de cambios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Auditoría inmutable (ADR-0005)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M15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Entrada maliciosa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ValidationPipe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 w:cs="Consolas"/>
                <w:sz w:val="18"/>
              </w:rPr>
              <w:t>whitelist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/>
                <w:sz w:val="18"/>
              </w:rPr>
              <w:t>forbidNonWhitelisted</w:t>
            </w:r>
            <w:r>
              <w:rPr>
                <w:sz w:val="19"/>
              </w:rPr>
              <w:t>; consultas parametrizadas de TypeORM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e2e (400)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Secretos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Solo en Jenkins Credentials, GitHub Secrets y el panel de cada plataforma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Auditoría de cierre</w:t>
            </w:r>
          </w:p>
        </w:tc>
      </w:tr>
      <w:tr>
        <w:trPr>
          <w:cantSplit/>
        </w:trPr>
        <w:tc>
          <w:tcPr>
            <w:tcW w:w="23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Dependencias vulnerables</w:t>
            </w:r>
          </w:p>
        </w:tc>
        <w:tc>
          <w:tcPr>
            <w:tcW w:w="5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npm audit --audit-level=high</w:t>
            </w:r>
            <w:r>
              <w:rPr>
                <w:sz w:val="19"/>
              </w:rPr>
              <w:t>, Dependabot, SonarQube Cloud</w:t>
            </w:r>
          </w:p>
        </w:tc>
        <w:tc>
          <w:tcPr>
            <w:tcW w:w="23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M08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7. Despliegue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2508"/>
        <w:gridCol w:w="3747"/>
        <w:gridCol w:w="2810"/>
      </w:tblGrid>
      <w:tr>
        <w:trPr>
          <w:cantSplit/>
          <w:tblHeader/>
        </w:trPr>
        <w:tc>
          <w:tcPr>
            <w:tcW w:w="1015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Ambiente</w:t>
            </w:r>
          </w:p>
        </w:tc>
        <w:tc>
          <w:tcPr>
            <w:tcW w:w="2508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Rama o etiqueta</w:t>
            </w:r>
          </w:p>
        </w:tc>
        <w:tc>
          <w:tcPr>
            <w:tcW w:w="3747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Dónde</w:t>
            </w:r>
          </w:p>
        </w:tc>
        <w:tc>
          <w:tcPr>
            <w:tcW w:w="281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Base de datos</w:t>
            </w:r>
          </w:p>
        </w:tc>
      </w:tr>
      <w:tr>
        <w:trPr>
          <w:cantSplit/>
        </w:trPr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Local</w:t>
            </w:r>
          </w:p>
        </w:tc>
        <w:tc>
          <w:tcPr>
            <w:tcW w:w="2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cualquier rama</w:t>
            </w:r>
          </w:p>
        </w:tc>
        <w:tc>
          <w:tcPr>
            <w:tcW w:w="3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docker compose up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cs="Consolas"/>
                <w:sz w:val="18"/>
              </w:rPr>
              <w:t>npm run -w api start:dev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sz w:val="18"/>
              </w:rPr>
              <w:t>npm run -w web dev</w:t>
            </w:r>
          </w:p>
        </w:tc>
        <w:tc>
          <w:tcPr>
            <w:tcW w:w="2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PostgreSQL del compose</w:t>
            </w:r>
          </w:p>
        </w:tc>
      </w:tr>
      <w:tr>
        <w:trPr>
          <w:cantSplit/>
        </w:trPr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CI</w:t>
            </w:r>
          </w:p>
        </w:tc>
        <w:tc>
          <w:tcPr>
            <w:tcW w:w="2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toda rama y PR</w:t>
            </w:r>
          </w:p>
        </w:tc>
        <w:tc>
          <w:tcPr>
            <w:tcW w:w="3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Agente de Jenkins</w:t>
            </w:r>
          </w:p>
        </w:tc>
        <w:tc>
          <w:tcPr>
            <w:tcW w:w="2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PostgreSQL de CI, una base desechable por build</w:t>
            </w:r>
          </w:p>
        </w:tc>
      </w:tr>
      <w:tr>
        <w:trPr>
          <w:cantSplit/>
        </w:trPr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Staging</w:t>
            </w:r>
          </w:p>
        </w:tc>
        <w:tc>
          <w:tcPr>
            <w:tcW w:w="2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develop</w:t>
            </w:r>
          </w:p>
        </w:tc>
        <w:tc>
          <w:tcPr>
            <w:tcW w:w="3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Render: API (Docker) y web (sitio estático), según render.yaml</w:t>
            </w:r>
          </w:p>
        </w:tc>
        <w:tc>
          <w:tcPr>
            <w:tcW w:w="2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PostgreSQL de staging con seed sintético</w:t>
            </w:r>
          </w:p>
        </w:tc>
      </w:tr>
      <w:tr>
        <w:trPr>
          <w:cantSplit/>
        </w:trPr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Rendimiento</w:t>
            </w:r>
          </w:p>
        </w:tc>
        <w:tc>
          <w:tcPr>
            <w:tcW w:w="2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etiqueta </w:t>
            </w:r>
            <w:r>
              <w:rPr>
                <w:rFonts w:ascii="Consolas" w:hAnsi="Consolas" w:cs="Consolas"/>
                <w:sz w:val="18"/>
              </w:rPr>
              <w:t>vX.Y.Z-rc.N</w:t>
            </w:r>
          </w:p>
        </w:tc>
        <w:tc>
          <w:tcPr>
            <w:tcW w:w="3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Agente de Jenkins</w:t>
            </w:r>
          </w:p>
        </w:tc>
        <w:tc>
          <w:tcPr>
            <w:tcW w:w="2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Base desechable con </w:t>
            </w:r>
            <w:r>
              <w:rPr>
                <w:rFonts w:ascii="Consolas" w:hAnsi="Consolas" w:cs="Consolas"/>
                <w:sz w:val="18"/>
              </w:rPr>
              <w:t>seed:perf</w:t>
            </w:r>
          </w:p>
        </w:tc>
      </w:tr>
      <w:tr>
        <w:trPr>
          <w:cantSplit/>
        </w:trPr>
        <w:tc>
          <w:tcPr>
            <w:tcW w:w="10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Producción</w:t>
            </w:r>
          </w:p>
        </w:tc>
        <w:tc>
          <w:tcPr>
            <w:tcW w:w="25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etiqueta </w:t>
            </w:r>
            <w:r>
              <w:rPr>
                <w:rFonts w:ascii="Consolas" w:hAnsi="Consolas" w:cs="Consolas"/>
                <w:sz w:val="18"/>
              </w:rPr>
              <w:t>vX.Y.Z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 w:cs="Consolas"/>
                <w:sz w:val="18"/>
              </w:rPr>
              <w:t>main</w:t>
            </w:r>
            <w:r>
              <w:rPr>
                <w:sz w:val="19"/>
              </w:rPr>
              <w:t xml:space="preserve"> + aprobación</w:t>
            </w:r>
          </w:p>
        </w:tc>
        <w:tc>
          <w:tcPr>
            <w:tcW w:w="37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Render (API y web)</w:t>
            </w:r>
          </w:p>
        </w:tc>
        <w:tc>
          <w:tcPr>
            <w:tcW w:w="28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PostgreSQL de producción, respaldo diario</w:t>
            </w:r>
          </w:p>
        </w:tc>
      </w:tr>
    </w:tbl>
    <w:p>
      <w:pPr>
        <w:spacing w:after="60" w:line="276" w:lineRule="auto"/>
      </w:pPr>
    </w:p>
    <w:p>
      <w:pPr>
        <w:spacing w:after="120" w:line="276" w:lineRule="auto"/>
      </w:pPr>
      <w:r>
        <w:t>La API en Render se construye con su Dockerfile (</w:t>
      </w:r>
      <w:r>
        <w:rPr>
          <w:rFonts w:ascii="Consolas" w:hAnsi="Consolas" w:cs="Consolas"/>
          <w:sz w:val="19"/>
        </w:rPr>
        <w:t>api/Dockerfile</w:t>
      </w:r>
      <w:r>
        <w:t>) y aplica las migraciones al iniciar (migration:run y después node dist/main.js; en staging, con SEMBRAR=1, carga el seed si la base está vacía)</w:t>
      </w:r>
      <w:r>
        <w:rPr>
          <w:rFonts w:ascii="Consolas" w:hAnsi="Consolas" w:cs="Consolas"/>
          <w:sz w:val="19"/>
        </w:rPr>
      </w:r>
      <w:r>
        <w:t xml:space="preserve">. El commit desplegado se lee de </w:t>
      </w:r>
      <w:r>
        <w:rPr>
          <w:rFonts w:ascii="Consolas" w:hAnsi="Consolas" w:cs="Consolas"/>
          <w:sz w:val="19"/>
        </w:rPr>
        <w:t>RENDER_GIT_COMMIT</w:t>
      </w:r>
      <w:r>
        <w:t xml:space="preserve"> y lo comprueba el smoke test.</w:t>
      </w:r>
    </w:p>
    <w:p>
      <w:pPr>
        <w:pStyle w:val="Ttulo1"/>
      </w:pPr>
      <w:r>
        <w:t>8. Cómo cubre la arquitectura cada RNF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8960"/>
      </w:tblGrid>
      <w:tr>
        <w:trPr>
          <w:cantSplit/>
          <w:tblHeader/>
        </w:trPr>
        <w:tc>
          <w:tcPr>
            <w:tcW w:w="112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RNF</w:t>
            </w:r>
          </w:p>
        </w:tc>
        <w:tc>
          <w:tcPr>
            <w:tcW w:w="896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RNF-01</w:t>
            </w:r>
          </w:p>
        </w:tc>
        <w:tc>
          <w:tcPr>
            <w:tcW w:w="8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Cálculo puro y aislado en </w:t>
            </w:r>
            <w:r>
              <w:rPr>
                <w:rFonts w:ascii="Consolas" w:hAnsi="Consolas" w:cs="Consolas"/>
                <w:sz w:val="18"/>
              </w:rPr>
              <w:t>CalculoService</w:t>
            </w:r>
            <w:r>
              <w:rPr>
                <w:sz w:val="19"/>
              </w:rPr>
              <w:t>, con aritmética decimal y dimensiones configurables por gestión (ADR-0004)</w:t>
            </w:r>
          </w:p>
        </w:tc>
      </w:tr>
      <w:tr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RNF-02</w:t>
            </w:r>
          </w:p>
        </w:tc>
        <w:tc>
          <w:tcPr>
            <w:tcW w:w="8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Planilla en una sola transacción; E2E de Cypress en cada merge a </w:t>
            </w:r>
            <w:r>
              <w:rPr>
                <w:rFonts w:ascii="Consolas" w:hAnsi="Consolas" w:cs="Consolas"/>
                <w:sz w:val="18"/>
              </w:rPr>
              <w:t>develop</w:t>
            </w:r>
          </w:p>
        </w:tc>
      </w:tr>
      <w:tr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RNF-03</w:t>
            </w:r>
          </w:p>
        </w:tc>
        <w:tc>
          <w:tcPr>
            <w:tcW w:w="8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Cola BullMQ para boletines grandes (ADR-0006); prueba de carga en cada RC</w:t>
            </w:r>
          </w:p>
        </w:tc>
      </w:tr>
      <w:tr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RNF-04</w:t>
            </w:r>
          </w:p>
        </w:tc>
        <w:tc>
          <w:tcPr>
            <w:tcW w:w="8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Guards globales, acceso por asignación y por vínculo, auditoría inmutable (Sección 6)</w:t>
            </w:r>
          </w:p>
        </w:tc>
      </w:tr>
      <w:tr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RNF-05</w:t>
            </w:r>
          </w:p>
        </w:tc>
        <w:tc>
          <w:tcPr>
            <w:tcW w:w="8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Módulos por dominio, TypeScript estricto, ESLint + Prettier, umbrales de cobertura en Jest y Quality Gate</w:t>
            </w:r>
          </w:p>
        </w:tc>
      </w:tr>
      <w:tr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RNF-06</w:t>
            </w:r>
          </w:p>
        </w:tc>
        <w:tc>
          <w:tcPr>
            <w:tcW w:w="8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Interfaz con validación junto al campo y mensajes en español; prueba de usabilidad en la semana 3</w:t>
            </w:r>
          </w:p>
        </w:tc>
      </w:tr>
      <w:tr>
        <w:trPr>
          <w:cantSplit/>
        </w:trPr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RNF-07</w:t>
            </w:r>
          </w:p>
        </w:tc>
        <w:tc>
          <w:tcPr>
            <w:tcW w:w="8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Monitor de </w:t>
            </w:r>
            <w:r>
              <w:rPr>
                <w:rFonts w:ascii="Consolas" w:hAnsi="Consolas" w:cs="Consolas"/>
                <w:sz w:val="18"/>
              </w:rPr>
              <w:t>/api/salud</w:t>
            </w:r>
            <w:r>
              <w:rPr>
                <w:sz w:val="19"/>
              </w:rPr>
              <w:t>; respaldo diario cifrado con restauración probada (ADR-0003)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9. Decisiones de arquitectura (ADR)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8883"/>
      </w:tblGrid>
      <w:tr>
        <w:trPr>
          <w:cantSplit/>
          <w:tblHeader/>
        </w:trPr>
        <w:tc>
          <w:tcPr>
            <w:tcW w:w="1197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ADR</w:t>
            </w:r>
          </w:p>
        </w:tc>
        <w:tc>
          <w:tcPr>
            <w:tcW w:w="8883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Decisión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0001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Monorepo con NestJS (API) y React + Vite (web) en TypeScript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0002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TypeORM sobre PostgreSQL 16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0003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Jenkins Multibranch como CI/CD; respaldos en GitHub Actions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0004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Cálculo con aritmética decimal y dimensiones configurables por gestión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0005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Auditoría de solo inserción con trigger de PostgreSQL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0006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Cola BullMQ + Redis para los boletines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0007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 xml:space="preserve">Git Flow con </w:t>
            </w:r>
            <w:r>
              <w:rPr>
                <w:rFonts w:ascii="Consolas" w:hAnsi="Consolas" w:cs="Consolas"/>
                <w:sz w:val="18"/>
              </w:rPr>
              <w:t>develop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 w:cs="Consolas"/>
                <w:sz w:val="18"/>
              </w:rPr>
              <w:t>main</w:t>
            </w:r>
            <w:r>
              <w:rPr>
                <w:sz w:val="19"/>
              </w:rPr>
              <w:t xml:space="preserve"> protegidas</w:t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0008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Desarrollo directo en develop con revisión de commits; main solo por PR de release</w:t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0009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Despliegue continuo a staging en Render (API y web) desde el Sprint 1</w:t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w="11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0010</w:t>
            </w:r>
          </w:p>
        </w:tc>
        <w:tc>
          <w:tcPr>
            <w:tcW w:w="88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Colores y logo de la institución configurables desde la API, con contraste WCAG AA</w:t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  <w:r>
              <w:rPr>
                <w:rFonts w:ascii="Consolas" w:hAnsi="Consolas" w:cs="Consolas"/>
                <w:sz w:val="18"/>
              </w:rPr>
            </w:r>
            <w:r>
              <w:rPr>
                <w:sz w:val="19"/>
              </w:rPr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10. Historial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1599"/>
        <w:gridCol w:w="5003"/>
        <w:gridCol w:w="984"/>
        <w:gridCol w:w="1248"/>
      </w:tblGrid>
      <w:tr>
        <w:trPr>
          <w:cantSplit/>
          <w:tblHeader/>
        </w:trPr>
        <w:tc>
          <w:tcPr>
            <w:tcW w:w="1246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1599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5003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Cambio</w:t>
            </w:r>
          </w:p>
        </w:tc>
        <w:tc>
          <w:tcPr>
            <w:tcW w:w="984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Autor</w:t>
            </w:r>
          </w:p>
        </w:tc>
        <w:tc>
          <w:tcPr>
            <w:tcW w:w="1248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Revisor</w:t>
            </w:r>
          </w:p>
        </w:tc>
      </w:tr>
      <w:tr>
        <w:trPr>
          <w:cantSplit/>
        </w:trPr>
        <w:tc>
          <w:tcPr>
            <w:tcW w:w="1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13/10/2026</w:t>
            </w:r>
          </w:p>
        </w:tc>
        <w:tc>
          <w:tcPr>
            <w:tcW w:w="50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Versión inicial: arquitectura del repositorio base.</w:t>
            </w:r>
          </w:p>
        </w:tc>
        <w:tc>
          <w:tcPr>
            <w:tcW w:w="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Lujan</w:t>
            </w:r>
          </w:p>
        </w:tc>
        <w:tc>
          <w:tcPr>
            <w:tcW w:w="12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</w:t>
            </w:r>
          </w:p>
        </w:tc>
      </w:tr>
      <w:tr>
        <w:trPr>
          <w:cantSplit/>
        </w:trPr>
        <w:tc>
          <w:tcPr>
            <w:tcW w:w="1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1.1</w:t>
            </w:r>
          </w:p>
        </w:tc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13/10/2026</w:t>
            </w:r>
          </w:p>
        </w:tc>
        <w:tc>
          <w:tcPr>
            <w:tcW w:w="50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La web se despliega en Render y no en Vercel (ADR-0009); módulos de dimensiones por gestión (T-015) y de asistencia (T-036); arranque con migraciones y seed de staging.</w:t>
            </w:r>
          </w:p>
        </w:tc>
        <w:tc>
          <w:tcPr>
            <w:tcW w:w="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Lujan</w:t>
            </w:r>
          </w:p>
        </w:tc>
        <w:tc>
          <w:tcPr>
            <w:tcW w:w="12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</w:t>
            </w:r>
          </w:p>
        </w:tc>
      </w:tr>
      <w:tr>
        <w:trPr>
          <w:cantSplit/>
        </w:trPr>
        <w:tc>
          <w:tcPr>
            <w:tcW w:w="1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1.2</w:t>
            </w:r>
          </w:p>
        </w:tc>
        <w:tc>
          <w:tcPr>
            <w:tcW w:w="15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13/10/2026</w:t>
            </w:r>
          </w:p>
        </w:tc>
        <w:tc>
          <w:tcPr>
            <w:tcW w:w="50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Módulo académico (T-016): cursos, estudiantes con código RUDE (D10), materias, unidad educativa y su apariencia (ADR-0010); renovación de la sesión (D11); web con las pantallas de cada rol, para escritorio y celular.</w:t>
            </w:r>
          </w:p>
        </w:tc>
        <w:tc>
          <w:tcPr>
            <w:tcW w:w="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Lujan</w:t>
            </w:r>
          </w:p>
        </w:tc>
        <w:tc>
          <w:tcPr>
            <w:tcW w:w="12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</w:t>
            </w:r>
          </w:p>
        </w:tc>
      </w:tr>
    </w:tbl>
    <w:p>
      <w:pPr>
        <w:spacing w:after="60" w:line="276" w:lineRule="auto"/>
      </w:pPr>
    </w:p>
    <w:sectPr w:rsidR="007D388D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080"/>
      </w:tabs>
    </w:pPr>
    <w:r/>
    <w:r>
      <w:rPr>
        <w:color w:val="767171"/>
        <w:sz w:val="17"/>
      </w:rPr>
      <w:t>CalisFacu v1.0 · SAD · Equipo L-001</w:t>
    </w:r>
    <w:r>
      <w:rPr>
        <w:color w:val="767171"/>
        <w:sz w:val="17"/>
      </w:rPr>
      <w:tab/>
      <w:t xml:space="preserve">Página </w:t>
    </w:r>
    <w:r>
      <w:rPr>
        <w:color w:val="767171"/>
        <w:sz w:val="17"/>
      </w:rPr>
      <w:fldChar w:fldCharType="begin"/>
    </w:r>
    <w:r>
      <w:rPr>
        <w:color w:val="767171"/>
        <w:sz w:val="17"/>
      </w:rPr>
      <w:instrText xml:space="preserve"> PAGE </w:instrText>
    </w:r>
    <w:r>
      <w:rPr>
        <w:color w:val="767171"/>
        <w:sz w:val="17"/>
      </w:rPr>
      <w:fldChar w:fldCharType="separate"/>
    </w:r>
    <w:r>
      <w:rPr>
        <w:color w:val="767171"/>
        <w:sz w:val="17"/>
      </w:rPr>
      <w:t>1</w:t>
    </w:r>
    <w:r>
      <w:rPr>
        <w:color w:val="767171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88"/>
    <w:multiLevelType w:val="hybridMultilevel"/>
    <w:tmpl w:val="1ADE1160"/>
    <w:lvl w:ilvl="0" w:tplc="F35C934E">
      <w:start w:val="1"/>
      <w:numFmt w:val="bullet"/>
      <w:lvlText w:val="•"/>
      <w:lvlJc w:val="left"/>
      <w:pPr>
        <w:ind w:left="720" w:hanging="360"/>
      </w:pPr>
    </w:lvl>
    <w:lvl w:ilvl="1" w:tplc="79D695A6">
      <w:numFmt w:val="decimal"/>
      <w:lvlText w:val=""/>
      <w:lvlJc w:val="left"/>
    </w:lvl>
    <w:lvl w:ilvl="2" w:tplc="99E2002E">
      <w:numFmt w:val="decimal"/>
      <w:lvlText w:val=""/>
      <w:lvlJc w:val="left"/>
    </w:lvl>
    <w:lvl w:ilvl="3" w:tplc="5338F824">
      <w:numFmt w:val="decimal"/>
      <w:lvlText w:val=""/>
      <w:lvlJc w:val="left"/>
    </w:lvl>
    <w:lvl w:ilvl="4" w:tplc="354E5AE2">
      <w:numFmt w:val="decimal"/>
      <w:lvlText w:val=""/>
      <w:lvlJc w:val="left"/>
    </w:lvl>
    <w:lvl w:ilvl="5" w:tplc="283CCD6A">
      <w:numFmt w:val="decimal"/>
      <w:lvlText w:val=""/>
      <w:lvlJc w:val="left"/>
    </w:lvl>
    <w:lvl w:ilvl="6" w:tplc="08DE88FE">
      <w:numFmt w:val="decimal"/>
      <w:lvlText w:val=""/>
      <w:lvlJc w:val="left"/>
    </w:lvl>
    <w:lvl w:ilvl="7" w:tplc="12CC80C0">
      <w:numFmt w:val="decimal"/>
      <w:lvlText w:val=""/>
      <w:lvlJc w:val="left"/>
    </w:lvl>
    <w:lvl w:ilvl="8" w:tplc="DB84FCCC">
      <w:numFmt w:val="decimal"/>
      <w:lvlText w:val=""/>
      <w:lvlJc w:val="left"/>
    </w:lvl>
  </w:abstractNum>
  <w:abstractNum w:abstractNumId="1" w15:restartNumberingAfterBreak="0">
    <w:nsid w:val="2B7E3094"/>
    <w:multiLevelType w:val="hybridMultilevel"/>
    <w:tmpl w:val="141A94D8"/>
    <w:lvl w:ilvl="0" w:tplc="88662DE0">
      <w:start w:val="1"/>
      <w:numFmt w:val="bullet"/>
      <w:lvlText w:val="●"/>
      <w:lvlJc w:val="left"/>
      <w:pPr>
        <w:ind w:left="720" w:hanging="360"/>
      </w:pPr>
    </w:lvl>
    <w:lvl w:ilvl="1" w:tplc="5860B8EC">
      <w:start w:val="1"/>
      <w:numFmt w:val="bullet"/>
      <w:lvlText w:val="○"/>
      <w:lvlJc w:val="left"/>
      <w:pPr>
        <w:ind w:left="1440" w:hanging="360"/>
      </w:pPr>
    </w:lvl>
    <w:lvl w:ilvl="2" w:tplc="C9402874">
      <w:start w:val="1"/>
      <w:numFmt w:val="bullet"/>
      <w:lvlText w:val="■"/>
      <w:lvlJc w:val="left"/>
      <w:pPr>
        <w:ind w:left="2160" w:hanging="360"/>
      </w:pPr>
    </w:lvl>
    <w:lvl w:ilvl="3" w:tplc="55F03B36">
      <w:start w:val="1"/>
      <w:numFmt w:val="bullet"/>
      <w:lvlText w:val="●"/>
      <w:lvlJc w:val="left"/>
      <w:pPr>
        <w:ind w:left="2880" w:hanging="360"/>
      </w:pPr>
    </w:lvl>
    <w:lvl w:ilvl="4" w:tplc="D68689FC">
      <w:start w:val="1"/>
      <w:numFmt w:val="bullet"/>
      <w:lvlText w:val="○"/>
      <w:lvlJc w:val="left"/>
      <w:pPr>
        <w:ind w:left="3600" w:hanging="360"/>
      </w:pPr>
    </w:lvl>
    <w:lvl w:ilvl="5" w:tplc="0AE4170C">
      <w:start w:val="1"/>
      <w:numFmt w:val="bullet"/>
      <w:lvlText w:val="■"/>
      <w:lvlJc w:val="left"/>
      <w:pPr>
        <w:ind w:left="4320" w:hanging="360"/>
      </w:pPr>
    </w:lvl>
    <w:lvl w:ilvl="6" w:tplc="6AA80BBA">
      <w:start w:val="1"/>
      <w:numFmt w:val="bullet"/>
      <w:lvlText w:val="●"/>
      <w:lvlJc w:val="left"/>
      <w:pPr>
        <w:ind w:left="5040" w:hanging="360"/>
      </w:pPr>
    </w:lvl>
    <w:lvl w:ilvl="7" w:tplc="2ACEA940">
      <w:start w:val="1"/>
      <w:numFmt w:val="bullet"/>
      <w:lvlText w:val="●"/>
      <w:lvlJc w:val="left"/>
      <w:pPr>
        <w:ind w:left="5760" w:hanging="360"/>
      </w:pPr>
    </w:lvl>
    <w:lvl w:ilvl="8" w:tplc="A6AEE6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F1A0E"/>
    <w:multiLevelType w:val="multilevel"/>
    <w:tmpl w:val="636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7417C"/>
    <w:multiLevelType w:val="multilevel"/>
    <w:tmpl w:val="CAD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534614">
    <w:abstractNumId w:val="1"/>
    <w:lvlOverride w:ilvl="0">
      <w:startOverride w:val="1"/>
    </w:lvlOverride>
  </w:num>
  <w:num w:numId="2" w16cid:durableId="193349164">
    <w:abstractNumId w:val="3"/>
  </w:num>
  <w:num w:numId="3" w16cid:durableId="28177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CCA"/>
    <w:rsid w:val="000F629E"/>
    <w:rsid w:val="0018407E"/>
    <w:rsid w:val="002A581D"/>
    <w:rsid w:val="0032653D"/>
    <w:rsid w:val="003E6354"/>
    <w:rsid w:val="003F3B09"/>
    <w:rsid w:val="004C790F"/>
    <w:rsid w:val="005E0DD1"/>
    <w:rsid w:val="00635136"/>
    <w:rsid w:val="00746670"/>
    <w:rsid w:val="007D388D"/>
    <w:rsid w:val="008434FC"/>
    <w:rsid w:val="00BE6768"/>
    <w:rsid w:val="00E24CCA"/>
    <w:rsid w:val="00E66A9C"/>
    <w:rsid w:val="00E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348A"/>
  <w15:docId w15:val="{31D061EC-CEF1-4549-B84A-2270AE51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E66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1662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SQAP</vt:lpstr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SQAP</dc:title>
  <dc:creator>COM450</dc:creator>
  <cp:lastModifiedBy>Joel Porcel</cp:lastModifiedBy>
  <cp:revision>2</cp:revision>
  <cp:lastPrinted>2026-10-05T00:49:00Z</cp:lastPrinted>
  <dcterms:created xsi:type="dcterms:W3CDTF">2026-10-02T10:46:00Z</dcterms:created>
  <dcterms:modified xsi:type="dcterms:W3CDTF">2026-10-05T00:52:00Z</dcterms:modified>
</cp:coreProperties>
</file>