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Documento de Arquitectura de Software (SAD)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Gestión II/2026 · Versión 1.1</w:t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Describe </w:t>
      </w:r>
      <w:r>
        <w:rPr>
          <w:b/>
        </w:rPr>
        <w:t>cómo</w:t>
      </w:r>
      <w:r>
        <w:t xml:space="preserve"> está construido CalisFacu: componentes, modelo de datos, seguridad, despliegue y las decisiones que cubren los RNF del SRS. Se inspecciona con Fagan el día 2 de la semana 1 (SQAP, Sección 6). Cada decisión importante tiene su ADR en </w:t>
      </w:r>
      <w:r>
        <w:rPr>
          <w:rFonts w:ascii="Consolas" w:hAnsi="Consolas" w:cs="Consolas"/>
          <w:sz w:val="19"/>
        </w:rPr>
        <w:t>docs/adr/</w:t>
      </w:r>
      <w:r>
        <w:t>.</w:t>
      </w:r>
    </w:p>
    <w:p>
      <w:pPr>
        <w:pStyle w:val="Ttulo1"/>
      </w:pPr>
      <w:r>
        <w:t>2. Vista general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816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1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Vista general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175"/>
        <w:gridCol w:w="5434"/>
      </w:tblGrid>
      <w:tr>
        <w:trPr>
          <w:cantSplit/>
          <w:tblHeader/>
        </w:trPr>
        <w:tc>
          <w:tcPr>
            <w:tcW w:w="1471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317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Tecnología</w:t>
            </w:r>
          </w:p>
        </w:tc>
        <w:tc>
          <w:tcPr>
            <w:tcW w:w="543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 + TypeScript, en Render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Pantallas de cada rol; valida la entrada y muestra los resultados que calcula la API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TypeScript, en Render (Docker)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Reglas de negocio, autorización, cálculo, auditoría, PDF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Base de datos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16 con TypeORM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Datos académicos, notas y registro de auditoría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 + Redis (semana 3)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Generación de boletines de cursos grandes (RNF-03, R05)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CI/CD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(local, en 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Pruebas, análisis, despliegue a staging y producción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Actions (</w:t>
            </w: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>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pg_dump</w:t>
            </w:r>
            <w:r>
              <w:rPr>
                <w:sz w:val="19"/>
              </w:rPr>
              <w:t xml:space="preserve"> diario cifrado (RNF-07)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Estructura del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api/src/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main.ts · app.module.ts · app.setup.ts     arranque y configuración común (también la usan las pruebas)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common/decoradores.ts                      @Publico, @Roles, @UsuarioActual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database/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entities/                                entidades TypeORM (Sección 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migrations/                              migraciones versionadas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typeorm.config.ts · data-source.ts       configuración única (app, CLI, seed, pruebas)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naming.strategy.ts                       snake_case en tablas y columnas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seed.ts · reiniciar.ts                   datos sintéticos y reinicio (solo desarrollo)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modules/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salud/        GET /api/salud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auth/         [crítico] login, JWT, bloqueo, guards de rol           US-17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notas/        [crítico] actividades, planilla, acceso por asignación  US-01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calculo/      [crítico] nota trimestral según la RM 001/2026          US-02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[crítico] dimensiones por gestión: suman 100; bloqueadas  US-18 (T-015)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si la gestión tiene notas (GET/PUT /api/gestiones/:id/dimensiones)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auditoria/    [crítico] corrección con motivo e historial             US-04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asistencia/   asistencia por clase y porcentaje por estudiante        US-19 (T-036)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api/test/        e2e con PostgreSQL real (autorizacion, notas, auditoria, dimensiones, asistencia, esquema) y fixtures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web/src/         App, pages/, lib/ (cliente de la API y validación)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e2e/             Cypress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perf/            planes de JMeter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Los cuatro </w:t>
      </w:r>
      <w:r>
        <w:rPr>
          <w:b/>
        </w:rPr>
        <w:t>módulos críticos</w:t>
      </w:r>
      <w:r>
        <w:t xml:space="preserve"> (SQAP, Tabla 4) los programa solo Lujan, con TDD, y exigen cobertura ≥ 90 % (M06).</w:t>
      </w:r>
    </w:p>
    <w:p>
      <w:pPr>
        <w:pStyle w:val="Ttulo1"/>
      </w:pPr>
      <w:r>
        <w:t>4. Flujo de una petición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623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23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Flujo de una petición</w:t>
      </w:r>
    </w:p>
    <w:p>
      <w:pPr>
        <w:pStyle w:val="Ttulo1"/>
      </w:pPr>
      <w:r>
        <w:t>5. Modelo de datos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7623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7623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Modelo de datos</w:t>
      </w:r>
    </w:p>
    <w:p>
      <w:pPr>
        <w:spacing w:after="120" w:line="276" w:lineRule="auto"/>
      </w:pPr>
      <w:r>
        <w:t>Decisiones del modelo: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notas.valor</w:t>
      </w:r>
      <w:r>
        <w:t xml:space="preserve"> es </w:t>
      </w:r>
      <w:r>
        <w:rPr>
          <w:rFonts w:ascii="Consolas" w:hAnsi="Consolas" w:cs="Consolas"/>
          <w:sz w:val="19"/>
        </w:rPr>
        <w:t>numeric(5,2)</w:t>
      </w:r>
      <w:r>
        <w:t xml:space="preserve"> y el cálculo usa </w:t>
      </w:r>
      <w:r>
        <w:rPr>
          <w:rFonts w:ascii="Consolas" w:hAnsi="Consolas" w:cs="Consolas"/>
          <w:sz w:val="19"/>
        </w:rPr>
        <w:t>decimal.js</w:t>
      </w:r>
      <w:r>
        <w:t>: un 50,5 nunca se convierte en 50,4999… (ADR-0004).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registros_auditoria</w:t>
      </w:r>
      <w:r>
        <w:t xml:space="preserve"> es de </w:t>
      </w:r>
      <w:r>
        <w:rPr>
          <w:b/>
        </w:rPr>
        <w:t>solo inserción</w:t>
      </w:r>
      <w:r>
        <w:t xml:space="preserve">: un trigger de PostgreSQL rechaza </w:t>
      </w:r>
      <w:r>
        <w:rPr>
          <w:rFonts w:ascii="Consolas" w:hAnsi="Consolas" w:cs="Consolas"/>
          <w:sz w:val="19"/>
        </w:rPr>
        <w:t>UPDATE</w:t>
      </w:r>
      <w:r>
        <w:t xml:space="preserve"> y </w:t>
      </w:r>
      <w:r>
        <w:rPr>
          <w:rFonts w:ascii="Consolas" w:hAnsi="Consolas" w:cs="Consolas"/>
          <w:sz w:val="19"/>
        </w:rPr>
        <w:t>DELETE</w:t>
      </w:r>
      <w:r>
        <w:t xml:space="preserve"> (ADR-0005).</w:t>
      </w:r>
    </w:p>
    <w:p>
      <w:pPr>
        <w:numPr>
          <w:ilvl w:val="0"/>
          <w:numId w:val="2"/>
        </w:numPr>
        <w:spacing w:after="80" w:line="276" w:lineRule="auto"/>
      </w:pPr>
      <w:r>
        <w:t>Restricciones en la base, además de la validación de la API: nota entre 0 y 100, puntaje de dimensión positivo, número de trimestre entre 1 y 3, una nota por estudiante y actividad, un profesor por materia.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La nota trimestral </w:t>
      </w:r>
      <w:r>
        <w:rPr>
          <w:b/>
        </w:rPr>
        <w:t>no se guarda</w:t>
      </w:r>
      <w:r>
        <w:t>: se calcula al consultarla, así que una corrección se refleja de inmediato.</w:t>
      </w:r>
    </w:p>
    <w:p>
      <w:pPr>
        <w:pStyle w:val="Ttulo1"/>
      </w:pPr>
      <w:r>
        <w:t>6. Seguridad (RNF-04)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5302"/>
        <w:gridCol w:w="2390"/>
      </w:tblGrid>
      <w:tr>
        <w:trPr>
          <w:cantSplit/>
          <w:tblHeader/>
        </w:trPr>
        <w:tc>
          <w:tcPr>
            <w:tcW w:w="238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Amenaza</w:t>
            </w:r>
          </w:p>
        </w:tc>
        <w:tc>
          <w:tcPr>
            <w:tcW w:w="5302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Control</w:t>
            </w:r>
          </w:p>
        </w:tc>
        <w:tc>
          <w:tcPr>
            <w:tcW w:w="23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Verificación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Acceso sin sesión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JwtAuthGuard</w:t>
            </w:r>
            <w:r>
              <w:rPr>
                <w:sz w:val="19"/>
              </w:rPr>
              <w:t xml:space="preserve"> global; solo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/api/auth/login</w:t>
            </w:r>
            <w:r>
              <w:rPr>
                <w:sz w:val="19"/>
              </w:rPr>
              <w:t xml:space="preserve"> son públicas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(401)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Rol sin permiso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@Roles()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RolesGuard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 otra materia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AccesoNotasService</w:t>
            </w:r>
            <w:r>
              <w:rPr>
                <w:sz w:val="19"/>
              </w:rPr>
              <w:t xml:space="preserve"> comprueba la asignación profesor–materia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 que cambia el ID en la URL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 de vínculo padre–estudiante (US-20, semana 3)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Fuerza bruta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Bloqueo de 15 minutos tras 5 intentos; mismo mensaje para correo inexistente y contraseña incorrecta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de inicio de sesión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Contraseñas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argon2; la columna no se selecciona por defecto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 código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Repudio de cambios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inmutable (ADR-0005)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Entrada maliciosa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ValidationPipe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whitelist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forbidNonWhitelisted</w:t>
            </w:r>
            <w:r>
              <w:rPr>
                <w:sz w:val="19"/>
              </w:rPr>
              <w:t>; consultas parametrizadas de TypeORM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(400)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Solo en Jenkins Credentials, GitHub Secrets y el panel de cada plataforma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vulnerables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 --audit-level=high</w:t>
            </w:r>
            <w:r>
              <w:rPr>
                <w:sz w:val="19"/>
              </w:rPr>
              <w:t>, Dependabot, SonarQube Cloud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2508"/>
        <w:gridCol w:w="3747"/>
        <w:gridCol w:w="2810"/>
      </w:tblGrid>
      <w:tr>
        <w:trPr>
          <w:cantSplit/>
          <w:tblHeader/>
        </w:trPr>
        <w:tc>
          <w:tcPr>
            <w:tcW w:w="101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Ambiente</w:t>
            </w:r>
          </w:p>
        </w:tc>
        <w:tc>
          <w:tcPr>
            <w:tcW w:w="250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Rama o etiqueta</w:t>
            </w:r>
          </w:p>
        </w:tc>
        <w:tc>
          <w:tcPr>
            <w:tcW w:w="374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</w:t>
            </w:r>
          </w:p>
        </w:tc>
        <w:tc>
          <w:tcPr>
            <w:tcW w:w="281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Base de datos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Local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cualquier rama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docker compose up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npm run -w api start:dev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npm run -w web dev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del compose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toda rama y PR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CI, una base desechable por build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develop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Render: API (Docker) y web (sitio estático), según render.yaml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staging con seed sintético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Rendimiento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vX.Y.Z-rc.N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Base desechable con </w:t>
            </w:r>
            <w:r>
              <w:rPr>
                <w:rFonts w:ascii="Consolas" w:hAnsi="Consolas" w:cs="Consolas"/>
                <w:sz w:val="18"/>
              </w:rPr>
              <w:t>seed:perf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Producción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+ aprobación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 y web)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producción, respaldo diario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La API en Render se construye con su Dockerfile (</w:t>
      </w:r>
      <w:r>
        <w:rPr>
          <w:rFonts w:ascii="Consolas" w:hAnsi="Consolas" w:cs="Consolas"/>
          <w:sz w:val="19"/>
        </w:rPr>
        <w:t>api/Dockerfile</w:t>
      </w:r>
      <w:r>
        <w:t>) y aplica las migraciones al iniciar (migration:run y después node dist/main.js; en staging, con SEMBRAR=1, carga el seed si la base está vacía)</w:t>
      </w:r>
      <w:r>
        <w:rPr>
          <w:rFonts w:ascii="Consolas" w:hAnsi="Consolas" w:cs="Consolas"/>
          <w:sz w:val="19"/>
        </w:rPr>
      </w:r>
      <w:r>
        <w:t xml:space="preserve">. El commit desplegado se lee de </w:t>
      </w:r>
      <w:r>
        <w:rPr>
          <w:rFonts w:ascii="Consolas" w:hAnsi="Consolas" w:cs="Consolas"/>
          <w:sz w:val="19"/>
        </w:rPr>
        <w:t>RENDER_GIT_COMMIT</w:t>
      </w:r>
      <w:r>
        <w:t xml:space="preserve"> y lo comprueba el smoke test.</w:t>
      </w:r>
    </w:p>
    <w:p>
      <w:pPr>
        <w:pStyle w:val="Ttulo1"/>
      </w:pPr>
      <w:r>
        <w:t>8. Cómo cubre la arquitectura cada RNF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0"/>
        <w:gridCol w:w="8960"/>
      </w:tblGrid>
      <w:tr>
        <w:trPr>
          <w:cantSplit/>
          <w:tblHeader/>
        </w:trPr>
        <w:tc>
          <w:tcPr>
            <w:tcW w:w="112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RNF</w:t>
            </w:r>
          </w:p>
        </w:tc>
        <w:tc>
          <w:tcPr>
            <w:tcW w:w="896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RNF-01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Cálculo puro y aislado en </w:t>
            </w:r>
            <w:r>
              <w:rPr>
                <w:rFonts w:ascii="Consolas" w:hAnsi="Consolas" w:cs="Consolas"/>
                <w:sz w:val="18"/>
              </w:rPr>
              <w:t>CalculoService</w:t>
            </w:r>
            <w:r>
              <w:rPr>
                <w:sz w:val="19"/>
              </w:rPr>
              <w:t>, con aritmética decimal y dimensiones configurables por gestión (ADR-0004)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RNF-02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en una sola transacción; E2E de Cypress en cada merge a </w:t>
            </w:r>
            <w:r>
              <w:rPr>
                <w:rFonts w:ascii="Consolas" w:hAnsi="Consolas" w:cs="Consolas"/>
                <w:sz w:val="18"/>
              </w:rPr>
              <w:t>develop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RNF-03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para boletines grandes (ADR-0006); prueba de carga en cada RC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RNF-04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Guards globales, acceso por asignación y por vínculo, auditoría inmutable (Sección 6)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RNF-05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Módulos por dominio, TypeScript estricto, ESLint + Prettier, umbrales de cobertura en Jest y Quality Gate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RNF-06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Interfaz con validación junto al campo y mensajes en español; prueba de usabilidad en la semana 3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RNF-07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Monitor de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respaldo diario cifrado con restauración probada (ADR-0003)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9. Decisiones de arquitectura (ADR)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7"/>
        <w:gridCol w:w="8883"/>
      </w:tblGrid>
      <w:tr>
        <w:trPr>
          <w:cantSplit/>
          <w:tblHeader/>
        </w:trPr>
        <w:tc>
          <w:tcPr>
            <w:tcW w:w="119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ADR</w:t>
            </w:r>
          </w:p>
        </w:tc>
        <w:tc>
          <w:tcPr>
            <w:tcW w:w="888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0001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Monorepo con NestJS (API) y React + Vite (web) en TypeScript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0002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sobre PostgreSQL 16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0003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como CI/CD; respaldos en GitHub Actions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0004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Cálculo con aritmética decimal y dimensiones configurables por gestión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0005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solo inserción con trigger de PostgreSQL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0006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+ Redis para los boletines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0007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 Flow con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protegidas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10. Historial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6"/>
        <w:gridCol w:w="1599"/>
        <w:gridCol w:w="5003"/>
        <w:gridCol w:w="984"/>
        <w:gridCol w:w="1248"/>
      </w:tblGrid>
      <w:tr>
        <w:trPr>
          <w:cantSplit/>
          <w:tblHeader/>
        </w:trPr>
        <w:tc>
          <w:tcPr>
            <w:tcW w:w="1246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599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w="500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Cambio</w:t>
            </w:r>
          </w:p>
        </w:tc>
        <w:tc>
          <w:tcPr>
            <w:tcW w:w="98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Autor</w:t>
            </w:r>
          </w:p>
        </w:tc>
        <w:tc>
          <w:tcPr>
            <w:tcW w:w="124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Revisor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Versión inicial: arquitectura del repositorio base.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1.1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web se despliega en Render y no en Vercel (ADR-0009); módulos de dimensiones por gestión (T-015) y de asistencia (T-036); arranque con migraciones y seed de staging.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SAD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