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line="276" w:lineRule="auto"/>
        <w:jc w:val="center"/>
      </w:pPr>
      <w:r>
        <w:rPr>
          <w:color w:val="1F4E79"/>
          <w:sz w:val="36"/>
        </w:rPr>
        <w:t>CalisFacu v1.0</w:t>
      </w:r>
    </w:p>
    <w:p>
      <w:pPr>
        <w:spacing w:after="60" w:line="276" w:lineRule="auto"/>
        <w:jc w:val="center"/>
      </w:pPr>
      <w:r>
        <w:rPr>
          <w:sz w:val="28"/>
        </w:rPr>
        <w:t>Plan de Aseguramiento de Calidad de Software (SQAP)</w:t>
      </w:r>
    </w:p>
    <w:p>
      <w:pPr>
        <w:spacing w:after="40" w:line="276" w:lineRule="auto"/>
        <w:jc w:val="center"/>
      </w:pPr>
      <w:r>
        <w:rPr>
          <w:color w:val="767171"/>
          <w:sz w:val="24"/>
        </w:rPr>
        <w:t>Conforme a IEEE Std 730-2002, agrupado según las áreas de IEEE Std 730-2014</w:t>
      </w:r>
    </w:p>
    <w:p>
      <w:pPr>
        <w:spacing w:after="240" w:line="276" w:lineRule="auto"/>
        <w:jc w:val="center"/>
      </w:pPr>
      <w:r>
        <w:rPr>
          <w:color w:val="767171"/>
          <w:sz w:val="24"/>
        </w:rPr>
        <w:t>Equipo L-001 · COM450 Calidad de Software · Universidad San Francisco Xavier · Gestión II/2026 · Versión del plan 1.2</w:t>
      </w:r>
    </w:p>
    <w:p>
      <w:pPr>
        <w:keepNext/>
        <w:spacing w:before="120" w:after="80" w:line="276" w:lineRule="auto"/>
      </w:pPr>
      <w:r>
        <w:rPr>
          <w:b/>
          <w:color w:val="1F4E79"/>
          <w:sz w:val="19"/>
        </w:rPr>
        <w:t xml:space="preserve">Tabla 1. </w:t>
      </w:r>
      <w:r>
        <w:rPr>
          <w:color w:val="595959"/>
          <w:sz w:val="19"/>
        </w:rPr>
        <w:t>Control del documento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480"/>
      </w:tblGrid>
      <w:tr>
        <w:trPr>
          <w:cantSplit/>
          <w:tblHeader/>
        </w:trPr>
        <w:tc>
          <w:tcPr>
            <w:tcW w:w="2600" w:type="dxa"/>
            <w:shd w:val="clear" w:color="auto" w:fill="DDEBF7"/>
            <w:tcMar>
              <w:top w:w="60" w:type="dxa"/>
              <w:left w:w="100" w:type="dxa"/>
              <w:bottom w:w="60" w:type="dxa"/>
              <w:right w:w="100" w:type="dxa"/>
            </w:tcMar>
          </w:tcPr>
          <w:p>
            <w:pPr>
              <w:spacing w:after="0" w:line="260" w:lineRule="auto"/>
            </w:pPr>
            <w:r>
              <w:rPr>
                <w:b/>
                <w:sz w:val="20"/>
              </w:rPr>
              <w:t>Campo</w:t>
            </w:r>
          </w:p>
        </w:tc>
        <w:tc>
          <w:tcPr>
            <w:tcW w:w="7480" w:type="dxa"/>
            <w:shd w:val="clear" w:color="auto" w:fill="DDEBF7"/>
            <w:tcMar>
              <w:top w:w="60" w:type="dxa"/>
              <w:left w:w="100" w:type="dxa"/>
              <w:bottom w:w="60" w:type="dxa"/>
              <w:right w:w="100" w:type="dxa"/>
            </w:tcMar>
          </w:tcPr>
          <w:p>
            <w:pPr>
              <w:spacing w:after="0" w:line="260" w:lineRule="auto"/>
            </w:pPr>
            <w:r>
              <w:rPr>
                <w:b/>
                <w:sz w:val="20"/>
              </w:rPr>
              <w:t>Valor</w:t>
            </w:r>
          </w:p>
        </w:tc>
      </w:tr>
      <w:tr>
        <w:trPr>
          <w:cantSplit/>
        </w:trPr>
        <w:tc>
          <w:tcPr>
            <w:tcW w:w="2600" w:type="dxa"/>
            <w:tcMar>
              <w:top w:w="60" w:type="dxa"/>
              <w:left w:w="100" w:type="dxa"/>
              <w:bottom w:w="60" w:type="dxa"/>
              <w:right w:w="100" w:type="dxa"/>
            </w:tcMar>
            <w:vAlign w:val="center"/>
          </w:tcPr>
          <w:p>
            <w:pPr>
              <w:spacing w:after="0" w:line="260" w:lineRule="auto"/>
            </w:pPr>
            <w:r>
              <w:rPr>
                <w:sz w:val="20"/>
              </w:rPr>
              <w:t>Producto</w:t>
            </w:r>
          </w:p>
        </w:tc>
        <w:tc>
          <w:tcPr>
            <w:tcW w:w="7480" w:type="dxa"/>
            <w:tcMar>
              <w:top w:w="60" w:type="dxa"/>
              <w:left w:w="100" w:type="dxa"/>
              <w:bottom w:w="60" w:type="dxa"/>
              <w:right w:w="100" w:type="dxa"/>
            </w:tcMar>
            <w:vAlign w:val="center"/>
          </w:tcPr>
          <w:p>
            <w:pPr>
              <w:spacing w:after="0" w:line="260" w:lineRule="auto"/>
            </w:pPr>
            <w:r>
              <w:rPr>
                <w:sz w:val="20"/>
              </w:rPr>
              <w:t>CalisFacu v1.0: sistema web de registro de calificaciones para unidades educativas del Subsistema de Educación Regular de Bolivia</w:t>
            </w:r>
          </w:p>
        </w:tc>
      </w:tr>
      <w:tr>
        <w:trPr>
          <w:cantSplit/>
        </w:trPr>
        <w:tc>
          <w:tcPr>
            <w:tcW w:w="2600" w:type="dxa"/>
            <w:tcMar>
              <w:top w:w="60" w:type="dxa"/>
              <w:left w:w="100" w:type="dxa"/>
              <w:bottom w:w="60" w:type="dxa"/>
              <w:right w:w="100" w:type="dxa"/>
            </w:tcMar>
            <w:vAlign w:val="center"/>
          </w:tcPr>
          <w:p>
            <w:pPr>
              <w:spacing w:after="0" w:line="260" w:lineRule="auto"/>
            </w:pPr>
            <w:r>
              <w:rPr>
                <w:sz w:val="20"/>
              </w:rPr>
              <w:t>Cliente (dueño del producto)</w:t>
            </w:r>
          </w:p>
        </w:tc>
        <w:tc>
          <w:tcPr>
            <w:tcW w:w="7480" w:type="dxa"/>
            <w:tcMar>
              <w:top w:w="60" w:type="dxa"/>
              <w:left w:w="100" w:type="dxa"/>
              <w:bottom w:w="60" w:type="dxa"/>
              <w:right w:w="100" w:type="dxa"/>
            </w:tcMar>
            <w:vAlign w:val="center"/>
          </w:tcPr>
          <w:p>
            <w:pPr>
              <w:spacing w:after="0" w:line="260" w:lineRule="auto"/>
            </w:pPr>
            <w:r>
              <w:rPr>
                <w:sz w:val="20"/>
              </w:rPr>
              <w:t>Unidad Educativa Nazareno — directora Fabiana Parrado y profesora Fatima Carreño</w:t>
            </w:r>
          </w:p>
        </w:tc>
      </w:tr>
      <w:tr>
        <w:trPr>
          <w:cantSplit/>
        </w:trPr>
        <w:tc>
          <w:tcPr>
            <w:tcW w:w="2600" w:type="dxa"/>
            <w:tcMar>
              <w:top w:w="60" w:type="dxa"/>
              <w:left w:w="100" w:type="dxa"/>
              <w:bottom w:w="60" w:type="dxa"/>
              <w:right w:w="100" w:type="dxa"/>
            </w:tcMar>
            <w:vAlign w:val="center"/>
          </w:tcPr>
          <w:p>
            <w:pPr>
              <w:spacing w:after="0" w:line="260" w:lineRule="auto"/>
            </w:pPr>
            <w:r>
              <w:rPr>
                <w:sz w:val="20"/>
              </w:rPr>
              <w:t>Equipo</w:t>
            </w:r>
          </w:p>
        </w:tc>
        <w:tc>
          <w:tcPr>
            <w:tcW w:w="7480" w:type="dxa"/>
            <w:tcMar>
              <w:top w:w="60" w:type="dxa"/>
              <w:left w:w="100" w:type="dxa"/>
              <w:bottom w:w="60" w:type="dxa"/>
              <w:right w:w="100" w:type="dxa"/>
            </w:tcMar>
            <w:vAlign w:val="center"/>
          </w:tcPr>
          <w:p>
            <w:pPr>
              <w:spacing w:after="0" w:line="260" w:lineRule="auto"/>
            </w:pPr>
            <w:r>
              <w:rPr>
                <w:sz w:val="20"/>
              </w:rPr>
              <w:t>L-001: Lujan (Líder, Arquitecto, Desarrollador backend) y Galvan (Responsable SQA, Desarrollador frontend / Tester)</w:t>
            </w:r>
          </w:p>
        </w:tc>
      </w:tr>
      <w:tr>
        <w:trPr>
          <w:cantSplit/>
        </w:trPr>
        <w:tc>
          <w:tcPr>
            <w:tcW w:w="2600" w:type="dxa"/>
            <w:tcMar>
              <w:top w:w="60" w:type="dxa"/>
              <w:left w:w="100" w:type="dxa"/>
              <w:bottom w:w="60" w:type="dxa"/>
              <w:right w:w="100" w:type="dxa"/>
            </w:tcMar>
            <w:vAlign w:val="center"/>
          </w:tcPr>
          <w:p>
            <w:pPr>
              <w:spacing w:after="0" w:line="260" w:lineRule="auto"/>
            </w:pPr>
            <w:r>
              <w:rPr>
                <w:sz w:val="20"/>
              </w:rPr>
              <w:t>Stack</w:t>
            </w:r>
          </w:p>
        </w:tc>
        <w:tc>
          <w:tcPr>
            <w:tcW w:w="7480" w:type="dxa"/>
            <w:tcMar>
              <w:top w:w="60" w:type="dxa"/>
              <w:left w:w="100" w:type="dxa"/>
              <w:bottom w:w="60" w:type="dxa"/>
              <w:right w:w="100" w:type="dxa"/>
            </w:tcMar>
            <w:vAlign w:val="center"/>
          </w:tcPr>
          <w:p>
            <w:pPr>
              <w:spacing w:after="0" w:line="260" w:lineRule="auto"/>
            </w:pPr>
            <w:r>
              <w:rPr>
                <w:sz w:val="20"/>
              </w:rPr>
              <w:t>NestJS + TypeScript + TypeORM + PostgreSQL 16 (API) · React + Vite + TypeScript (web) · Jenkins (Multibranch Pipeline) · Render (ADR-0009)</w:t>
            </w:r>
          </w:p>
        </w:tc>
      </w:tr>
      <w:tr>
        <w:trPr>
          <w:cantSplit/>
        </w:trPr>
        <w:tc>
          <w:tcPr>
            <w:tcW w:w="2600" w:type="dxa"/>
            <w:tcMar>
              <w:top w:w="60" w:type="dxa"/>
              <w:left w:w="100" w:type="dxa"/>
              <w:bottom w:w="60" w:type="dxa"/>
              <w:right w:w="100" w:type="dxa"/>
            </w:tcMar>
            <w:vAlign w:val="center"/>
          </w:tcPr>
          <w:p>
            <w:pPr>
              <w:spacing w:after="0" w:line="260" w:lineRule="auto"/>
            </w:pPr>
            <w:r>
              <w:rPr>
                <w:sz w:val="20"/>
              </w:rPr>
              <w:t>Duración</w:t>
            </w:r>
          </w:p>
        </w:tc>
        <w:tc>
          <w:tcPr>
            <w:tcW w:w="7480" w:type="dxa"/>
            <w:tcMar>
              <w:top w:w="60" w:type="dxa"/>
              <w:left w:w="100" w:type="dxa"/>
              <w:bottom w:w="60" w:type="dxa"/>
              <w:right w:w="100" w:type="dxa"/>
            </w:tcMar>
            <w:vAlign w:val="center"/>
          </w:tcPr>
          <w:p>
            <w:pPr>
              <w:spacing w:after="0" w:line="260" w:lineRule="auto"/>
            </w:pPr>
            <w:r>
              <w:rPr>
                <w:sz w:val="20"/>
              </w:rPr>
              <w:t>4 sprints de 1 semana (Semanas 1 a 4)</w:t>
            </w:r>
          </w:p>
        </w:tc>
      </w:tr>
      <w:tr>
        <w:trPr>
          <w:cantSplit/>
        </w:trPr>
        <w:tc>
          <w:tcPr>
            <w:tcW w:w="2600" w:type="dxa"/>
            <w:tcMar>
              <w:top w:w="60" w:type="dxa"/>
              <w:left w:w="100" w:type="dxa"/>
              <w:bottom w:w="60" w:type="dxa"/>
              <w:right w:w="100" w:type="dxa"/>
            </w:tcMar>
            <w:vAlign w:val="center"/>
          </w:tcPr>
          <w:p>
            <w:pPr>
              <w:spacing w:after="0" w:line="260" w:lineRule="auto"/>
            </w:pPr>
            <w:r>
              <w:rPr>
                <w:sz w:val="20"/>
              </w:rPr>
              <w:t>Versión y fecha</w:t>
            </w:r>
          </w:p>
        </w:tc>
        <w:tc>
          <w:tcPr>
            <w:tcW w:w="7480" w:type="dxa"/>
            <w:tcMar>
              <w:top w:w="60" w:type="dxa"/>
              <w:left w:w="100" w:type="dxa"/>
              <w:bottom w:w="60" w:type="dxa"/>
              <w:right w:w="100" w:type="dxa"/>
            </w:tcMar>
            <w:vAlign w:val="center"/>
          </w:tcPr>
          <w:p>
            <w:pPr>
              <w:spacing w:after="0" w:line="260" w:lineRule="auto"/>
            </w:pPr>
            <w:r>
              <w:rPr>
                <w:sz w:val="20"/>
              </w:rPr>
              <w:t>1.2 · 30/10/2026</w:t>
            </w:r>
          </w:p>
        </w:tc>
      </w:tr>
      <w:tr>
        <w:trPr>
          <w:cantSplit/>
        </w:trPr>
        <w:tc>
          <w:tcPr>
            <w:tcW w:w="2600" w:type="dxa"/>
            <w:tcMar>
              <w:top w:w="60" w:type="dxa"/>
              <w:left w:w="100" w:type="dxa"/>
              <w:bottom w:w="60" w:type="dxa"/>
              <w:right w:w="100" w:type="dxa"/>
            </w:tcMar>
            <w:vAlign w:val="center"/>
          </w:tcPr>
          <w:p>
            <w:pPr>
              <w:spacing w:after="0" w:line="260" w:lineRule="auto"/>
            </w:pPr>
            <w:r>
              <w:rPr>
                <w:sz w:val="20"/>
              </w:rPr>
              <w:t>Estado</w:t>
            </w:r>
          </w:p>
        </w:tc>
        <w:tc>
          <w:tcPr>
            <w:tcW w:w="7480" w:type="dxa"/>
            <w:tcMar>
              <w:top w:w="60" w:type="dxa"/>
              <w:left w:w="100" w:type="dxa"/>
              <w:bottom w:w="60" w:type="dxa"/>
              <w:right w:w="100" w:type="dxa"/>
            </w:tcMar>
            <w:vAlign w:val="center"/>
          </w:tcPr>
          <w:p>
            <w:pPr>
              <w:spacing w:after="0" w:line="260" w:lineRule="auto"/>
            </w:pPr>
            <w:r>
              <w:rPr>
                <w:sz w:val="20"/>
              </w:rPr>
              <w:t>Vigente desde la versión 1.0; en ejecución (Sprint 3)</w:t>
            </w:r>
          </w:p>
        </w:tc>
      </w:tr>
      <w:tr>
        <w:trPr>
          <w:cantSplit/>
        </w:trPr>
        <w:tc>
          <w:tcPr>
            <w:tcW w:w="2600" w:type="dxa"/>
            <w:tcMar>
              <w:top w:w="60" w:type="dxa"/>
              <w:left w:w="100" w:type="dxa"/>
              <w:bottom w:w="60" w:type="dxa"/>
              <w:right w:w="100" w:type="dxa"/>
            </w:tcMar>
            <w:vAlign w:val="center"/>
          </w:tcPr>
          <w:p>
            <w:pPr>
              <w:spacing w:after="0" w:line="260" w:lineRule="auto"/>
            </w:pPr>
            <w:r>
              <w:rPr>
                <w:sz w:val="20"/>
              </w:rPr>
              <w:t>Ubicación</w:t>
            </w:r>
          </w:p>
        </w:tc>
        <w:tc>
          <w:tcPr>
            <w:tcW w:w="7480" w:type="dxa"/>
            <w:tcMar>
              <w:top w:w="60" w:type="dxa"/>
              <w:left w:w="100" w:type="dxa"/>
              <w:bottom w:w="60" w:type="dxa"/>
              <w:right w:w="100" w:type="dxa"/>
            </w:tcMar>
            <w:vAlign w:val="center"/>
          </w:tcPr>
          <w:p>
            <w:pPr>
              <w:spacing w:after="0" w:line="260" w:lineRule="auto"/>
            </w:pPr>
            <w:r>
              <w:rPr>
                <w:rFonts w:ascii="Consolas" w:hAnsi="Consolas" w:cs="Consolas"/>
                <w:sz w:val="19"/>
              </w:rPr>
              <w:t>docs/sqap/SQAP-CalisFacu.docx</w:t>
            </w:r>
            <w:r>
              <w:rPr>
                <w:sz w:val="20"/>
              </w:rPr>
              <w:t xml:space="preserve"> y </w:t>
            </w:r>
            <w:r>
              <w:rPr>
                <w:rFonts w:ascii="Consolas" w:hAnsi="Consolas" w:cs="Consolas"/>
                <w:sz w:val="19"/>
              </w:rPr>
              <w:t>.pdf</w:t>
            </w:r>
            <w:r>
              <w:rPr>
                <w:sz w:val="20"/>
              </w:rPr>
              <w:t xml:space="preserve"> en el repositorio del proyecto</w:t>
            </w:r>
          </w:p>
        </w:tc>
      </w:tr>
    </w:tbl>
    <w:p>
      <w:pPr>
        <w:spacing w:after="60" w:line="276" w:lineRule="auto"/>
      </w:pPr>
    </w:p>
    <w:p>
      <w:pPr>
        <w:spacing w:after="120" w:line="276" w:lineRule="auto"/>
      </w:pPr>
      <w:r>
        <w:rPr>
          <w:b/>
        </w:rPr>
        <w:t>Cómo leer este plan.</w:t>
      </w:r>
      <w:r>
        <w:t xml:space="preserve"> Cada compromiso de calidad tiene un número, una herramienta que lo hace cumplir y una evidencia que queda archivada. Los números se definen una sola vez, en la Tabla de métricas de la Sección 5 (M01 a M16); las demás secciones se refieren a esas filas. Los datos que el equipo debía completar están en el Anexo F con su estado; desde la versión 1.2 no queda ninguno entre corchetes.</w:t>
      </w:r>
    </w:p>
    <w:p>
      <w:r>
        <w:br w:type="page"/>
      </w:r>
    </w:p>
    <w:p>
      <w:pPr>
        <w:spacing w:after="120" w:line="276" w:lineRule="auto"/>
      </w:pPr>
      <w:r>
        <w:rPr>
          <w:color w:val="1F4E79"/>
          <w:sz w:val="28"/>
        </w:rPr>
        <w:t>Índice</w:t>
      </w:r>
    </w:p>
    <w:p>
      <w:pPr>
        <w:tabs>
          <w:tab w:val="right" w:leader="dot" w:pos="10070"/>
        </w:tabs>
        <w:spacing w:after="30" w:line="252" w:lineRule="auto"/>
      </w:pPr>
      <w:r>
        <w:rPr>
          <w:b w:val="0"/>
          <w:sz w:val="20"/>
        </w:rPr>
        <w:t>Agrupación según IEEE Std 730-2014</w:t>
        <w:tab/>
        <w:t>4</w:t>
      </w:r>
    </w:p>
    <w:p>
      <w:pPr>
        <w:tabs>
          <w:tab w:val="right" w:leader="dot" w:pos="10070"/>
        </w:tabs>
        <w:spacing w:after="30" w:line="252" w:lineRule="auto"/>
      </w:pPr>
      <w:r>
        <w:rPr>
          <w:b w:val="0"/>
          <w:sz w:val="20"/>
        </w:rPr>
        <w:t>1. Propósito</w:t>
        <w:tab/>
        <w:t>5</w:t>
      </w:r>
    </w:p>
    <w:p>
      <w:pPr>
        <w:tabs>
          <w:tab w:val="right" w:leader="dot" w:pos="10070"/>
        </w:tabs>
        <w:spacing w:after="30" w:line="252" w:lineRule="auto"/>
      </w:pPr>
      <w:r>
        <w:rPr>
          <w:b w:val="0"/>
          <w:sz w:val="20"/>
        </w:rPr>
        <w:t>2. Documentos de referencia</w:t>
        <w:tab/>
        <w:t>6</w:t>
      </w:r>
    </w:p>
    <w:p>
      <w:pPr>
        <w:tabs>
          <w:tab w:val="right" w:leader="dot" w:pos="10070"/>
        </w:tabs>
        <w:spacing w:after="30" w:line="252" w:lineRule="auto"/>
      </w:pPr>
      <w:r>
        <w:rPr>
          <w:b w:val="0"/>
          <w:sz w:val="20"/>
        </w:rPr>
        <w:t>3. Gestión</w:t>
        <w:tab/>
        <w:t>7</w:t>
      </w:r>
    </w:p>
    <w:p>
      <w:pPr>
        <w:tabs>
          <w:tab w:val="right" w:leader="dot" w:pos="10070"/>
        </w:tabs>
        <w:spacing w:after="30" w:line="252" w:lineRule="auto"/>
      </w:pPr>
      <w:r>
        <w:rPr>
          <w:b w:val="0"/>
          <w:sz w:val="20"/>
        </w:rPr>
        <w:t>4. Documentación</w:t>
        <w:tab/>
        <w:t>8</w:t>
      </w:r>
    </w:p>
    <w:p>
      <w:pPr>
        <w:tabs>
          <w:tab w:val="right" w:leader="dot" w:pos="10070"/>
        </w:tabs>
        <w:spacing w:after="30" w:line="252" w:lineRule="auto"/>
      </w:pPr>
      <w:r>
        <w:rPr>
          <w:b w:val="0"/>
          <w:sz w:val="20"/>
        </w:rPr>
        <w:t>5. Estándares, prácticas, convenciones y métricas</w:t>
        <w:tab/>
        <w:t>9</w:t>
      </w:r>
    </w:p>
    <w:p>
      <w:pPr>
        <w:tabs>
          <w:tab w:val="right" w:leader="dot" w:pos="10070"/>
        </w:tabs>
        <w:spacing w:after="30" w:line="252" w:lineRule="auto"/>
      </w:pPr>
      <w:r>
        <w:rPr>
          <w:b w:val="0"/>
          <w:sz w:val="20"/>
        </w:rPr>
        <w:t>6. Revisiones de software</w:t>
        <w:tab/>
        <w:t>13</w:t>
      </w:r>
    </w:p>
    <w:p>
      <w:pPr>
        <w:tabs>
          <w:tab w:val="right" w:leader="dot" w:pos="10070"/>
        </w:tabs>
        <w:spacing w:after="30" w:line="252" w:lineRule="auto"/>
        <w:ind w:left="360"/>
      </w:pPr>
      <w:r>
        <w:rPr>
          <w:sz w:val="19"/>
        </w:rPr>
        <w:t>6.1 Inspección formal tipo Fagan (IEEE 1028)</w:t>
        <w:tab/>
        <w:t>13</w:t>
      </w:r>
    </w:p>
    <w:p>
      <w:pPr>
        <w:tabs>
          <w:tab w:val="right" w:leader="dot" w:pos="10070"/>
        </w:tabs>
        <w:spacing w:after="30" w:line="252" w:lineRule="auto"/>
        <w:ind w:left="360"/>
      </w:pPr>
      <w:r>
        <w:rPr>
          <w:sz w:val="19"/>
        </w:rPr>
        <w:t>6.2 Lista de verificación de la auditoría</w:t>
        <w:tab/>
        <w:t>14</w:t>
      </w:r>
    </w:p>
    <w:p>
      <w:pPr>
        <w:tabs>
          <w:tab w:val="right" w:leader="dot" w:pos="10070"/>
        </w:tabs>
        <w:spacing w:after="30" w:line="252" w:lineRule="auto"/>
      </w:pPr>
      <w:r>
        <w:rPr>
          <w:b w:val="0"/>
          <w:sz w:val="20"/>
        </w:rPr>
        <w:t>7. Pruebas</w:t>
        <w:tab/>
        <w:t>15</w:t>
      </w:r>
    </w:p>
    <w:p>
      <w:pPr>
        <w:tabs>
          <w:tab w:val="right" w:leader="dot" w:pos="10070"/>
        </w:tabs>
        <w:spacing w:after="30" w:line="252" w:lineRule="auto"/>
        <w:ind w:left="360"/>
      </w:pPr>
      <w:r>
        <w:rPr>
          <w:sz w:val="19"/>
        </w:rPr>
        <w:t>7.1 Ambientes</w:t>
        <w:tab/>
        <w:t>16</w:t>
      </w:r>
    </w:p>
    <w:p>
      <w:pPr>
        <w:tabs>
          <w:tab w:val="right" w:leader="dot" w:pos="10070"/>
        </w:tabs>
        <w:spacing w:after="30" w:line="252" w:lineRule="auto"/>
        <w:ind w:left="360"/>
      </w:pPr>
      <w:r>
        <w:rPr>
          <w:sz w:val="19"/>
        </w:rPr>
        <w:t>7.2 Datos de prueba, regresión y seguridad</w:t>
        <w:tab/>
        <w:t>16</w:t>
      </w:r>
    </w:p>
    <w:p>
      <w:pPr>
        <w:tabs>
          <w:tab w:val="right" w:leader="dot" w:pos="10070"/>
        </w:tabs>
        <w:spacing w:after="30" w:line="252" w:lineRule="auto"/>
      </w:pPr>
      <w:r>
        <w:rPr>
          <w:b w:val="0"/>
          <w:sz w:val="20"/>
        </w:rPr>
        <w:t>8. Reporte de problemas y acción correctiva</w:t>
        <w:tab/>
        <w:t>17</w:t>
      </w:r>
    </w:p>
    <w:p>
      <w:pPr>
        <w:tabs>
          <w:tab w:val="right" w:leader="dot" w:pos="10070"/>
        </w:tabs>
        <w:spacing w:after="30" w:line="252" w:lineRule="auto"/>
      </w:pPr>
      <w:r>
        <w:rPr>
          <w:b w:val="0"/>
          <w:sz w:val="20"/>
        </w:rPr>
        <w:t>9. Herramientas, técnicas y metodologías</w:t>
        <w:tab/>
        <w:t>18</w:t>
      </w:r>
    </w:p>
    <w:p>
      <w:pPr>
        <w:tabs>
          <w:tab w:val="right" w:leader="dot" w:pos="10070"/>
        </w:tabs>
        <w:spacing w:after="30" w:line="252" w:lineRule="auto"/>
      </w:pPr>
      <w:r>
        <w:rPr>
          <w:b w:val="0"/>
          <w:sz w:val="20"/>
        </w:rPr>
        <w:t>10. Control de medios</w:t>
        <w:tab/>
        <w:t>20</w:t>
      </w:r>
    </w:p>
    <w:p>
      <w:pPr>
        <w:tabs>
          <w:tab w:val="right" w:leader="dot" w:pos="10070"/>
        </w:tabs>
        <w:spacing w:after="30" w:line="252" w:lineRule="auto"/>
        <w:ind w:left="360"/>
      </w:pPr>
      <w:r>
        <w:rPr>
          <w:sz w:val="19"/>
        </w:rPr>
        <w:t>10.1 Repositorio</w:t>
        <w:tab/>
        <w:t>21</w:t>
      </w:r>
    </w:p>
    <w:p>
      <w:pPr>
        <w:tabs>
          <w:tab w:val="right" w:leader="dot" w:pos="10070"/>
        </w:tabs>
        <w:spacing w:after="30" w:line="252" w:lineRule="auto"/>
        <w:ind w:left="360"/>
      </w:pPr>
      <w:r>
        <w:rPr>
          <w:sz w:val="19"/>
        </w:rPr>
        <w:t>10.2 Estrategia de ramas, pull requests y merge</w:t>
        <w:tab/>
        <w:t>21</w:t>
      </w:r>
    </w:p>
    <w:p>
      <w:pPr>
        <w:tabs>
          <w:tab w:val="right" w:leader="dot" w:pos="10070"/>
        </w:tabs>
        <w:spacing w:after="30" w:line="252" w:lineRule="auto"/>
        <w:ind w:left="360"/>
      </w:pPr>
      <w:r>
        <w:rPr>
          <w:sz w:val="19"/>
        </w:rPr>
        <w:t>10.3 Mensajes de commit</w:t>
        <w:tab/>
        <w:t>22</w:t>
      </w:r>
    </w:p>
    <w:p>
      <w:pPr>
        <w:tabs>
          <w:tab w:val="right" w:leader="dot" w:pos="10070"/>
        </w:tabs>
        <w:spacing w:after="30" w:line="252" w:lineRule="auto"/>
        <w:ind w:left="360"/>
      </w:pPr>
      <w:r>
        <w:rPr>
          <w:sz w:val="19"/>
        </w:rPr>
        <w:t>10.4 Versiones y releases</w:t>
        <w:tab/>
        <w:t>22</w:t>
      </w:r>
    </w:p>
    <w:p>
      <w:pPr>
        <w:tabs>
          <w:tab w:val="right" w:leader="dot" w:pos="10070"/>
        </w:tabs>
        <w:spacing w:after="30" w:line="252" w:lineRule="auto"/>
        <w:ind w:left="360"/>
      </w:pPr>
      <w:r>
        <w:rPr>
          <w:sz w:val="19"/>
        </w:rPr>
        <w:t>10.5 Secretos y control de acceso</w:t>
        <w:tab/>
        <w:t>23</w:t>
      </w:r>
    </w:p>
    <w:p>
      <w:pPr>
        <w:tabs>
          <w:tab w:val="right" w:leader="dot" w:pos="10070"/>
        </w:tabs>
        <w:spacing w:after="30" w:line="252" w:lineRule="auto"/>
        <w:ind w:left="360"/>
      </w:pPr>
      <w:r>
        <w:rPr>
          <w:sz w:val="19"/>
        </w:rPr>
        <w:t>10.6 Respaldos</w:t>
        <w:tab/>
        <w:t>23</w:t>
      </w:r>
    </w:p>
    <w:p>
      <w:pPr>
        <w:tabs>
          <w:tab w:val="right" w:leader="dot" w:pos="10070"/>
        </w:tabs>
        <w:spacing w:after="30" w:line="252" w:lineRule="auto"/>
        <w:ind w:left="360"/>
      </w:pPr>
      <w:r>
        <w:rPr>
          <w:sz w:val="19"/>
        </w:rPr>
        <w:t>10.7 Control de cambios de las historias de usuario</w:t>
        <w:tab/>
        <w:t>23</w:t>
      </w:r>
    </w:p>
    <w:p>
      <w:pPr>
        <w:tabs>
          <w:tab w:val="right" w:leader="dot" w:pos="10070"/>
        </w:tabs>
        <w:spacing w:after="30" w:line="252" w:lineRule="auto"/>
      </w:pPr>
      <w:r>
        <w:rPr>
          <w:b w:val="0"/>
          <w:sz w:val="20"/>
        </w:rPr>
        <w:t>11. Control de proveedores</w:t>
        <w:tab/>
        <w:t>24</w:t>
      </w:r>
    </w:p>
    <w:p>
      <w:pPr>
        <w:tabs>
          <w:tab w:val="right" w:leader="dot" w:pos="10070"/>
        </w:tabs>
        <w:spacing w:after="30" w:line="252" w:lineRule="auto"/>
      </w:pPr>
      <w:r>
        <w:rPr>
          <w:b w:val="0"/>
          <w:sz w:val="20"/>
        </w:rPr>
        <w:t>12. Registros: recolección, mantenimiento y retención</w:t>
        <w:tab/>
        <w:t>25</w:t>
      </w:r>
    </w:p>
    <w:p>
      <w:pPr>
        <w:tabs>
          <w:tab w:val="right" w:leader="dot" w:pos="10070"/>
        </w:tabs>
        <w:spacing w:after="30" w:line="252" w:lineRule="auto"/>
      </w:pPr>
      <w:r>
        <w:rPr>
          <w:b w:val="0"/>
          <w:sz w:val="20"/>
        </w:rPr>
        <w:t>13. Capacitación</w:t>
        <w:tab/>
        <w:t>26</w:t>
      </w:r>
    </w:p>
    <w:p>
      <w:pPr>
        <w:tabs>
          <w:tab w:val="right" w:leader="dot" w:pos="10070"/>
        </w:tabs>
        <w:spacing w:after="30" w:line="252" w:lineRule="auto"/>
      </w:pPr>
      <w:r>
        <w:rPr>
          <w:b w:val="0"/>
          <w:sz w:val="20"/>
        </w:rPr>
        <w:t>14. Gestión de riesgos</w:t>
        <w:tab/>
        <w:t>27</w:t>
      </w:r>
    </w:p>
    <w:p>
      <w:pPr>
        <w:tabs>
          <w:tab w:val="right" w:leader="dot" w:pos="10070"/>
        </w:tabs>
        <w:spacing w:after="30" w:line="252" w:lineRule="auto"/>
      </w:pPr>
      <w:r>
        <w:rPr>
          <w:b w:val="0"/>
          <w:sz w:val="20"/>
        </w:rPr>
        <w:t>15. Glosario</w:t>
        <w:tab/>
        <w:t>28</w:t>
      </w:r>
    </w:p>
    <w:p>
      <w:pPr>
        <w:tabs>
          <w:tab w:val="right" w:leader="dot" w:pos="10070"/>
        </w:tabs>
        <w:spacing w:after="30" w:line="252" w:lineRule="auto"/>
      </w:pPr>
      <w:r>
        <w:rPr>
          <w:b w:val="0"/>
          <w:sz w:val="20"/>
        </w:rPr>
        <w:t>16. Procedimiento de cambio e historia del SQAP</w:t>
        <w:tab/>
        <w:t>30</w:t>
      </w:r>
    </w:p>
    <w:p>
      <w:pPr>
        <w:tabs>
          <w:tab w:val="right" w:leader="dot" w:pos="10070"/>
        </w:tabs>
        <w:spacing w:after="30" w:line="252" w:lineRule="auto"/>
      </w:pPr>
      <w:r>
        <w:rPr>
          <w:b w:val="0"/>
          <w:sz w:val="20"/>
        </w:rPr>
        <w:t>Anexo A — Requerimientos no funcionales (SRS 1.0)</w:t>
        <w:tab/>
        <w:t>32</w:t>
      </w:r>
    </w:p>
    <w:p>
      <w:pPr>
        <w:tabs>
          <w:tab w:val="right" w:leader="dot" w:pos="10070"/>
        </w:tabs>
        <w:spacing w:after="30" w:line="252" w:lineRule="auto"/>
      </w:pPr>
      <w:r>
        <w:rPr>
          <w:b w:val="0"/>
          <w:sz w:val="20"/>
        </w:rPr>
        <w:t>Anexo B — Trazabilidad historia → módulo → pruebas → métricas</w:t>
        <w:tab/>
        <w:t>32</w:t>
      </w:r>
    </w:p>
    <w:p>
      <w:pPr>
        <w:tabs>
          <w:tab w:val="right" w:leader="dot" w:pos="10070"/>
        </w:tabs>
        <w:spacing w:after="30" w:line="252" w:lineRule="auto"/>
      </w:pPr>
      <w:r>
        <w:rPr>
          <w:b w:val="0"/>
          <w:sz w:val="20"/>
        </w:rPr>
        <w:t>Anexo C — Configuración que hace cumplir el plan</w:t>
        <w:tab/>
        <w:t>33</w:t>
      </w:r>
    </w:p>
    <w:p>
      <w:pPr>
        <w:tabs>
          <w:tab w:val="right" w:leader="dot" w:pos="10070"/>
        </w:tabs>
        <w:spacing w:after="30" w:line="252" w:lineRule="auto"/>
      </w:pPr>
      <w:r>
        <w:rPr>
          <w:b w:val="0"/>
          <w:sz w:val="20"/>
        </w:rPr>
        <w:t>Anexo D — Plantillas</w:t>
        <w:tab/>
        <w:t>39</w:t>
      </w:r>
    </w:p>
    <w:p>
      <w:pPr>
        <w:tabs>
          <w:tab w:val="right" w:leader="dot" w:pos="10070"/>
        </w:tabs>
        <w:spacing w:after="30" w:line="252" w:lineRule="auto"/>
      </w:pPr>
      <w:r>
        <w:rPr>
          <w:b w:val="0"/>
          <w:sz w:val="20"/>
        </w:rPr>
        <w:t>Anexo E — Autoevaluación contra la regla del plan verificable</w:t>
        <w:tab/>
        <w:t>40</w:t>
      </w:r>
    </w:p>
    <w:p>
      <w:pPr>
        <w:tabs>
          <w:tab w:val="right" w:leader="dot" w:pos="10070"/>
        </w:tabs>
        <w:spacing w:after="30" w:line="252" w:lineRule="auto"/>
      </w:pPr>
      <w:r>
        <w:rPr>
          <w:b w:val="0"/>
          <w:sz w:val="20"/>
        </w:rPr>
        <w:t>Anexo F — Datos y decisiones pendientes</w:t>
        <w:tab/>
        <w:t>41</w:t>
      </w:r>
    </w:p>
    <w:p>
      <w:pPr>
        <w:spacing w:after="60" w:line="276" w:lineRule="auto"/>
      </w:pPr>
    </w:p>
    <w:p>
      <w:pPr>
        <w:spacing w:before="120" w:after="80" w:line="276" w:lineRule="auto"/>
      </w:pPr>
      <w:r>
        <w:rPr>
          <w:color w:val="1F4E79"/>
          <w:sz w:val="24"/>
        </w:rPr>
        <w:t>Lista de tablas</w:t>
      </w:r>
    </w:p>
    <w:p>
      <w:pPr>
        <w:tabs>
          <w:tab w:val="right" w:leader="dot" w:pos="10070"/>
        </w:tabs>
        <w:spacing w:after="30" w:line="252" w:lineRule="auto"/>
        <w:ind w:left="360"/>
      </w:pPr>
      <w:r>
        <w:rPr>
          <w:sz w:val="19"/>
        </w:rPr>
        <w:t>Tabla 1. Control del documento</w:t>
        <w:tab/>
        <w:t>1</w:t>
      </w:r>
    </w:p>
    <w:p>
      <w:pPr>
        <w:tabs>
          <w:tab w:val="right" w:leader="dot" w:pos="10070"/>
        </w:tabs>
        <w:spacing w:after="30" w:line="252" w:lineRule="auto"/>
        <w:ind w:left="360"/>
      </w:pPr>
      <w:r>
        <w:rPr>
          <w:sz w:val="19"/>
        </w:rPr>
        <w:t>Tabla 2. Secciones del plan agrupadas por área de IEEE 730-2014</w:t>
        <w:tab/>
        <w:t>4</w:t>
      </w:r>
    </w:p>
    <w:p>
      <w:pPr>
        <w:tabs>
          <w:tab w:val="right" w:leader="dot" w:pos="10070"/>
        </w:tabs>
        <w:spacing w:after="30" w:line="252" w:lineRule="auto"/>
        <w:ind w:left="360"/>
      </w:pPr>
      <w:r>
        <w:rPr>
          <w:sz w:val="19"/>
        </w:rPr>
        <w:t>Tabla 3. Alcance del plan: historias por sprint</w:t>
        <w:tab/>
        <w:t>5</w:t>
      </w:r>
    </w:p>
    <w:p>
      <w:pPr>
        <w:tabs>
          <w:tab w:val="right" w:leader="dot" w:pos="10070"/>
        </w:tabs>
        <w:spacing w:after="30" w:line="252" w:lineRule="auto"/>
        <w:ind w:left="360"/>
      </w:pPr>
      <w:r>
        <w:rPr>
          <w:sz w:val="19"/>
        </w:rPr>
        <w:t>Tabla 4. Módulos críticos</w:t>
        <w:tab/>
        <w:t>5</w:t>
      </w:r>
    </w:p>
    <w:p>
      <w:pPr>
        <w:tabs>
          <w:tab w:val="right" w:leader="dot" w:pos="10070"/>
        </w:tabs>
        <w:spacing w:after="30" w:line="252" w:lineRule="auto"/>
        <w:ind w:left="360"/>
      </w:pPr>
      <w:r>
        <w:rPr>
          <w:sz w:val="19"/>
        </w:rPr>
        <w:t>Tabla 5. Documentos de referencia</w:t>
        <w:tab/>
        <w:t>6</w:t>
      </w:r>
    </w:p>
    <w:p>
      <w:pPr>
        <w:tabs>
          <w:tab w:val="right" w:leader="dot" w:pos="10070"/>
        </w:tabs>
        <w:spacing w:after="30" w:line="252" w:lineRule="auto"/>
        <w:ind w:left="360"/>
      </w:pPr>
      <w:r>
        <w:rPr>
          <w:sz w:val="19"/>
        </w:rPr>
        <w:t>Tabla 6. Roles y responsabilidades</w:t>
        <w:tab/>
        <w:t>7</w:t>
      </w:r>
    </w:p>
    <w:p>
      <w:pPr>
        <w:tabs>
          <w:tab w:val="right" w:leader="dot" w:pos="10070"/>
        </w:tabs>
        <w:spacing w:after="30" w:line="252" w:lineRule="auto"/>
        <w:ind w:left="360"/>
      </w:pPr>
      <w:r>
        <w:rPr>
          <w:sz w:val="19"/>
        </w:rPr>
        <w:t>Tabla 7. Matriz RACI de las actividades de calidad</w:t>
        <w:tab/>
        <w:t>8</w:t>
      </w:r>
    </w:p>
    <w:p>
      <w:pPr>
        <w:tabs>
          <w:tab w:val="right" w:leader="dot" w:pos="10070"/>
        </w:tabs>
        <w:spacing w:after="30" w:line="252" w:lineRule="auto"/>
        <w:ind w:left="360"/>
      </w:pPr>
      <w:r>
        <w:rPr>
          <w:sz w:val="19"/>
        </w:rPr>
        <w:t>Tabla 8. Documentos del proyecto</w:t>
        <w:tab/>
        <w:t>9</w:t>
      </w:r>
    </w:p>
    <w:p>
      <w:pPr>
        <w:tabs>
          <w:tab w:val="right" w:leader="dot" w:pos="10070"/>
        </w:tabs>
        <w:spacing w:after="30" w:line="252" w:lineRule="auto"/>
        <w:ind w:left="360"/>
      </w:pPr>
      <w:r>
        <w:rPr>
          <w:sz w:val="19"/>
        </w:rPr>
        <w:t>Tabla 9. Métricas de calidad M01 a M16</w:t>
        <w:tab/>
        <w:t>10</w:t>
      </w:r>
    </w:p>
    <w:p>
      <w:pPr>
        <w:tabs>
          <w:tab w:val="right" w:leader="dot" w:pos="10070"/>
        </w:tabs>
        <w:spacing w:after="30" w:line="252" w:lineRule="auto"/>
        <w:ind w:left="360"/>
      </w:pPr>
      <w:r>
        <w:rPr>
          <w:sz w:val="19"/>
        </w:rPr>
        <w:t>Tabla 10. Dónde se configura cada umbral</w:t>
        <w:tab/>
        <w:t>11</w:t>
      </w:r>
    </w:p>
    <w:p>
      <w:pPr>
        <w:tabs>
          <w:tab w:val="right" w:leader="dot" w:pos="10070"/>
        </w:tabs>
        <w:spacing w:after="30" w:line="252" w:lineRule="auto"/>
        <w:ind w:left="360"/>
      </w:pPr>
      <w:r>
        <w:rPr>
          <w:sz w:val="19"/>
        </w:rPr>
        <w:t>Tabla 11. Calendario de revisiones</w:t>
        <w:tab/>
        <w:t>13</w:t>
      </w:r>
    </w:p>
    <w:p>
      <w:pPr>
        <w:tabs>
          <w:tab w:val="right" w:leader="dot" w:pos="10070"/>
        </w:tabs>
        <w:spacing w:after="30" w:line="252" w:lineRule="auto"/>
        <w:ind w:left="360"/>
      </w:pPr>
      <w:r>
        <w:rPr>
          <w:sz w:val="19"/>
        </w:rPr>
        <w:t>Tabla 12. Roles de la inspección Fagan</w:t>
        <w:tab/>
        <w:t>13</w:t>
      </w:r>
    </w:p>
    <w:p>
      <w:pPr>
        <w:tabs>
          <w:tab w:val="right" w:leader="dot" w:pos="10070"/>
        </w:tabs>
        <w:spacing w:after="30" w:line="252" w:lineRule="auto"/>
        <w:ind w:left="360"/>
      </w:pPr>
      <w:r>
        <w:rPr>
          <w:sz w:val="19"/>
        </w:rPr>
        <w:t>Tabla 13. Etapas de la inspección</w:t>
        <w:tab/>
        <w:t>14</w:t>
      </w:r>
    </w:p>
    <w:p>
      <w:pPr>
        <w:tabs>
          <w:tab w:val="right" w:leader="dot" w:pos="10070"/>
        </w:tabs>
        <w:spacing w:after="30" w:line="252" w:lineRule="auto"/>
        <w:ind w:left="360"/>
      </w:pPr>
      <w:r>
        <w:rPr>
          <w:sz w:val="19"/>
        </w:rPr>
        <w:t>Tabla 14. Indicadores que verifica cada auditoría</w:t>
        <w:tab/>
        <w:t>14</w:t>
      </w:r>
    </w:p>
    <w:p>
      <w:pPr>
        <w:tabs>
          <w:tab w:val="right" w:leader="dot" w:pos="10070"/>
        </w:tabs>
        <w:spacing w:after="30" w:line="252" w:lineRule="auto"/>
        <w:ind w:left="360"/>
      </w:pPr>
      <w:r>
        <w:rPr>
          <w:sz w:val="19"/>
        </w:rPr>
        <w:t>Tabla 15. Estrategia de pruebas por nivel</w:t>
        <w:tab/>
        <w:t>15</w:t>
      </w:r>
    </w:p>
    <w:p>
      <w:pPr>
        <w:tabs>
          <w:tab w:val="right" w:leader="dot" w:pos="10070"/>
        </w:tabs>
        <w:spacing w:after="30" w:line="252" w:lineRule="auto"/>
        <w:ind w:left="360"/>
      </w:pPr>
      <w:r>
        <w:rPr>
          <w:sz w:val="19"/>
        </w:rPr>
        <w:t>Tabla 16. Ambientes de prueba y despliegue</w:t>
        <w:tab/>
        <w:t>16</w:t>
      </w:r>
    </w:p>
    <w:p>
      <w:pPr>
        <w:tabs>
          <w:tab w:val="right" w:leader="dot" w:pos="10070"/>
        </w:tabs>
        <w:spacing w:after="30" w:line="252" w:lineRule="auto"/>
        <w:ind w:left="360"/>
      </w:pPr>
      <w:r>
        <w:rPr>
          <w:sz w:val="19"/>
        </w:rPr>
        <w:t>Tabla 17. Transiciones permitidas</w:t>
        <w:tab/>
        <w:t>17</w:t>
      </w:r>
    </w:p>
    <w:p>
      <w:pPr>
        <w:tabs>
          <w:tab w:val="right" w:leader="dot" w:pos="10070"/>
        </w:tabs>
        <w:spacing w:after="30" w:line="252" w:lineRule="auto"/>
        <w:ind w:left="360"/>
      </w:pPr>
      <w:r>
        <w:rPr>
          <w:sz w:val="19"/>
        </w:rPr>
        <w:t>Tabla 18. SLA por severidad</w:t>
        <w:tab/>
        <w:t>18</w:t>
      </w:r>
    </w:p>
    <w:p>
      <w:pPr>
        <w:tabs>
          <w:tab w:val="right" w:leader="dot" w:pos="10070"/>
        </w:tabs>
        <w:spacing w:after="30" w:line="252" w:lineRule="auto"/>
        <w:ind w:left="360"/>
      </w:pPr>
      <w:r>
        <w:rPr>
          <w:sz w:val="19"/>
        </w:rPr>
        <w:t>Tabla 19. Prioridades</w:t>
        <w:tab/>
        <w:t>18</w:t>
      </w:r>
    </w:p>
    <w:p>
      <w:pPr>
        <w:tabs>
          <w:tab w:val="right" w:leader="dot" w:pos="10070"/>
        </w:tabs>
        <w:spacing w:after="30" w:line="252" w:lineRule="auto"/>
        <w:ind w:left="360"/>
      </w:pPr>
      <w:r>
        <w:rPr>
          <w:sz w:val="19"/>
        </w:rPr>
        <w:t>Tabla 20. Herramientas del proyecto</w:t>
        <w:tab/>
        <w:t>19</w:t>
      </w:r>
    </w:p>
    <w:p>
      <w:pPr>
        <w:tabs>
          <w:tab w:val="right" w:leader="dot" w:pos="10070"/>
        </w:tabs>
        <w:spacing w:after="30" w:line="252" w:lineRule="auto"/>
        <w:ind w:left="360"/>
      </w:pPr>
      <w:r>
        <w:rPr>
          <w:sz w:val="19"/>
        </w:rPr>
        <w:t>Tabla 21. Reglas de ramas y pull requests</w:t>
        <w:tab/>
        <w:t>21</w:t>
      </w:r>
    </w:p>
    <w:p>
      <w:pPr>
        <w:tabs>
          <w:tab w:val="right" w:leader="dot" w:pos="10070"/>
        </w:tabs>
        <w:spacing w:after="30" w:line="252" w:lineRule="auto"/>
        <w:ind w:left="360"/>
      </w:pPr>
      <w:r>
        <w:rPr>
          <w:sz w:val="19"/>
        </w:rPr>
        <w:t>Tabla 22. Política de respaldos</w:t>
        <w:tab/>
        <w:t>23</w:t>
      </w:r>
    </w:p>
    <w:p>
      <w:pPr>
        <w:tabs>
          <w:tab w:val="right" w:leader="dot" w:pos="10070"/>
        </w:tabs>
        <w:spacing w:after="30" w:line="252" w:lineRule="auto"/>
        <w:ind w:left="360"/>
      </w:pPr>
      <w:r>
        <w:rPr>
          <w:sz w:val="19"/>
        </w:rPr>
        <w:t>Tabla 23. Criterios de selección de dependencias</w:t>
        <w:tab/>
        <w:t>24</w:t>
      </w:r>
    </w:p>
    <w:p>
      <w:pPr>
        <w:tabs>
          <w:tab w:val="right" w:leader="dot" w:pos="10070"/>
        </w:tabs>
        <w:spacing w:after="30" w:line="252" w:lineRule="auto"/>
        <w:ind w:left="360"/>
      </w:pPr>
      <w:r>
        <w:rPr>
          <w:sz w:val="19"/>
        </w:rPr>
        <w:t>Tabla 24. Dependencias directas principales (las versiones exactas están en package-lock.json)</w:t>
        <w:tab/>
        <w:t>24</w:t>
      </w:r>
    </w:p>
    <w:p>
      <w:pPr>
        <w:tabs>
          <w:tab w:val="right" w:leader="dot" w:pos="10070"/>
        </w:tabs>
        <w:spacing w:after="30" w:line="252" w:lineRule="auto"/>
        <w:ind w:left="360"/>
      </w:pPr>
      <w:r>
        <w:rPr>
          <w:sz w:val="19"/>
        </w:rPr>
        <w:t>Tabla 25. Proveedores de servicios</w:t>
        <w:tab/>
        <w:t>25</w:t>
      </w:r>
    </w:p>
    <w:p>
      <w:pPr>
        <w:tabs>
          <w:tab w:val="right" w:leader="dot" w:pos="10070"/>
        </w:tabs>
        <w:spacing w:after="30" w:line="252" w:lineRule="auto"/>
        <w:ind w:left="360"/>
      </w:pPr>
      <w:r>
        <w:rPr>
          <w:sz w:val="19"/>
        </w:rPr>
        <w:t>Tabla 26. Catálogo de evidencias</w:t>
        <w:tab/>
        <w:t>25</w:t>
      </w:r>
    </w:p>
    <w:p>
      <w:pPr>
        <w:tabs>
          <w:tab w:val="right" w:leader="dot" w:pos="10070"/>
        </w:tabs>
        <w:spacing w:after="30" w:line="252" w:lineRule="auto"/>
        <w:ind w:left="360"/>
      </w:pPr>
      <w:r>
        <w:rPr>
          <w:sz w:val="19"/>
        </w:rPr>
        <w:t>Tabla 27. Competencias y brechas por rol</w:t>
        <w:tab/>
        <w:t>26</w:t>
      </w:r>
    </w:p>
    <w:p>
      <w:pPr>
        <w:tabs>
          <w:tab w:val="right" w:leader="dot" w:pos="10070"/>
        </w:tabs>
        <w:spacing w:after="30" w:line="252" w:lineRule="auto"/>
        <w:ind w:left="360"/>
      </w:pPr>
      <w:r>
        <w:rPr>
          <w:sz w:val="19"/>
        </w:rPr>
        <w:t>Tabla 28. Plan de capacitación</w:t>
        <w:tab/>
        <w:t>27</w:t>
      </w:r>
    </w:p>
    <w:p>
      <w:pPr>
        <w:tabs>
          <w:tab w:val="right" w:leader="dot" w:pos="10070"/>
        </w:tabs>
        <w:spacing w:after="30" w:line="252" w:lineRule="auto"/>
        <w:ind w:left="360"/>
      </w:pPr>
      <w:r>
        <w:rPr>
          <w:sz w:val="19"/>
        </w:rPr>
        <w:t>Tabla 29. Matriz de riesgos de calidad</w:t>
        <w:tab/>
        <w:t>27</w:t>
      </w:r>
    </w:p>
    <w:p>
      <w:pPr>
        <w:tabs>
          <w:tab w:val="right" w:leader="dot" w:pos="10070"/>
        </w:tabs>
        <w:spacing w:after="30" w:line="252" w:lineRule="auto"/>
        <w:ind w:left="360"/>
      </w:pPr>
      <w:r>
        <w:rPr>
          <w:sz w:val="19"/>
        </w:rPr>
        <w:t>Tabla 30. Glosario</w:t>
        <w:tab/>
        <w:t>29</w:t>
      </w:r>
    </w:p>
    <w:p>
      <w:pPr>
        <w:tabs>
          <w:tab w:val="right" w:leader="dot" w:pos="10070"/>
        </w:tabs>
        <w:spacing w:after="30" w:line="252" w:lineRule="auto"/>
        <w:ind w:left="360"/>
      </w:pPr>
      <w:r>
        <w:rPr>
          <w:sz w:val="19"/>
        </w:rPr>
        <w:t>Tabla 31. Autoría por sección</w:t>
        <w:tab/>
        <w:t>30</w:t>
      </w:r>
    </w:p>
    <w:p>
      <w:pPr>
        <w:tabs>
          <w:tab w:val="right" w:leader="dot" w:pos="10070"/>
        </w:tabs>
        <w:spacing w:after="30" w:line="252" w:lineRule="auto"/>
        <w:ind w:left="360"/>
      </w:pPr>
      <w:r>
        <w:rPr>
          <w:sz w:val="19"/>
        </w:rPr>
        <w:t>Tabla 32. Historial de versiones del SQAP</w:t>
        <w:tab/>
        <w:t>30</w:t>
      </w:r>
    </w:p>
    <w:p>
      <w:pPr>
        <w:tabs>
          <w:tab w:val="right" w:leader="dot" w:pos="10070"/>
        </w:tabs>
        <w:spacing w:after="30" w:line="252" w:lineRule="auto"/>
        <w:ind w:left="360"/>
      </w:pPr>
      <w:r>
        <w:rPr>
          <w:sz w:val="19"/>
        </w:rPr>
        <w:t>Tabla 33. Requerimientos no funcionales</w:t>
        <w:tab/>
        <w:t>32</w:t>
      </w:r>
    </w:p>
    <w:p>
      <w:pPr>
        <w:tabs>
          <w:tab w:val="right" w:leader="dot" w:pos="10070"/>
        </w:tabs>
        <w:spacing w:after="30" w:line="252" w:lineRule="auto"/>
        <w:ind w:left="360"/>
      </w:pPr>
      <w:r>
        <w:rPr>
          <w:sz w:val="19"/>
        </w:rPr>
        <w:t>Tabla 34. Trazabilidad de las historias del alcance</w:t>
        <w:tab/>
        <w:t>32</w:t>
      </w:r>
    </w:p>
    <w:p>
      <w:pPr>
        <w:tabs>
          <w:tab w:val="right" w:leader="dot" w:pos="10070"/>
        </w:tabs>
        <w:spacing w:after="30" w:line="252" w:lineRule="auto"/>
        <w:ind w:left="360"/>
      </w:pPr>
      <w:r>
        <w:rPr>
          <w:sz w:val="19"/>
        </w:rPr>
        <w:t>Tabla 35. Configuración del job Multibranch Pipeline</w:t>
        <w:tab/>
        <w:t>33</w:t>
      </w:r>
    </w:p>
    <w:p>
      <w:pPr>
        <w:tabs>
          <w:tab w:val="right" w:leader="dot" w:pos="10070"/>
        </w:tabs>
        <w:spacing w:after="30" w:line="252" w:lineRule="auto"/>
        <w:ind w:left="360"/>
      </w:pPr>
      <w:r>
        <w:rPr>
          <w:sz w:val="19"/>
        </w:rPr>
        <w:t>Tabla 36. Autoevaluación del plan</w:t>
        <w:tab/>
        <w:t>41</w:t>
      </w:r>
    </w:p>
    <w:p>
      <w:pPr>
        <w:tabs>
          <w:tab w:val="right" w:leader="dot" w:pos="10070"/>
        </w:tabs>
        <w:spacing w:after="30" w:line="252" w:lineRule="auto"/>
        <w:ind w:left="360"/>
      </w:pPr>
      <w:r>
        <w:rPr>
          <w:sz w:val="19"/>
        </w:rPr>
        <w:t>Tabla 37. Pendientes</w:t>
        <w:tab/>
        <w:t>41</w:t>
      </w:r>
    </w:p>
    <w:p>
      <w:pPr>
        <w:spacing w:before="120" w:after="80" w:line="276" w:lineRule="auto"/>
      </w:pPr>
      <w:r>
        <w:rPr>
          <w:color w:val="1F4E79"/>
          <w:sz w:val="24"/>
        </w:rPr>
        <w:t>Lista de figuras</w:t>
      </w:r>
    </w:p>
    <w:p>
      <w:pPr>
        <w:tabs>
          <w:tab w:val="right" w:leader="dot" w:pos="10070"/>
        </w:tabs>
        <w:spacing w:after="30" w:line="252" w:lineRule="auto"/>
        <w:ind w:left="360"/>
      </w:pPr>
      <w:r>
        <w:rPr>
          <w:sz w:val="19"/>
        </w:rPr>
        <w:t>Figura 1. Organigrama del proyecto y líneas de independencia</w:t>
        <w:tab/>
        <w:t>7</w:t>
      </w:r>
    </w:p>
    <w:p>
      <w:pPr>
        <w:tabs>
          <w:tab w:val="right" w:leader="dot" w:pos="10070"/>
        </w:tabs>
        <w:spacing w:after="30" w:line="252" w:lineRule="auto"/>
        <w:ind w:left="360"/>
      </w:pPr>
      <w:r>
        <w:rPr>
          <w:sz w:val="19"/>
        </w:rPr>
        <w:t>Figura 2. Estados del defecto y quién mueve cada transición</w:t>
        <w:tab/>
        <w:t>17</w:t>
      </w:r>
    </w:p>
    <w:p>
      <w:pPr>
        <w:tabs>
          <w:tab w:val="right" w:leader="dot" w:pos="10070"/>
        </w:tabs>
        <w:spacing w:after="30" w:line="252" w:lineRule="auto"/>
        <w:ind w:left="360"/>
      </w:pPr>
      <w:r>
        <w:rPr>
          <w:sz w:val="19"/>
        </w:rPr>
        <w:t>Figura 3. Etapas del Jenkinsfile y métricas que hace cumplir cada una</w:t>
        <w:tab/>
        <w:t>20</w:t>
      </w:r>
    </w:p>
    <w:p>
      <w:pPr>
        <w:tabs>
          <w:tab w:val="right" w:leader="dot" w:pos="10070"/>
        </w:tabs>
        <w:spacing w:after="30" w:line="252" w:lineRule="auto"/>
        <w:ind w:left="360"/>
      </w:pPr>
      <w:r>
        <w:rPr>
          <w:sz w:val="19"/>
        </w:rPr>
        <w:t>Figura 4. Recorrido de un cambio: de la tarea a la versión</w:t>
        <w:tab/>
        <w:t>21</w:t>
      </w:r>
    </w:p>
    <w:p>
      <w:r>
        <w:br w:type="page"/>
      </w:r>
    </w:p>
    <w:p>
      <w:pPr>
        <w:pStyle w:val="Ttulo1"/>
      </w:pPr>
      <w:r>
        <w:t>Agrupación según IEEE Std 730-2014</w:t>
      </w:r>
    </w:p>
    <w:p>
      <w:pPr>
        <w:spacing w:after="120" w:line="276" w:lineRule="auto"/>
      </w:pPr>
      <w:r>
        <w:t>El documento sigue las 16 secciones de IEEE Std 730-2002. Para justificar decisiones se agrupan en las tres áreas de proceso de IEEE Std 730-2014, igual que los entregables de la Parte C de la Práctica 7:</w:t>
      </w:r>
    </w:p>
    <w:p>
      <w:pPr>
        <w:keepNext/>
        <w:spacing w:before="120" w:after="80" w:line="276" w:lineRule="auto"/>
      </w:pPr>
      <w:r>
        <w:rPr>
          <w:b/>
          <w:color w:val="1F4E79"/>
          <w:sz w:val="19"/>
        </w:rPr>
        <w:t xml:space="preserve">Tabla 2. </w:t>
      </w:r>
      <w:r>
        <w:rPr>
          <w:color w:val="595959"/>
          <w:sz w:val="19"/>
        </w:rPr>
        <w:t>Secciones del plan agrupadas por área de IEEE 730-2014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300"/>
        <w:gridCol w:w="5080"/>
      </w:tblGrid>
      <w:tr>
        <w:trPr>
          <w:cantSplit/>
          <w:tblHeader/>
        </w:trPr>
        <w:tc>
          <w:tcPr>
            <w:tcW w:w="2700" w:type="dxa"/>
            <w:shd w:val="clear" w:color="auto" w:fill="DDEBF7"/>
            <w:tcMar>
              <w:top w:w="60" w:type="dxa"/>
              <w:left w:w="100" w:type="dxa"/>
              <w:bottom w:w="60" w:type="dxa"/>
              <w:right w:w="100" w:type="dxa"/>
            </w:tcMar>
          </w:tcPr>
          <w:p>
            <w:pPr>
              <w:spacing w:after="0" w:line="260" w:lineRule="auto"/>
            </w:pPr>
            <w:r>
              <w:rPr>
                <w:b/>
                <w:sz w:val="20"/>
              </w:rPr>
              <w:t>Área de IEEE 730-2014</w:t>
            </w:r>
          </w:p>
        </w:tc>
        <w:tc>
          <w:tcPr>
            <w:tcW w:w="2300" w:type="dxa"/>
            <w:shd w:val="clear" w:color="auto" w:fill="DDEBF7"/>
            <w:tcMar>
              <w:top w:w="60" w:type="dxa"/>
              <w:left w:w="100" w:type="dxa"/>
              <w:bottom w:w="60" w:type="dxa"/>
              <w:right w:w="100" w:type="dxa"/>
            </w:tcMar>
          </w:tcPr>
          <w:p>
            <w:pPr>
              <w:spacing w:after="0" w:line="260" w:lineRule="auto"/>
            </w:pPr>
            <w:r>
              <w:rPr>
                <w:b/>
                <w:sz w:val="20"/>
              </w:rPr>
              <w:t>Secciones de este plan</w:t>
            </w:r>
          </w:p>
        </w:tc>
        <w:tc>
          <w:tcPr>
            <w:tcW w:w="5080" w:type="dxa"/>
            <w:shd w:val="clear" w:color="auto" w:fill="DDEBF7"/>
            <w:tcMar>
              <w:top w:w="60" w:type="dxa"/>
              <w:left w:w="100" w:type="dxa"/>
              <w:bottom w:w="60" w:type="dxa"/>
              <w:right w:w="100" w:type="dxa"/>
            </w:tcMar>
          </w:tcPr>
          <w:p>
            <w:pPr>
              <w:spacing w:after="0" w:line="260" w:lineRule="auto"/>
            </w:pPr>
            <w:r>
              <w:rPr>
                <w:b/>
                <w:sz w:val="20"/>
              </w:rPr>
              <w:t>Qué asegura en CalisFacu</w:t>
            </w:r>
          </w:p>
        </w:tc>
      </w:tr>
      <w:tr>
        <w:trPr>
          <w:cantSplit/>
        </w:trPr>
        <w:tc>
          <w:tcPr>
            <w:tcW w:w="2700" w:type="dxa"/>
            <w:tcMar>
              <w:top w:w="60" w:type="dxa"/>
              <w:left w:w="100" w:type="dxa"/>
              <w:bottom w:w="60" w:type="dxa"/>
              <w:right w:w="100" w:type="dxa"/>
            </w:tcMar>
            <w:vAlign w:val="center"/>
          </w:tcPr>
          <w:p>
            <w:pPr>
              <w:spacing w:after="0" w:line="260" w:lineRule="auto"/>
            </w:pPr>
            <w:r>
              <w:rPr>
                <w:sz w:val="20"/>
              </w:rPr>
              <w:t>Implementación del proceso SQA</w:t>
            </w:r>
          </w:p>
        </w:tc>
        <w:tc>
          <w:tcPr>
            <w:tcW w:w="2300" w:type="dxa"/>
            <w:tcMar>
              <w:top w:w="60" w:type="dxa"/>
              <w:left w:w="100" w:type="dxa"/>
              <w:bottom w:w="60" w:type="dxa"/>
              <w:right w:w="100" w:type="dxa"/>
            </w:tcMar>
            <w:vAlign w:val="center"/>
          </w:tcPr>
          <w:p>
            <w:pPr>
              <w:spacing w:after="0" w:line="260" w:lineRule="auto"/>
            </w:pPr>
            <w:r>
              <w:rPr>
                <w:sz w:val="20"/>
              </w:rPr>
              <w:t>1, 2, 3, 15 y 16</w:t>
            </w:r>
          </w:p>
        </w:tc>
        <w:tc>
          <w:tcPr>
            <w:tcW w:w="5080" w:type="dxa"/>
            <w:tcMar>
              <w:top w:w="60" w:type="dxa"/>
              <w:left w:w="100" w:type="dxa"/>
              <w:bottom w:w="60" w:type="dxa"/>
              <w:right w:w="100" w:type="dxa"/>
            </w:tcMar>
            <w:vAlign w:val="center"/>
          </w:tcPr>
          <w:p>
            <w:pPr>
              <w:spacing w:after="0" w:line="260" w:lineRule="auto"/>
            </w:pPr>
            <w:r>
              <w:rPr>
                <w:sz w:val="20"/>
              </w:rPr>
              <w:t>Alcance, normas, roles independientes, vocabulario común y control de versiones del propio plan.</w:t>
            </w:r>
          </w:p>
        </w:tc>
      </w:tr>
      <w:tr>
        <w:trPr>
          <w:cantSplit/>
        </w:trPr>
        <w:tc>
          <w:tcPr>
            <w:tcW w:w="2700" w:type="dxa"/>
            <w:tcMar>
              <w:top w:w="60" w:type="dxa"/>
              <w:left w:w="100" w:type="dxa"/>
              <w:bottom w:w="60" w:type="dxa"/>
              <w:right w:w="100" w:type="dxa"/>
            </w:tcMar>
            <w:vAlign w:val="center"/>
          </w:tcPr>
          <w:p>
            <w:pPr>
              <w:spacing w:after="0" w:line="260" w:lineRule="auto"/>
            </w:pPr>
            <w:r>
              <w:rPr>
                <w:sz w:val="20"/>
              </w:rPr>
              <w:t>Aseguramiento del producto</w:t>
            </w:r>
          </w:p>
        </w:tc>
        <w:tc>
          <w:tcPr>
            <w:tcW w:w="2300" w:type="dxa"/>
            <w:tcMar>
              <w:top w:w="60" w:type="dxa"/>
              <w:left w:w="100" w:type="dxa"/>
              <w:bottom w:w="60" w:type="dxa"/>
              <w:right w:w="100" w:type="dxa"/>
            </w:tcMar>
            <w:vAlign w:val="center"/>
          </w:tcPr>
          <w:p>
            <w:pPr>
              <w:spacing w:after="0" w:line="260" w:lineRule="auto"/>
            </w:pPr>
            <w:r>
              <w:rPr>
                <w:sz w:val="20"/>
              </w:rPr>
              <w:t>4, 5 y 7</w:t>
            </w:r>
          </w:p>
        </w:tc>
        <w:tc>
          <w:tcPr>
            <w:tcW w:w="5080" w:type="dxa"/>
            <w:tcMar>
              <w:top w:w="60" w:type="dxa"/>
              <w:left w:w="100" w:type="dxa"/>
              <w:bottom w:w="60" w:type="dxa"/>
              <w:right w:w="100" w:type="dxa"/>
            </w:tcMar>
            <w:vAlign w:val="center"/>
          </w:tcPr>
          <w:p>
            <w:pPr>
              <w:spacing w:after="0" w:line="260" w:lineRule="auto"/>
            </w:pPr>
            <w:r>
              <w:rPr>
                <w:sz w:val="20"/>
              </w:rPr>
              <w:t>Que los documentos, el código y el sistema cumplan los RNF con métricas medidas por herramientas.</w:t>
            </w:r>
          </w:p>
        </w:tc>
      </w:tr>
      <w:tr>
        <w:trPr>
          <w:cantSplit/>
        </w:trPr>
        <w:tc>
          <w:tcPr>
            <w:tcW w:w="2700" w:type="dxa"/>
            <w:tcMar>
              <w:top w:w="60" w:type="dxa"/>
              <w:left w:w="100" w:type="dxa"/>
              <w:bottom w:w="60" w:type="dxa"/>
              <w:right w:w="100" w:type="dxa"/>
            </w:tcMar>
            <w:vAlign w:val="center"/>
          </w:tcPr>
          <w:p>
            <w:pPr>
              <w:spacing w:after="0" w:line="260" w:lineRule="auto"/>
            </w:pPr>
            <w:r>
              <w:rPr>
                <w:sz w:val="20"/>
              </w:rPr>
              <w:t>Aseguramiento del proceso</w:t>
            </w:r>
          </w:p>
        </w:tc>
        <w:tc>
          <w:tcPr>
            <w:tcW w:w="2300" w:type="dxa"/>
            <w:tcMar>
              <w:top w:w="60" w:type="dxa"/>
              <w:left w:w="100" w:type="dxa"/>
              <w:bottom w:w="60" w:type="dxa"/>
              <w:right w:w="100" w:type="dxa"/>
            </w:tcMar>
            <w:vAlign w:val="center"/>
          </w:tcPr>
          <w:p>
            <w:pPr>
              <w:spacing w:after="0" w:line="260" w:lineRule="auto"/>
            </w:pPr>
            <w:r>
              <w:rPr>
                <w:sz w:val="20"/>
              </w:rPr>
              <w:t>6, 8, 9, 10, 11, 12, 13 y 14</w:t>
            </w:r>
          </w:p>
        </w:tc>
        <w:tc>
          <w:tcPr>
            <w:tcW w:w="5080" w:type="dxa"/>
            <w:tcMar>
              <w:top w:w="60" w:type="dxa"/>
              <w:left w:w="100" w:type="dxa"/>
              <w:bottom w:w="60" w:type="dxa"/>
              <w:right w:w="100" w:type="dxa"/>
            </w:tcMar>
            <w:vAlign w:val="center"/>
          </w:tcPr>
          <w:p>
            <w:pPr>
              <w:spacing w:after="0" w:line="260" w:lineRule="auto"/>
            </w:pPr>
            <w:r>
              <w:rPr>
                <w:sz w:val="20"/>
              </w:rPr>
              <w:t>Que revisiones, defectos, herramientas, repositorio, proveedores, evidencias, capacitación y riesgos funcionen como se planificó.</w:t>
            </w:r>
          </w:p>
        </w:tc>
      </w:tr>
    </w:tbl>
    <w:p>
      <w:pPr>
        <w:spacing w:after="60" w:line="276" w:lineRule="auto"/>
      </w:pPr>
    </w:p>
    <w:p>
      <w:r>
        <w:br w:type="page"/>
      </w:r>
    </w:p>
    <w:p>
      <w:pPr>
        <w:pStyle w:val="Ttulo1"/>
      </w:pPr>
      <w:r>
        <w:t>1. Propósito</w:t>
      </w:r>
    </w:p>
    <w:p>
      <w:pPr>
        <w:spacing w:after="120" w:line="276" w:lineRule="auto"/>
      </w:pPr>
      <w:r>
        <w:t xml:space="preserve">Este plan cubre el desarrollo de </w:t>
      </w:r>
      <w:r>
        <w:rPr>
          <w:b/>
        </w:rPr>
        <w:t>CalisFacu v1.0</w:t>
      </w:r>
      <w:r>
        <w:t xml:space="preserve">, sistema web de registro de calificaciones para unidades educativas del Subsistema de Educación Regular de Bolivia. Abarca requerimientos, diseño, construcción, pruebas, despliegue y aceptación de la versión 1.0, durante </w:t>
      </w:r>
      <w:r>
        <w:rPr>
          <w:b/>
        </w:rPr>
        <w:t>4 sprints de 1 semana</w:t>
      </w:r>
      <w:r>
        <w:t xml:space="preserve"> de la Gestión II/2026, y lo ejecuta el equipo L-001. El alcance del producto es la pila de producto aprobada por el docente (</w:t>
      </w:r>
      <w:r>
        <w:rPr>
          <w:rFonts w:ascii="Consolas" w:hAnsi="Consolas" w:cs="Consolas"/>
          <w:sz w:val="19"/>
        </w:rPr>
        <w:t>backlog_v2_4sprints.xlsx</w:t>
      </w:r>
      <w:r>
        <w:t>), más cuatro historias nuevas propuestas en la revisión del backlog.</w:t>
      </w:r>
    </w:p>
    <w:p>
      <w:pPr>
        <w:keepNext/>
        <w:spacing w:before="120" w:after="80" w:line="276" w:lineRule="auto"/>
      </w:pPr>
      <w:r>
        <w:rPr>
          <w:b/>
          <w:color w:val="1F4E79"/>
          <w:sz w:val="19"/>
        </w:rPr>
        <w:t xml:space="preserve">Tabla 3. </w:t>
      </w:r>
      <w:r>
        <w:rPr>
          <w:color w:val="595959"/>
          <w:sz w:val="19"/>
        </w:rPr>
        <w:t>Alcance del plan: historias por sprint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5100"/>
        <w:gridCol w:w="3680"/>
      </w:tblGrid>
      <w:tr>
        <w:trPr>
          <w:cantSplit/>
          <w:tblHeader/>
        </w:trPr>
        <w:tc>
          <w:tcPr>
            <w:tcW w:w="1300" w:type="dxa"/>
            <w:shd w:val="clear" w:color="auto" w:fill="DDEBF7"/>
            <w:tcMar>
              <w:top w:w="60" w:type="dxa"/>
              <w:left w:w="100" w:type="dxa"/>
              <w:bottom w:w="60" w:type="dxa"/>
              <w:right w:w="100" w:type="dxa"/>
            </w:tcMar>
          </w:tcPr>
          <w:p>
            <w:pPr>
              <w:spacing w:after="0" w:line="260" w:lineRule="auto"/>
            </w:pPr>
            <w:r>
              <w:rPr>
                <w:b/>
                <w:sz w:val="20"/>
              </w:rPr>
              <w:t>Sprint</w:t>
            </w:r>
          </w:p>
        </w:tc>
        <w:tc>
          <w:tcPr>
            <w:tcW w:w="5100" w:type="dxa"/>
            <w:shd w:val="clear" w:color="auto" w:fill="DDEBF7"/>
            <w:tcMar>
              <w:top w:w="60" w:type="dxa"/>
              <w:left w:w="100" w:type="dxa"/>
              <w:bottom w:w="60" w:type="dxa"/>
              <w:right w:w="100" w:type="dxa"/>
            </w:tcMar>
          </w:tcPr>
          <w:p>
            <w:pPr>
              <w:spacing w:after="0" w:line="260" w:lineRule="auto"/>
            </w:pPr>
            <w:r>
              <w:rPr>
                <w:b/>
                <w:sz w:val="20"/>
              </w:rPr>
              <w:t>Historias de usuario incluidas</w:t>
            </w:r>
          </w:p>
        </w:tc>
        <w:tc>
          <w:tcPr>
            <w:tcW w:w="3680" w:type="dxa"/>
            <w:shd w:val="clear" w:color="auto" w:fill="DDEBF7"/>
            <w:tcMar>
              <w:top w:w="60" w:type="dxa"/>
              <w:left w:w="100" w:type="dxa"/>
              <w:bottom w:w="60" w:type="dxa"/>
              <w:right w:w="100" w:type="dxa"/>
            </w:tcMar>
          </w:tcPr>
          <w:p>
            <w:pPr>
              <w:spacing w:after="0" w:line="260" w:lineRule="auto"/>
            </w:pPr>
            <w:r>
              <w:rPr>
                <w:b/>
                <w:sz w:val="20"/>
              </w:rPr>
              <w:t>Resultado verificable</w:t>
            </w:r>
          </w:p>
        </w:tc>
      </w:tr>
      <w:tr>
        <w:trPr>
          <w:cantSplit/>
        </w:trPr>
        <w:tc>
          <w:tcPr>
            <w:tcW w:w="1300" w:type="dxa"/>
            <w:tcMar>
              <w:top w:w="60" w:type="dxa"/>
              <w:left w:w="100" w:type="dxa"/>
              <w:bottom w:w="60" w:type="dxa"/>
              <w:right w:w="100" w:type="dxa"/>
            </w:tcMar>
            <w:vAlign w:val="center"/>
          </w:tcPr>
          <w:p>
            <w:pPr>
              <w:spacing w:after="0" w:line="260" w:lineRule="auto"/>
            </w:pPr>
            <w:r>
              <w:rPr>
                <w:sz w:val="20"/>
              </w:rPr>
              <w:t>Semana 1</w:t>
            </w:r>
          </w:p>
        </w:tc>
        <w:tc>
          <w:tcPr>
            <w:tcW w:w="5100" w:type="dxa"/>
            <w:tcMar>
              <w:top w:w="60" w:type="dxa"/>
              <w:left w:w="100" w:type="dxa"/>
              <w:bottom w:w="60" w:type="dxa"/>
              <w:right w:w="100" w:type="dxa"/>
            </w:tcMar>
            <w:vAlign w:val="center"/>
          </w:tcPr>
          <w:p>
            <w:pPr>
              <w:spacing w:after="0" w:line="260" w:lineRule="auto"/>
            </w:pPr>
            <w:r>
              <w:rPr>
                <w:sz w:val="20"/>
              </w:rPr>
              <w:t>US-17 Autenticación y roles · US-18 Gestión académica base · US-01 Registro central de notas · US-02 Cálculo automático de promedios</w:t>
            </w:r>
          </w:p>
        </w:tc>
        <w:tc>
          <w:tcPr>
            <w:tcW w:w="3680" w:type="dxa"/>
            <w:tcMar>
              <w:top w:w="60" w:type="dxa"/>
              <w:left w:w="100" w:type="dxa"/>
              <w:bottom w:w="60" w:type="dxa"/>
              <w:right w:w="100" w:type="dxa"/>
            </w:tcMar>
            <w:vAlign w:val="center"/>
          </w:tcPr>
          <w:p>
            <w:pPr>
              <w:spacing w:after="0" w:line="260" w:lineRule="auto"/>
            </w:pPr>
            <w:r>
              <w:rPr>
                <w:sz w:val="20"/>
              </w:rPr>
              <w:t>Un profesor inicia sesión, registra notas por dimensión y ve la nota trimestral calculada según la RM 001/2026.</w:t>
            </w:r>
          </w:p>
        </w:tc>
      </w:tr>
      <w:tr>
        <w:trPr>
          <w:cantSplit/>
        </w:trPr>
        <w:tc>
          <w:tcPr>
            <w:tcW w:w="1300" w:type="dxa"/>
            <w:tcMar>
              <w:top w:w="60" w:type="dxa"/>
              <w:left w:w="100" w:type="dxa"/>
              <w:bottom w:w="60" w:type="dxa"/>
              <w:right w:w="100" w:type="dxa"/>
            </w:tcMar>
            <w:vAlign w:val="center"/>
          </w:tcPr>
          <w:p>
            <w:pPr>
              <w:spacing w:after="0" w:line="260" w:lineRule="auto"/>
            </w:pPr>
            <w:r>
              <w:rPr>
                <w:sz w:val="20"/>
              </w:rPr>
              <w:t>Semana 2</w:t>
            </w:r>
          </w:p>
        </w:tc>
        <w:tc>
          <w:tcPr>
            <w:tcW w:w="5100" w:type="dxa"/>
            <w:tcMar>
              <w:top w:w="60" w:type="dxa"/>
              <w:left w:w="100" w:type="dxa"/>
              <w:bottom w:w="60" w:type="dxa"/>
              <w:right w:w="100" w:type="dxa"/>
            </w:tcMar>
            <w:vAlign w:val="center"/>
          </w:tcPr>
          <w:p>
            <w:pPr>
              <w:spacing w:after="0" w:line="260" w:lineRule="auto"/>
            </w:pPr>
            <w:r>
              <w:rPr>
                <w:sz w:val="20"/>
              </w:rPr>
              <w:t>US-04 Corrección auditable · US-03 Historial académico · US-19 Registro de asistencia · US-05 Importación desde Excel · US-10 Control de entrega</w:t>
            </w:r>
          </w:p>
        </w:tc>
        <w:tc>
          <w:tcPr>
            <w:tcW w:w="3680" w:type="dxa"/>
            <w:tcMar>
              <w:top w:w="60" w:type="dxa"/>
              <w:left w:w="100" w:type="dxa"/>
              <w:bottom w:w="60" w:type="dxa"/>
              <w:right w:w="100" w:type="dxa"/>
            </w:tcMar>
            <w:vAlign w:val="center"/>
          </w:tcPr>
          <w:p>
            <w:pPr>
              <w:spacing w:after="0" w:line="260" w:lineRule="auto"/>
            </w:pPr>
            <w:r>
              <w:rPr>
                <w:sz w:val="20"/>
              </w:rPr>
              <w:t>Toda corrección queda auditada; se importan notas y se registra la asistencia.</w:t>
            </w:r>
          </w:p>
        </w:tc>
      </w:tr>
      <w:tr>
        <w:trPr>
          <w:cantSplit/>
        </w:trPr>
        <w:tc>
          <w:tcPr>
            <w:tcW w:w="1300" w:type="dxa"/>
            <w:tcMar>
              <w:top w:w="60" w:type="dxa"/>
              <w:left w:w="100" w:type="dxa"/>
              <w:bottom w:w="60" w:type="dxa"/>
              <w:right w:w="100" w:type="dxa"/>
            </w:tcMar>
            <w:vAlign w:val="center"/>
          </w:tcPr>
          <w:p>
            <w:pPr>
              <w:spacing w:after="0" w:line="260" w:lineRule="auto"/>
            </w:pPr>
            <w:r>
              <w:rPr>
                <w:sz w:val="20"/>
              </w:rPr>
              <w:t>Semana 3</w:t>
            </w:r>
          </w:p>
        </w:tc>
        <w:tc>
          <w:tcPr>
            <w:tcW w:w="5100" w:type="dxa"/>
            <w:tcMar>
              <w:top w:w="60" w:type="dxa"/>
              <w:left w:w="100" w:type="dxa"/>
              <w:bottom w:w="60" w:type="dxa"/>
              <w:right w:w="100" w:type="dxa"/>
            </w:tcMar>
            <w:vAlign w:val="center"/>
          </w:tcPr>
          <w:p>
            <w:pPr>
              <w:spacing w:after="0" w:line="260" w:lineRule="auto"/>
            </w:pPr>
            <w:r>
              <w:rPr>
                <w:sz w:val="20"/>
              </w:rPr>
              <w:t>US-06 Panel de riesgo · US-07 Boletín en PDF · US-20 Vinculación padre–estudiante · US-11 Consulta de boletín</w:t>
            </w:r>
          </w:p>
        </w:tc>
        <w:tc>
          <w:tcPr>
            <w:tcW w:w="3680" w:type="dxa"/>
            <w:tcMar>
              <w:top w:w="60" w:type="dxa"/>
              <w:left w:w="100" w:type="dxa"/>
              <w:bottom w:w="60" w:type="dxa"/>
              <w:right w:w="100" w:type="dxa"/>
            </w:tcMar>
            <w:vAlign w:val="center"/>
          </w:tcPr>
          <w:p>
            <w:pPr>
              <w:spacing w:after="0" w:line="260" w:lineRule="auto"/>
            </w:pPr>
            <w:r>
              <w:rPr>
                <w:sz w:val="20"/>
              </w:rPr>
              <w:t>El profesor genera el boletín con el formato oficial y el padre consulta solo el de sus hijos.</w:t>
            </w:r>
          </w:p>
        </w:tc>
      </w:tr>
      <w:tr>
        <w:trPr>
          <w:cantSplit/>
        </w:trPr>
        <w:tc>
          <w:tcPr>
            <w:tcW w:w="1300" w:type="dxa"/>
            <w:tcMar>
              <w:top w:w="60" w:type="dxa"/>
              <w:left w:w="100" w:type="dxa"/>
              <w:bottom w:w="60" w:type="dxa"/>
              <w:right w:w="100" w:type="dxa"/>
            </w:tcMar>
            <w:vAlign w:val="center"/>
          </w:tcPr>
          <w:p>
            <w:pPr>
              <w:spacing w:after="0" w:line="260" w:lineRule="auto"/>
            </w:pPr>
            <w:r>
              <w:rPr>
                <w:sz w:val="20"/>
              </w:rPr>
              <w:t>Semana 4</w:t>
            </w:r>
          </w:p>
        </w:tc>
        <w:tc>
          <w:tcPr>
            <w:tcW w:w="5100" w:type="dxa"/>
            <w:tcMar>
              <w:top w:w="60" w:type="dxa"/>
              <w:left w:w="100" w:type="dxa"/>
              <w:bottom w:w="60" w:type="dxa"/>
              <w:right w:w="100" w:type="dxa"/>
            </w:tcMar>
            <w:vAlign w:val="center"/>
          </w:tcPr>
          <w:p>
            <w:pPr>
              <w:spacing w:after="0" w:line="260" w:lineRule="auto"/>
            </w:pPr>
            <w:r>
              <w:rPr>
                <w:sz w:val="20"/>
              </w:rPr>
              <w:t>US-09 Centralización de notas · US-08 Alerta de promedio bajo · US-12 Aviso de boletín</w:t>
            </w:r>
          </w:p>
        </w:tc>
        <w:tc>
          <w:tcPr>
            <w:tcW w:w="3680" w:type="dxa"/>
            <w:tcMar>
              <w:top w:w="60" w:type="dxa"/>
              <w:left w:w="100" w:type="dxa"/>
              <w:bottom w:w="60" w:type="dxa"/>
              <w:right w:w="100" w:type="dxa"/>
            </w:tcMar>
            <w:vAlign w:val="center"/>
          </w:tcPr>
          <w:p>
            <w:pPr>
              <w:spacing w:after="0" w:line="260" w:lineRule="auto"/>
            </w:pPr>
            <w:r>
              <w:rPr>
                <w:sz w:val="20"/>
              </w:rPr>
              <w:t>La secretaría centraliza el trimestre y los avisos automáticos funcionan.</w:t>
            </w:r>
          </w:p>
        </w:tc>
      </w:tr>
    </w:tbl>
    <w:p>
      <w:pPr>
        <w:spacing w:after="60" w:line="276" w:lineRule="auto"/>
      </w:pPr>
    </w:p>
    <w:p>
      <w:pPr>
        <w:spacing w:after="120" w:line="276" w:lineRule="auto"/>
      </w:pPr>
      <w:r>
        <w:rPr>
          <w:b/>
        </w:rPr>
        <w:t>Roles de usuario:</w:t>
      </w:r>
      <w:r>
        <w:t xml:space="preserve"> Profesor, Secretaria, Padre de familia y Administrador. </w:t>
      </w:r>
      <w:r>
        <w:rPr>
          <w:b/>
        </w:rPr>
        <w:t>Fuera del alcance:</w:t>
      </w:r>
      <w:r>
        <w:t xml:space="preserve"> el módulo de pagos (US-13, US-14, US-15 y US-16), propuesto para una versión posterior. El docente aprobó las historias US-17 a US-20 y dejar los pagos fuera de la v1.0 (Anexo F).</w:t>
      </w:r>
    </w:p>
    <w:p>
      <w:pPr>
        <w:spacing w:after="120" w:line="276" w:lineRule="auto"/>
      </w:pPr>
      <w:r>
        <w:rPr>
          <w:b/>
        </w:rPr>
        <w:t>Nivel de integridad: 2 (Moderado)</w:t>
      </w:r>
      <w:r>
        <w:t xml:space="preserve"> según el esquema de cuatro niveles de IEEE Std 1012. Justificación: una falla (por ejemplo, una nota trimestral mal calculada o un boletín que no se genera) causa una inconveniencia operativa recuperable: la nota se recalcula, la corrección queda auditada y la unidad educativa sigue registrando las notas oficiales en el sistema del Ministerio de Educación. No provoca pérdida de vidas, daño ambiental ni pérdida económica mayor.</w:t>
      </w:r>
    </w:p>
    <w:p>
      <w:pPr>
        <w:spacing w:after="120" w:line="276" w:lineRule="auto"/>
      </w:pPr>
      <w:r>
        <w:t xml:space="preserve">Dos condiciones elevarían el nivel a </w:t>
      </w:r>
      <w:r>
        <w:rPr>
          <w:b/>
        </w:rPr>
        <w:t>3 (Mayor)</w:t>
      </w:r>
      <w:r>
        <w:t xml:space="preserve"> y obligarían a revisar este plan antes de construir: incluir el módulo de pagos (transacciones económicas) o que CalisFacu reemplace al registro oficial del Ministerio. Como el sistema guarda </w:t>
      </w:r>
      <w:r>
        <w:rPr>
          <w:b/>
        </w:rPr>
        <w:t>datos personales de menores de edad</w:t>
      </w:r>
      <w:r>
        <w:t>, se aplican controles de confidencialidad propios de un nivel superior aunque el nivel sea 2: autorización por rol y por vínculo (M09), auditoría de cada cambio (M15) y datos de prueba exclusivamente sintéticos (R07).</w:t>
      </w:r>
    </w:p>
    <w:p>
      <w:pPr>
        <w:spacing w:after="120" w:line="276" w:lineRule="auto"/>
      </w:pPr>
      <w:r>
        <w:rPr>
          <w:b/>
        </w:rPr>
        <w:t>Módulos críticos.</w:t>
      </w:r>
      <w:r>
        <w:t xml:space="preserve"> Son los que modifican o calculan notas oficiales, o deciden quién puede verlas. Los programa solo el Desarrollador backend, se construyen con TDD y exigen cobertura ≥ 90 % (M06):</w:t>
      </w:r>
    </w:p>
    <w:p>
      <w:pPr>
        <w:keepNext/>
        <w:spacing w:before="120" w:after="80" w:line="276" w:lineRule="auto"/>
      </w:pPr>
      <w:r>
        <w:rPr>
          <w:b/>
          <w:color w:val="1F4E79"/>
          <w:sz w:val="19"/>
        </w:rPr>
        <w:t xml:space="preserve">Tabla 4. </w:t>
      </w:r>
      <w:r>
        <w:rPr>
          <w:color w:val="595959"/>
          <w:sz w:val="19"/>
        </w:rPr>
        <w:t>Módulos críticos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2700"/>
        <w:gridCol w:w="2000"/>
        <w:gridCol w:w="3380"/>
      </w:tblGrid>
      <w:tr>
        <w:trPr>
          <w:cantSplit/>
          <w:tblHeader/>
        </w:trPr>
        <w:tc>
          <w:tcPr>
            <w:tcW w:w="2000" w:type="dxa"/>
            <w:shd w:val="clear" w:color="auto" w:fill="DDEBF7"/>
            <w:tcMar>
              <w:top w:w="60" w:type="dxa"/>
              <w:left w:w="100" w:type="dxa"/>
              <w:bottom w:w="60" w:type="dxa"/>
              <w:right w:w="100" w:type="dxa"/>
            </w:tcMar>
          </w:tcPr>
          <w:p>
            <w:pPr>
              <w:spacing w:after="0" w:line="260" w:lineRule="auto"/>
            </w:pPr>
            <w:r>
              <w:rPr>
                <w:b/>
                <w:sz w:val="20"/>
              </w:rPr>
              <w:t>Módulo crítico</w:t>
            </w:r>
          </w:p>
        </w:tc>
        <w:tc>
          <w:tcPr>
            <w:tcW w:w="2700" w:type="dxa"/>
            <w:shd w:val="clear" w:color="auto" w:fill="DDEBF7"/>
            <w:tcMar>
              <w:top w:w="60" w:type="dxa"/>
              <w:left w:w="100" w:type="dxa"/>
              <w:bottom w:w="60" w:type="dxa"/>
              <w:right w:w="100" w:type="dxa"/>
            </w:tcMar>
          </w:tcPr>
          <w:p>
            <w:pPr>
              <w:spacing w:after="0" w:line="260" w:lineRule="auto"/>
            </w:pPr>
            <w:r>
              <w:rPr>
                <w:b/>
                <w:sz w:val="20"/>
              </w:rPr>
              <w:t>Ruta en el repositorio</w:t>
            </w:r>
          </w:p>
        </w:tc>
        <w:tc>
          <w:tcPr>
            <w:tcW w:w="2000" w:type="dxa"/>
            <w:shd w:val="clear" w:color="auto" w:fill="DDEBF7"/>
            <w:tcMar>
              <w:top w:w="60" w:type="dxa"/>
              <w:left w:w="100" w:type="dxa"/>
              <w:bottom w:w="60" w:type="dxa"/>
              <w:right w:w="100" w:type="dxa"/>
            </w:tcMar>
          </w:tcPr>
          <w:p>
            <w:pPr>
              <w:spacing w:after="0" w:line="260" w:lineRule="auto"/>
            </w:pPr>
            <w:r>
              <w:rPr>
                <w:b/>
                <w:sz w:val="20"/>
              </w:rPr>
              <w:t>Historias</w:t>
            </w:r>
          </w:p>
        </w:tc>
        <w:tc>
          <w:tcPr>
            <w:tcW w:w="3380" w:type="dxa"/>
            <w:shd w:val="clear" w:color="auto" w:fill="DDEBF7"/>
            <w:tcMar>
              <w:top w:w="60" w:type="dxa"/>
              <w:left w:w="100" w:type="dxa"/>
              <w:bottom w:w="60" w:type="dxa"/>
              <w:right w:w="100" w:type="dxa"/>
            </w:tcMar>
          </w:tcPr>
          <w:p>
            <w:pPr>
              <w:spacing w:after="0" w:line="260" w:lineRule="auto"/>
            </w:pPr>
            <w:r>
              <w:rPr>
                <w:b/>
                <w:sz w:val="20"/>
              </w:rPr>
              <w:t>Por qué es crítico</w:t>
            </w:r>
          </w:p>
        </w:tc>
      </w:tr>
      <w:tr>
        <w:trPr>
          <w:cantSplit/>
        </w:trPr>
        <w:tc>
          <w:tcPr>
            <w:tcW w:w="2000" w:type="dxa"/>
            <w:tcMar>
              <w:top w:w="60" w:type="dxa"/>
              <w:left w:w="100" w:type="dxa"/>
              <w:bottom w:w="60" w:type="dxa"/>
              <w:right w:w="100" w:type="dxa"/>
            </w:tcMar>
            <w:vAlign w:val="center"/>
          </w:tcPr>
          <w:p>
            <w:pPr>
              <w:spacing w:after="0" w:line="260" w:lineRule="auto"/>
            </w:pPr>
            <w:r>
              <w:rPr>
                <w:sz w:val="20"/>
              </w:rPr>
              <w:t>Registro de notas</w:t>
            </w:r>
          </w:p>
        </w:tc>
        <w:tc>
          <w:tcPr>
            <w:tcW w:w="2700" w:type="dxa"/>
            <w:tcMar>
              <w:top w:w="60" w:type="dxa"/>
              <w:left w:w="100" w:type="dxa"/>
              <w:bottom w:w="60" w:type="dxa"/>
              <w:right w:w="100" w:type="dxa"/>
            </w:tcMar>
            <w:vAlign w:val="center"/>
          </w:tcPr>
          <w:p>
            <w:pPr>
              <w:spacing w:after="0" w:line="260" w:lineRule="auto"/>
            </w:pPr>
            <w:r>
              <w:rPr>
                <w:rFonts w:ascii="Consolas" w:hAnsi="Consolas" w:cs="Consolas"/>
                <w:sz w:val="19"/>
              </w:rPr>
              <w:t>api/src/modules/notas</w:t>
            </w:r>
          </w:p>
        </w:tc>
        <w:tc>
          <w:tcPr>
            <w:tcW w:w="2000" w:type="dxa"/>
            <w:tcMar>
              <w:top w:w="60" w:type="dxa"/>
              <w:left w:w="100" w:type="dxa"/>
              <w:bottom w:w="60" w:type="dxa"/>
              <w:right w:w="100" w:type="dxa"/>
            </w:tcMar>
            <w:vAlign w:val="center"/>
          </w:tcPr>
          <w:p>
            <w:pPr>
              <w:spacing w:after="0" w:line="260" w:lineRule="auto"/>
            </w:pPr>
            <w:r>
              <w:rPr>
                <w:sz w:val="20"/>
              </w:rPr>
              <w:t>US-01, US-05</w:t>
            </w:r>
          </w:p>
        </w:tc>
        <w:tc>
          <w:tcPr>
            <w:tcW w:w="3380" w:type="dxa"/>
            <w:tcMar>
              <w:top w:w="60" w:type="dxa"/>
              <w:left w:w="100" w:type="dxa"/>
              <w:bottom w:w="60" w:type="dxa"/>
              <w:right w:w="100" w:type="dxa"/>
            </w:tcMar>
            <w:vAlign w:val="center"/>
          </w:tcPr>
          <w:p>
            <w:pPr>
              <w:spacing w:after="0" w:line="260" w:lineRule="auto"/>
            </w:pPr>
            <w:r>
              <w:rPr>
                <w:sz w:val="20"/>
              </w:rPr>
              <w:t>Escribe las notas oficiales, también las importadas.</w:t>
            </w:r>
          </w:p>
        </w:tc>
      </w:tr>
      <w:tr>
        <w:trPr>
          <w:cantSplit/>
        </w:trPr>
        <w:tc>
          <w:tcPr>
            <w:tcW w:w="2000" w:type="dxa"/>
            <w:tcMar>
              <w:top w:w="60" w:type="dxa"/>
              <w:left w:w="100" w:type="dxa"/>
              <w:bottom w:w="60" w:type="dxa"/>
              <w:right w:w="100" w:type="dxa"/>
            </w:tcMar>
            <w:vAlign w:val="center"/>
          </w:tcPr>
          <w:p>
            <w:pPr>
              <w:spacing w:after="0" w:line="260" w:lineRule="auto"/>
            </w:pPr>
            <w:r>
              <w:rPr>
                <w:sz w:val="20"/>
              </w:rPr>
              <w:t>Cálculo de notas</w:t>
            </w:r>
          </w:p>
        </w:tc>
        <w:tc>
          <w:tcPr>
            <w:tcW w:w="2700" w:type="dxa"/>
            <w:tcMar>
              <w:top w:w="60" w:type="dxa"/>
              <w:left w:w="100" w:type="dxa"/>
              <w:bottom w:w="60" w:type="dxa"/>
              <w:right w:w="100" w:type="dxa"/>
            </w:tcMar>
            <w:vAlign w:val="center"/>
          </w:tcPr>
          <w:p>
            <w:pPr>
              <w:spacing w:after="0" w:line="260" w:lineRule="auto"/>
            </w:pPr>
            <w:r>
              <w:rPr>
                <w:rFonts w:ascii="Consolas" w:hAnsi="Consolas" w:cs="Consolas"/>
                <w:sz w:val="19"/>
              </w:rPr>
              <w:t>api/src/modules/calculo</w:t>
            </w:r>
          </w:p>
        </w:tc>
        <w:tc>
          <w:tcPr>
            <w:tcW w:w="2000" w:type="dxa"/>
            <w:tcMar>
              <w:top w:w="60" w:type="dxa"/>
              <w:left w:w="100" w:type="dxa"/>
              <w:bottom w:w="60" w:type="dxa"/>
              <w:right w:w="100" w:type="dxa"/>
            </w:tcMar>
            <w:vAlign w:val="center"/>
          </w:tcPr>
          <w:p>
            <w:pPr>
              <w:spacing w:after="0" w:line="260" w:lineRule="auto"/>
            </w:pPr>
            <w:r>
              <w:rPr>
                <w:sz w:val="20"/>
              </w:rPr>
              <w:t>US-02, US-18 (dimensiones)</w:t>
            </w:r>
          </w:p>
        </w:tc>
        <w:tc>
          <w:tcPr>
            <w:tcW w:w="3380" w:type="dxa"/>
            <w:tcMar>
              <w:top w:w="60" w:type="dxa"/>
              <w:left w:w="100" w:type="dxa"/>
              <w:bottom w:w="60" w:type="dxa"/>
              <w:right w:w="100" w:type="dxa"/>
            </w:tcMar>
            <w:vAlign w:val="center"/>
          </w:tcPr>
          <w:p>
            <w:pPr>
              <w:spacing w:after="0" w:line="260" w:lineRule="auto"/>
            </w:pPr>
            <w:r>
              <w:rPr>
                <w:sz w:val="20"/>
              </w:rPr>
              <w:t>Aplica la RM 001/2026; un error cambia quién aprueba.</w:t>
            </w:r>
          </w:p>
        </w:tc>
      </w:tr>
      <w:tr>
        <w:trPr>
          <w:cantSplit/>
        </w:trPr>
        <w:tc>
          <w:tcPr>
            <w:tcW w:w="2000" w:type="dxa"/>
            <w:tcMar>
              <w:top w:w="60" w:type="dxa"/>
              <w:left w:w="100" w:type="dxa"/>
              <w:bottom w:w="60" w:type="dxa"/>
              <w:right w:w="100" w:type="dxa"/>
            </w:tcMar>
            <w:vAlign w:val="center"/>
          </w:tcPr>
          <w:p>
            <w:pPr>
              <w:spacing w:after="0" w:line="260" w:lineRule="auto"/>
            </w:pPr>
            <w:r>
              <w:rPr>
                <w:sz w:val="20"/>
              </w:rPr>
              <w:t>Corrección auditable</w:t>
            </w:r>
          </w:p>
        </w:tc>
        <w:tc>
          <w:tcPr>
            <w:tcW w:w="2700" w:type="dxa"/>
            <w:tcMar>
              <w:top w:w="60" w:type="dxa"/>
              <w:left w:w="100" w:type="dxa"/>
              <w:bottom w:w="60" w:type="dxa"/>
              <w:right w:w="100" w:type="dxa"/>
            </w:tcMar>
            <w:vAlign w:val="center"/>
          </w:tcPr>
          <w:p>
            <w:pPr>
              <w:spacing w:after="0" w:line="260" w:lineRule="auto"/>
            </w:pPr>
            <w:r>
              <w:rPr>
                <w:rFonts w:ascii="Consolas" w:hAnsi="Consolas" w:cs="Consolas"/>
                <w:sz w:val="19"/>
              </w:rPr>
              <w:t>api/src/modules/auditoria</w:t>
            </w:r>
          </w:p>
        </w:tc>
        <w:tc>
          <w:tcPr>
            <w:tcW w:w="2000" w:type="dxa"/>
            <w:tcMar>
              <w:top w:w="60" w:type="dxa"/>
              <w:left w:w="100" w:type="dxa"/>
              <w:bottom w:w="60" w:type="dxa"/>
              <w:right w:w="100" w:type="dxa"/>
            </w:tcMar>
            <w:vAlign w:val="center"/>
          </w:tcPr>
          <w:p>
            <w:pPr>
              <w:spacing w:after="0" w:line="260" w:lineRule="auto"/>
            </w:pPr>
            <w:r>
              <w:rPr>
                <w:sz w:val="20"/>
              </w:rPr>
              <w:t>US-04</w:t>
            </w:r>
          </w:p>
        </w:tc>
        <w:tc>
          <w:tcPr>
            <w:tcW w:w="3380" w:type="dxa"/>
            <w:tcMar>
              <w:top w:w="60" w:type="dxa"/>
              <w:left w:w="100" w:type="dxa"/>
              <w:bottom w:w="60" w:type="dxa"/>
              <w:right w:w="100" w:type="dxa"/>
            </w:tcMar>
            <w:vAlign w:val="center"/>
          </w:tcPr>
          <w:p>
            <w:pPr>
              <w:spacing w:after="0" w:line="260" w:lineRule="auto"/>
            </w:pPr>
            <w:r>
              <w:rPr>
                <w:sz w:val="20"/>
              </w:rPr>
              <w:t>Registro de no repudio de cada cambio de nota.</w:t>
            </w:r>
          </w:p>
        </w:tc>
      </w:tr>
      <w:tr>
        <w:trPr>
          <w:cantSplit/>
        </w:trPr>
        <w:tc>
          <w:tcPr>
            <w:tcW w:w="2000" w:type="dxa"/>
            <w:tcMar>
              <w:top w:w="60" w:type="dxa"/>
              <w:left w:w="100" w:type="dxa"/>
              <w:bottom w:w="60" w:type="dxa"/>
              <w:right w:w="100" w:type="dxa"/>
            </w:tcMar>
            <w:vAlign w:val="center"/>
          </w:tcPr>
          <w:p>
            <w:pPr>
              <w:spacing w:after="0" w:line="260" w:lineRule="auto"/>
            </w:pPr>
            <w:r>
              <w:rPr>
                <w:sz w:val="20"/>
              </w:rPr>
              <w:t>Autorización</w:t>
            </w:r>
          </w:p>
        </w:tc>
        <w:tc>
          <w:tcPr>
            <w:tcW w:w="2700" w:type="dxa"/>
            <w:tcMar>
              <w:top w:w="60" w:type="dxa"/>
              <w:left w:w="100" w:type="dxa"/>
              <w:bottom w:w="60" w:type="dxa"/>
              <w:right w:w="100" w:type="dxa"/>
            </w:tcMar>
            <w:vAlign w:val="center"/>
          </w:tcPr>
          <w:p>
            <w:pPr>
              <w:spacing w:after="0" w:line="260" w:lineRule="auto"/>
            </w:pPr>
            <w:r>
              <w:rPr>
                <w:rFonts w:ascii="Consolas" w:hAnsi="Consolas" w:cs="Consolas"/>
                <w:sz w:val="19"/>
              </w:rPr>
              <w:t>api/src/modules/auth</w:t>
            </w:r>
          </w:p>
        </w:tc>
        <w:tc>
          <w:tcPr>
            <w:tcW w:w="2000" w:type="dxa"/>
            <w:tcMar>
              <w:top w:w="60" w:type="dxa"/>
              <w:left w:w="100" w:type="dxa"/>
              <w:bottom w:w="60" w:type="dxa"/>
              <w:right w:w="100" w:type="dxa"/>
            </w:tcMar>
            <w:vAlign w:val="center"/>
          </w:tcPr>
          <w:p>
            <w:pPr>
              <w:spacing w:after="0" w:line="260" w:lineRule="auto"/>
            </w:pPr>
            <w:r>
              <w:rPr>
                <w:sz w:val="20"/>
              </w:rPr>
              <w:t>US-17</w:t>
            </w:r>
          </w:p>
        </w:tc>
        <w:tc>
          <w:tcPr>
            <w:tcW w:w="3380" w:type="dxa"/>
            <w:tcMar>
              <w:top w:w="60" w:type="dxa"/>
              <w:left w:w="100" w:type="dxa"/>
              <w:bottom w:w="60" w:type="dxa"/>
              <w:right w:w="100" w:type="dxa"/>
            </w:tcMar>
            <w:vAlign w:val="center"/>
          </w:tcPr>
          <w:p>
            <w:pPr>
              <w:spacing w:after="0" w:line="260" w:lineRule="auto"/>
            </w:pPr>
            <w:r>
              <w:rPr>
                <w:sz w:val="20"/>
              </w:rPr>
              <w:t>Decide quién lee o modifica datos de menores.</w:t>
            </w:r>
          </w:p>
        </w:tc>
      </w:tr>
      <w:tr>
        <w:trPr>
          <w:cantSplit/>
        </w:trPr>
        <w:tc>
          <w:tcPr>
            <w:tcW w:w="2000" w:type="dxa"/>
            <w:tcMar>
              <w:top w:w="60" w:type="dxa"/>
              <w:left w:w="100" w:type="dxa"/>
              <w:bottom w:w="60" w:type="dxa"/>
              <w:right w:w="100" w:type="dxa"/>
            </w:tcMar>
            <w:vAlign w:val="center"/>
          </w:tcPr>
          <w:p>
            <w:pPr>
              <w:spacing w:after="0" w:line="260" w:lineRule="auto"/>
            </w:pPr>
            <w:r>
              <w:rPr>
                <w:sz w:val="20"/>
              </w:rPr>
              <w:t>Vínculo familiar</w:t>
            </w:r>
          </w:p>
        </w:tc>
        <w:tc>
          <w:tcPr>
            <w:tcW w:w="2700" w:type="dxa"/>
            <w:tcMar>
              <w:top w:w="60" w:type="dxa"/>
              <w:left w:w="100" w:type="dxa"/>
              <w:bottom w:w="60" w:type="dxa"/>
              <w:right w:w="100" w:type="dxa"/>
            </w:tcMar>
            <w:vAlign w:val="center"/>
          </w:tcPr>
          <w:p>
            <w:pPr>
              <w:spacing w:after="0" w:line="260" w:lineRule="auto"/>
            </w:pPr>
            <w:r>
              <w:rPr>
                <w:rFonts w:ascii="Consolas" w:hAnsi="Consolas" w:cs="Consolas"/>
                <w:sz w:val="19"/>
              </w:rPr>
              <w:t>api/src/modules/familias</w:t>
            </w:r>
          </w:p>
        </w:tc>
        <w:tc>
          <w:tcPr>
            <w:tcW w:w="2000" w:type="dxa"/>
            <w:tcMar>
              <w:top w:w="60" w:type="dxa"/>
              <w:left w:w="100" w:type="dxa"/>
              <w:bottom w:w="60" w:type="dxa"/>
              <w:right w:w="100" w:type="dxa"/>
            </w:tcMar>
            <w:vAlign w:val="center"/>
          </w:tcPr>
          <w:p>
            <w:pPr>
              <w:spacing w:after="0" w:line="260" w:lineRule="auto"/>
            </w:pPr>
            <w:r>
              <w:rPr>
                <w:sz w:val="20"/>
              </w:rPr>
              <w:t>US-20, US-11 (consulta del padre)</w:t>
            </w:r>
          </w:p>
        </w:tc>
        <w:tc>
          <w:tcPr>
            <w:tcW w:w="3380" w:type="dxa"/>
            <w:tcMar>
              <w:top w:w="60" w:type="dxa"/>
              <w:left w:w="100" w:type="dxa"/>
              <w:bottom w:w="60" w:type="dxa"/>
              <w:right w:w="100" w:type="dxa"/>
            </w:tcMar>
            <w:vAlign w:val="center"/>
          </w:tcPr>
          <w:p>
            <w:pPr>
              <w:spacing w:after="0" w:line="260" w:lineRule="auto"/>
            </w:pPr>
            <w:r>
              <w:rPr>
                <w:sz w:val="20"/>
              </w:rPr>
              <w:t>Decide qué padre ve los datos y el boletín de cada menor.</w:t>
            </w:r>
          </w:p>
        </w:tc>
      </w:tr>
    </w:tbl>
    <w:p>
      <w:pPr>
        <w:spacing w:after="60" w:line="276" w:lineRule="auto"/>
      </w:pPr>
    </w:p>
    <w:p>
      <w:pPr>
        <w:pStyle w:val="Ttulo1"/>
      </w:pPr>
      <w:r>
        <w:t>2. Documentos de referencia</w:t>
      </w:r>
    </w:p>
    <w:p>
      <w:pPr>
        <w:keepNext/>
        <w:spacing w:before="120" w:after="80" w:line="276" w:lineRule="auto"/>
      </w:pPr>
      <w:r>
        <w:rPr>
          <w:b/>
          <w:color w:val="1F4E79"/>
          <w:sz w:val="19"/>
        </w:rPr>
        <w:t xml:space="preserve">Tabla 5. </w:t>
      </w:r>
      <w:r>
        <w:rPr>
          <w:color w:val="595959"/>
          <w:sz w:val="19"/>
        </w:rPr>
        <w:t>Documentos de referencia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50"/>
        <w:gridCol w:w="5200"/>
        <w:gridCol w:w="1250"/>
        <w:gridCol w:w="2280"/>
      </w:tblGrid>
      <w:tr>
        <w:trPr>
          <w:cantSplit/>
          <w:tblHeader/>
        </w:trPr>
        <w:tc>
          <w:tcPr>
            <w:tcW w:w="1350" w:type="dxa"/>
            <w:shd w:val="clear" w:color="auto" w:fill="DDEBF7"/>
            <w:tcMar>
              <w:top w:w="60" w:type="dxa"/>
              <w:left w:w="100" w:type="dxa"/>
              <w:bottom w:w="60" w:type="dxa"/>
              <w:right w:w="100" w:type="dxa"/>
            </w:tcMar>
          </w:tcPr>
          <w:p>
            <w:pPr>
              <w:spacing w:after="0" w:line="260" w:lineRule="auto"/>
            </w:pPr>
            <w:r>
              <w:rPr>
                <w:b/>
                <w:sz w:val="19"/>
              </w:rPr>
              <w:t>Código</w:t>
            </w:r>
          </w:p>
        </w:tc>
        <w:tc>
          <w:tcPr>
            <w:tcW w:w="5200" w:type="dxa"/>
            <w:shd w:val="clear" w:color="auto" w:fill="DDEBF7"/>
            <w:tcMar>
              <w:top w:w="60" w:type="dxa"/>
              <w:left w:w="100" w:type="dxa"/>
              <w:bottom w:w="60" w:type="dxa"/>
              <w:right w:w="100" w:type="dxa"/>
            </w:tcMar>
          </w:tcPr>
          <w:p>
            <w:pPr>
              <w:spacing w:after="0" w:line="260" w:lineRule="auto"/>
            </w:pPr>
            <w:r>
              <w:rPr>
                <w:b/>
                <w:sz w:val="19"/>
              </w:rPr>
              <w:t>Documento</w:t>
            </w:r>
          </w:p>
        </w:tc>
        <w:tc>
          <w:tcPr>
            <w:tcW w:w="1250" w:type="dxa"/>
            <w:shd w:val="clear" w:color="auto" w:fill="DDEBF7"/>
            <w:tcMar>
              <w:top w:w="60" w:type="dxa"/>
              <w:left w:w="100" w:type="dxa"/>
              <w:bottom w:w="60" w:type="dxa"/>
              <w:right w:w="100" w:type="dxa"/>
            </w:tcMar>
          </w:tcPr>
          <w:p>
            <w:pPr>
              <w:spacing w:after="0" w:line="260" w:lineRule="auto"/>
            </w:pPr>
            <w:r>
              <w:rPr>
                <w:b/>
                <w:sz w:val="19"/>
              </w:rPr>
              <w:t>Versión</w:t>
            </w:r>
          </w:p>
        </w:tc>
        <w:tc>
          <w:tcPr>
            <w:tcW w:w="2280" w:type="dxa"/>
            <w:shd w:val="clear" w:color="auto" w:fill="DDEBF7"/>
            <w:tcMar>
              <w:top w:w="60" w:type="dxa"/>
              <w:left w:w="100" w:type="dxa"/>
              <w:bottom w:w="60" w:type="dxa"/>
              <w:right w:w="100" w:type="dxa"/>
            </w:tcMar>
          </w:tcPr>
          <w:p>
            <w:pPr>
              <w:spacing w:after="0" w:line="260" w:lineRule="auto"/>
            </w:pPr>
            <w:r>
              <w:rPr>
                <w:b/>
                <w:sz w:val="19"/>
              </w:rPr>
              <w:t>Ubicación</w:t>
            </w:r>
          </w:p>
        </w:tc>
      </w:tr>
      <w:tr>
        <w:trPr>
          <w:cantSplit/>
        </w:trPr>
        <w:tc>
          <w:tcPr>
            <w:tcW w:w="1350" w:type="dxa"/>
            <w:tcMar>
              <w:top w:w="60" w:type="dxa"/>
              <w:left w:w="100" w:type="dxa"/>
              <w:bottom w:w="60" w:type="dxa"/>
              <w:right w:w="100" w:type="dxa"/>
            </w:tcMar>
            <w:vAlign w:val="center"/>
          </w:tcPr>
          <w:p>
            <w:pPr>
              <w:spacing w:after="0" w:line="260" w:lineRule="auto"/>
            </w:pPr>
            <w:r>
              <w:rPr>
                <w:sz w:val="19"/>
              </w:rPr>
              <w:t>BACKLOG</w:t>
            </w:r>
          </w:p>
        </w:tc>
        <w:tc>
          <w:tcPr>
            <w:tcW w:w="5200" w:type="dxa"/>
            <w:tcMar>
              <w:top w:w="60" w:type="dxa"/>
              <w:left w:w="100" w:type="dxa"/>
              <w:bottom w:w="60" w:type="dxa"/>
              <w:right w:w="100" w:type="dxa"/>
            </w:tcMar>
            <w:vAlign w:val="center"/>
          </w:tcPr>
          <w:p>
            <w:pPr>
              <w:spacing w:after="0" w:line="260" w:lineRule="auto"/>
            </w:pPr>
            <w:r>
              <w:rPr>
                <w:sz w:val="19"/>
              </w:rPr>
              <w:t>Pila de producto, pila del sprint, criterios de aceptación y reglas del Ministerio (</w:t>
            </w:r>
            <w:r>
              <w:rPr>
                <w:rFonts w:ascii="Consolas" w:hAnsi="Consolas" w:cs="Consolas"/>
                <w:sz w:val="18"/>
              </w:rPr>
              <w:t>backlog_v2_4sprints.xlsx</w:t>
            </w:r>
            <w:r>
              <w:rPr>
                <w:sz w:val="19"/>
              </w:rPr>
              <w:t>)</w:t>
            </w:r>
          </w:p>
        </w:tc>
        <w:tc>
          <w:tcPr>
            <w:tcW w:w="1250" w:type="dxa"/>
            <w:tcMar>
              <w:top w:w="60" w:type="dxa"/>
              <w:left w:w="100" w:type="dxa"/>
              <w:bottom w:w="60" w:type="dxa"/>
              <w:right w:w="100" w:type="dxa"/>
            </w:tcMar>
            <w:vAlign w:val="center"/>
          </w:tcPr>
          <w:p>
            <w:pPr>
              <w:spacing w:after="0" w:line="260" w:lineRule="auto"/>
            </w:pPr>
            <w:r>
              <w:rPr>
                <w:sz w:val="19"/>
              </w:rPr>
              <w:t>2.0</w:t>
            </w:r>
          </w:p>
        </w:tc>
        <w:tc>
          <w:tcPr>
            <w:tcW w:w="2280" w:type="dxa"/>
            <w:tcMar>
              <w:top w:w="60" w:type="dxa"/>
              <w:left w:w="100" w:type="dxa"/>
              <w:bottom w:w="60" w:type="dxa"/>
              <w:right w:w="100" w:type="dxa"/>
            </w:tcMar>
            <w:vAlign w:val="center"/>
          </w:tcPr>
          <w:p>
            <w:pPr>
              <w:spacing w:after="0" w:line="260" w:lineRule="auto"/>
            </w:pPr>
            <w:r>
              <w:rPr>
                <w:rFonts w:ascii="Consolas" w:hAnsi="Consolas" w:cs="Consolas"/>
                <w:sz w:val="18"/>
              </w:rPr>
              <w:t>docs/backlog/</w:t>
            </w:r>
          </w:p>
        </w:tc>
      </w:tr>
      <w:tr>
        <w:trPr>
          <w:cantSplit/>
        </w:trPr>
        <w:tc>
          <w:tcPr>
            <w:tcW w:w="1350" w:type="dxa"/>
            <w:tcMar>
              <w:top w:w="60" w:type="dxa"/>
              <w:left w:w="100" w:type="dxa"/>
              <w:bottom w:w="60" w:type="dxa"/>
              <w:right w:w="100" w:type="dxa"/>
            </w:tcMar>
            <w:vAlign w:val="center"/>
          </w:tcPr>
          <w:p>
            <w:pPr>
              <w:spacing w:after="0" w:line="260" w:lineRule="auto"/>
            </w:pPr>
            <w:r>
              <w:rPr>
                <w:sz w:val="19"/>
              </w:rPr>
              <w:t>SRS</w:t>
            </w:r>
          </w:p>
        </w:tc>
        <w:tc>
          <w:tcPr>
            <w:tcW w:w="5200" w:type="dxa"/>
            <w:tcMar>
              <w:top w:w="60" w:type="dxa"/>
              <w:left w:w="100" w:type="dxa"/>
              <w:bottom w:w="60" w:type="dxa"/>
              <w:right w:w="100" w:type="dxa"/>
            </w:tcMar>
            <w:vAlign w:val="center"/>
          </w:tcPr>
          <w:p>
            <w:pPr>
              <w:spacing w:after="0" w:line="260" w:lineRule="auto"/>
            </w:pPr>
            <w:r>
              <w:rPr>
                <w:sz w:val="19"/>
              </w:rPr>
              <w:t>Especificación de requerimientos de CalisFacu, derivada del backlog (RNF en el Anexo A)</w:t>
            </w:r>
          </w:p>
        </w:tc>
        <w:tc>
          <w:tcPr>
            <w:tcW w:w="1250" w:type="dxa"/>
            <w:tcMar>
              <w:top w:w="60" w:type="dxa"/>
              <w:left w:w="100" w:type="dxa"/>
              <w:bottom w:w="60" w:type="dxa"/>
              <w:right w:w="100" w:type="dxa"/>
            </w:tcMar>
            <w:vAlign w:val="center"/>
          </w:tcPr>
          <w:p>
            <w:pPr>
              <w:spacing w:after="0" w:line="260" w:lineRule="auto"/>
            </w:pPr>
            <w:r>
              <w:rPr>
                <w:sz w:val="19"/>
              </w:rPr>
              <w:t>1.0</w:t>
            </w:r>
          </w:p>
        </w:tc>
        <w:tc>
          <w:tcPr>
            <w:tcW w:w="2280" w:type="dxa"/>
            <w:tcMar>
              <w:top w:w="60" w:type="dxa"/>
              <w:left w:w="100" w:type="dxa"/>
              <w:bottom w:w="60" w:type="dxa"/>
              <w:right w:w="100" w:type="dxa"/>
            </w:tcMar>
            <w:vAlign w:val="center"/>
          </w:tcPr>
          <w:p>
            <w:pPr>
              <w:spacing w:after="0" w:line="260" w:lineRule="auto"/>
            </w:pPr>
            <w:r>
              <w:rPr>
                <w:rFonts w:ascii="Consolas" w:hAnsi="Consolas" w:cs="Consolas"/>
                <w:sz w:val="18"/>
              </w:rPr>
              <w:t>docs/srs/SRS-CalisFacu.pdf</w:t>
            </w:r>
          </w:p>
        </w:tc>
      </w:tr>
      <w:tr>
        <w:trPr>
          <w:cantSplit/>
        </w:trPr>
        <w:tc>
          <w:tcPr>
            <w:tcW w:w="1350" w:type="dxa"/>
            <w:tcMar>
              <w:top w:w="60" w:type="dxa"/>
              <w:left w:w="100" w:type="dxa"/>
              <w:bottom w:w="60" w:type="dxa"/>
              <w:right w:w="100" w:type="dxa"/>
            </w:tcMar>
            <w:vAlign w:val="center"/>
          </w:tcPr>
          <w:p>
            <w:pPr>
              <w:spacing w:after="0" w:line="260" w:lineRule="auto"/>
            </w:pPr>
            <w:r>
              <w:rPr>
                <w:sz w:val="19"/>
              </w:rPr>
              <w:t>SAD</w:t>
            </w:r>
          </w:p>
        </w:tc>
        <w:tc>
          <w:tcPr>
            <w:tcW w:w="5200" w:type="dxa"/>
            <w:tcMar>
              <w:top w:w="60" w:type="dxa"/>
              <w:left w:w="100" w:type="dxa"/>
              <w:bottom w:w="60" w:type="dxa"/>
              <w:right w:w="100" w:type="dxa"/>
            </w:tcMar>
            <w:vAlign w:val="center"/>
          </w:tcPr>
          <w:p>
            <w:pPr>
              <w:spacing w:after="0" w:line="260" w:lineRule="auto"/>
            </w:pPr>
            <w:r>
              <w:rPr>
                <w:sz w:val="19"/>
              </w:rPr>
              <w:t xml:space="preserve">Documento de arquitectura: NestJS + TypeORM + PostgreSQL, React; ADR en </w:t>
            </w:r>
            <w:r>
              <w:rPr>
                <w:rFonts w:ascii="Consolas" w:hAnsi="Consolas" w:cs="Consolas"/>
                <w:sz w:val="18"/>
              </w:rPr>
              <w:t>docs/adr/</w:t>
            </w:r>
          </w:p>
        </w:tc>
        <w:tc>
          <w:tcPr>
            <w:tcW w:w="1250" w:type="dxa"/>
            <w:tcMar>
              <w:top w:w="60" w:type="dxa"/>
              <w:left w:w="100" w:type="dxa"/>
              <w:bottom w:w="60" w:type="dxa"/>
              <w:right w:w="100" w:type="dxa"/>
            </w:tcMar>
            <w:vAlign w:val="center"/>
          </w:tcPr>
          <w:p>
            <w:pPr>
              <w:spacing w:after="0" w:line="260" w:lineRule="auto"/>
            </w:pPr>
            <w:r>
              <w:rPr>
                <w:sz w:val="19"/>
              </w:rPr>
              <w:t>1.0</w:t>
            </w:r>
          </w:p>
        </w:tc>
        <w:tc>
          <w:tcPr>
            <w:tcW w:w="2280" w:type="dxa"/>
            <w:tcMar>
              <w:top w:w="60" w:type="dxa"/>
              <w:left w:w="100" w:type="dxa"/>
              <w:bottom w:w="60" w:type="dxa"/>
              <w:right w:w="100" w:type="dxa"/>
            </w:tcMar>
            <w:vAlign w:val="center"/>
          </w:tcPr>
          <w:p>
            <w:pPr>
              <w:spacing w:after="0" w:line="260" w:lineRule="auto"/>
            </w:pPr>
            <w:r>
              <w:rPr>
                <w:rFonts w:ascii="Consolas" w:hAnsi="Consolas" w:cs="Consolas"/>
                <w:sz w:val="18"/>
              </w:rPr>
              <w:t>docs/sad/SAD-CalisFacu.pdf</w:t>
            </w:r>
          </w:p>
        </w:tc>
      </w:tr>
      <w:tr>
        <w:trPr>
          <w:cantSplit/>
        </w:trPr>
        <w:tc>
          <w:tcPr>
            <w:tcW w:w="1350" w:type="dxa"/>
            <w:tcMar>
              <w:top w:w="60" w:type="dxa"/>
              <w:left w:w="100" w:type="dxa"/>
              <w:bottom w:w="60" w:type="dxa"/>
              <w:right w:w="100" w:type="dxa"/>
            </w:tcMar>
            <w:vAlign w:val="center"/>
          </w:tcPr>
          <w:p>
            <w:pPr>
              <w:spacing w:after="0" w:line="260" w:lineRule="auto"/>
            </w:pPr>
            <w:r>
              <w:rPr>
                <w:sz w:val="19"/>
              </w:rPr>
              <w:t>MATRICES</w:t>
            </w:r>
          </w:p>
        </w:tc>
        <w:tc>
          <w:tcPr>
            <w:tcW w:w="5200" w:type="dxa"/>
            <w:tcMar>
              <w:top w:w="60" w:type="dxa"/>
              <w:left w:w="100" w:type="dxa"/>
              <w:bottom w:w="60" w:type="dxa"/>
              <w:right w:w="100" w:type="dxa"/>
            </w:tcMar>
            <w:vAlign w:val="center"/>
          </w:tcPr>
          <w:p>
            <w:pPr>
              <w:spacing w:after="0" w:line="260" w:lineRule="auto"/>
            </w:pPr>
            <w:r>
              <w:rPr>
                <w:sz w:val="19"/>
              </w:rPr>
              <w:t xml:space="preserve">Libro </w:t>
            </w:r>
            <w:r>
              <w:rPr>
                <w:rFonts w:ascii="Consolas" w:hAnsi="Consolas" w:cs="Consolas"/>
                <w:sz w:val="18"/>
              </w:rPr>
              <w:t>matrices-sqap.xlsx</w:t>
            </w:r>
            <w:r>
              <w:rPr>
                <w:sz w:val="19"/>
              </w:rPr>
              <w:t>: Métricas, Riesgos, SLA y Componentes de terceros</w:t>
            </w:r>
          </w:p>
        </w:tc>
        <w:tc>
          <w:tcPr>
            <w:tcW w:w="1250" w:type="dxa"/>
            <w:tcMar>
              <w:top w:w="60" w:type="dxa"/>
              <w:left w:w="100" w:type="dxa"/>
              <w:bottom w:w="60" w:type="dxa"/>
              <w:right w:w="100" w:type="dxa"/>
            </w:tcMar>
            <w:vAlign w:val="center"/>
          </w:tcPr>
          <w:p>
            <w:pPr>
              <w:spacing w:after="0" w:line="260" w:lineRule="auto"/>
            </w:pPr>
            <w:r>
              <w:rPr>
                <w:sz w:val="19"/>
              </w:rPr>
              <w:t>1.0</w:t>
            </w:r>
          </w:p>
        </w:tc>
        <w:tc>
          <w:tcPr>
            <w:tcW w:w="2280" w:type="dxa"/>
            <w:tcMar>
              <w:top w:w="60" w:type="dxa"/>
              <w:left w:w="100" w:type="dxa"/>
              <w:bottom w:w="60" w:type="dxa"/>
              <w:right w:w="100" w:type="dxa"/>
            </w:tcMar>
            <w:vAlign w:val="center"/>
          </w:tcPr>
          <w:p>
            <w:pPr>
              <w:spacing w:after="0" w:line="260" w:lineRule="auto"/>
            </w:pPr>
            <w:r>
              <w:rPr>
                <w:rFonts w:ascii="Consolas" w:hAnsi="Consolas" w:cs="Consolas"/>
                <w:sz w:val="18"/>
              </w:rPr>
              <w:t>docs/sqap/</w:t>
            </w:r>
          </w:p>
        </w:tc>
      </w:tr>
      <w:tr>
        <w:trPr>
          <w:cantSplit/>
        </w:trPr>
        <w:tc>
          <w:tcPr>
            <w:tcW w:w="1350" w:type="dxa"/>
            <w:tcMar>
              <w:top w:w="60" w:type="dxa"/>
              <w:left w:w="100" w:type="dxa"/>
              <w:bottom w:w="60" w:type="dxa"/>
              <w:right w:w="100" w:type="dxa"/>
            </w:tcMar>
            <w:vAlign w:val="center"/>
          </w:tcPr>
          <w:p>
            <w:pPr>
              <w:spacing w:after="0" w:line="260" w:lineRule="auto"/>
            </w:pPr>
            <w:r>
              <w:rPr>
                <w:sz w:val="19"/>
              </w:rPr>
              <w:t>RM 001/2026</w:t>
            </w:r>
          </w:p>
        </w:tc>
        <w:tc>
          <w:tcPr>
            <w:tcW w:w="5200" w:type="dxa"/>
            <w:tcMar>
              <w:top w:w="60" w:type="dxa"/>
              <w:left w:w="100" w:type="dxa"/>
              <w:bottom w:w="60" w:type="dxa"/>
              <w:right w:w="100" w:type="dxa"/>
            </w:tcMar>
            <w:vAlign w:val="center"/>
          </w:tcPr>
          <w:p>
            <w:pPr>
              <w:spacing w:after="0" w:line="260" w:lineRule="auto"/>
            </w:pPr>
            <w:r>
              <w:rPr>
                <w:sz w:val="19"/>
              </w:rPr>
              <w:t>Ministerio de Educación: modificación del Reglamento de Evaluación del Desarrollo Curricular (dimensiones Ser 10, Saber 45, Hacer 40, Autoevaluación 5)</w:t>
            </w:r>
          </w:p>
        </w:tc>
        <w:tc>
          <w:tcPr>
            <w:tcW w:w="1250" w:type="dxa"/>
            <w:tcMar>
              <w:top w:w="60" w:type="dxa"/>
              <w:left w:w="100" w:type="dxa"/>
              <w:bottom w:w="60" w:type="dxa"/>
              <w:right w:w="100" w:type="dxa"/>
            </w:tcMar>
            <w:vAlign w:val="center"/>
          </w:tcPr>
          <w:p>
            <w:pPr>
              <w:spacing w:after="0" w:line="260" w:lineRule="auto"/>
            </w:pPr>
            <w:r>
              <w:rPr>
                <w:sz w:val="19"/>
              </w:rPr>
              <w:t>05/01/2026</w:t>
            </w:r>
          </w:p>
        </w:tc>
        <w:tc>
          <w:tcPr>
            <w:tcW w:w="2280" w:type="dxa"/>
            <w:tcMar>
              <w:top w:w="60" w:type="dxa"/>
              <w:left w:w="100" w:type="dxa"/>
              <w:bottom w:w="60" w:type="dxa"/>
              <w:right w:w="100" w:type="dxa"/>
            </w:tcMar>
            <w:vAlign w:val="center"/>
          </w:tcPr>
          <w:p>
            <w:pPr>
              <w:spacing w:after="0" w:line="260" w:lineRule="auto"/>
            </w:pPr>
            <w:r>
              <w:rPr>
                <w:sz w:val="19"/>
              </w:rPr>
              <w:t>minedu.gob.bo</w:t>
            </w:r>
          </w:p>
        </w:tc>
      </w:tr>
      <w:tr>
        <w:trPr>
          <w:cantSplit/>
        </w:trPr>
        <w:tc>
          <w:tcPr>
            <w:tcW w:w="1350" w:type="dxa"/>
            <w:tcMar>
              <w:top w:w="60" w:type="dxa"/>
              <w:left w:w="100" w:type="dxa"/>
              <w:bottom w:w="60" w:type="dxa"/>
              <w:right w:w="100" w:type="dxa"/>
            </w:tcMar>
            <w:vAlign w:val="center"/>
          </w:tcPr>
          <w:p>
            <w:pPr>
              <w:spacing w:after="0" w:line="260" w:lineRule="auto"/>
            </w:pPr>
            <w:r>
              <w:rPr>
                <w:sz w:val="19"/>
              </w:rPr>
              <w:t>RM 0190/2024</w:t>
            </w:r>
          </w:p>
        </w:tc>
        <w:tc>
          <w:tcPr>
            <w:tcW w:w="5200" w:type="dxa"/>
            <w:tcMar>
              <w:top w:w="60" w:type="dxa"/>
              <w:left w:w="100" w:type="dxa"/>
              <w:bottom w:w="60" w:type="dxa"/>
              <w:right w:w="100" w:type="dxa"/>
            </w:tcMar>
            <w:vAlign w:val="center"/>
          </w:tcPr>
          <w:p>
            <w:pPr>
              <w:spacing w:after="0" w:line="260" w:lineRule="auto"/>
            </w:pPr>
            <w:r>
              <w:rPr>
                <w:sz w:val="19"/>
              </w:rPr>
              <w:t>Ministerio de Educación: Reglamento de Evaluación del Desarrollo Curricular, Educación Regular (evaluación trimestral)</w:t>
            </w:r>
          </w:p>
        </w:tc>
        <w:tc>
          <w:tcPr>
            <w:tcW w:w="1250" w:type="dxa"/>
            <w:tcMar>
              <w:top w:w="60" w:type="dxa"/>
              <w:left w:w="100" w:type="dxa"/>
              <w:bottom w:w="60" w:type="dxa"/>
              <w:right w:w="100" w:type="dxa"/>
            </w:tcMar>
            <w:vAlign w:val="center"/>
          </w:tcPr>
          <w:p>
            <w:pPr>
              <w:spacing w:after="0" w:line="260" w:lineRule="auto"/>
            </w:pPr>
            <w:r>
              <w:rPr>
                <w:sz w:val="19"/>
              </w:rPr>
              <w:t>2024</w:t>
            </w:r>
          </w:p>
        </w:tc>
        <w:tc>
          <w:tcPr>
            <w:tcW w:w="2280" w:type="dxa"/>
            <w:tcMar>
              <w:top w:w="60" w:type="dxa"/>
              <w:left w:w="100" w:type="dxa"/>
              <w:bottom w:w="60" w:type="dxa"/>
              <w:right w:w="100" w:type="dxa"/>
            </w:tcMar>
            <w:vAlign w:val="center"/>
          </w:tcPr>
          <w:p>
            <w:pPr>
              <w:spacing w:after="0" w:line="260" w:lineRule="auto"/>
            </w:pPr>
            <w:r>
              <w:rPr>
                <w:sz w:val="19"/>
              </w:rPr>
              <w:t>minedu.gob.bo</w:t>
            </w:r>
          </w:p>
        </w:tc>
      </w:tr>
      <w:tr>
        <w:trPr>
          <w:cantSplit/>
        </w:trPr>
        <w:tc>
          <w:tcPr>
            <w:tcW w:w="1350" w:type="dxa"/>
            <w:tcMar>
              <w:top w:w="60" w:type="dxa"/>
              <w:left w:w="100" w:type="dxa"/>
              <w:bottom w:w="60" w:type="dxa"/>
              <w:right w:w="100" w:type="dxa"/>
            </w:tcMar>
            <w:vAlign w:val="center"/>
          </w:tcPr>
          <w:p>
            <w:pPr>
              <w:spacing w:after="0" w:line="260" w:lineRule="auto"/>
            </w:pPr>
            <w:r>
              <w:rPr>
                <w:sz w:val="19"/>
              </w:rPr>
              <w:t>IEEE 730</w:t>
            </w:r>
          </w:p>
        </w:tc>
        <w:tc>
          <w:tcPr>
            <w:tcW w:w="5200" w:type="dxa"/>
            <w:tcMar>
              <w:top w:w="60" w:type="dxa"/>
              <w:left w:w="100" w:type="dxa"/>
              <w:bottom w:w="60" w:type="dxa"/>
              <w:right w:w="100" w:type="dxa"/>
            </w:tcMar>
            <w:vAlign w:val="center"/>
          </w:tcPr>
          <w:p>
            <w:pPr>
              <w:spacing w:after="0" w:line="260" w:lineRule="auto"/>
            </w:pPr>
            <w:r>
              <w:rPr>
                <w:sz w:val="19"/>
              </w:rPr>
              <w:t>IEEE Std 730-2002, Software Quality Assurance Plans; IEEE Std 730-2014, Software Quality Assurance Processes</w:t>
            </w:r>
          </w:p>
        </w:tc>
        <w:tc>
          <w:tcPr>
            <w:tcW w:w="1250" w:type="dxa"/>
            <w:tcMar>
              <w:top w:w="60" w:type="dxa"/>
              <w:left w:w="100" w:type="dxa"/>
              <w:bottom w:w="60" w:type="dxa"/>
              <w:right w:w="100" w:type="dxa"/>
            </w:tcMar>
            <w:vAlign w:val="center"/>
          </w:tcPr>
          <w:p>
            <w:pPr>
              <w:spacing w:after="0" w:line="260" w:lineRule="auto"/>
            </w:pPr>
            <w:r>
              <w:rPr>
                <w:sz w:val="19"/>
              </w:rPr>
              <w:t>2002 y 2014</w:t>
            </w:r>
          </w:p>
        </w:tc>
        <w:tc>
          <w:tcPr>
            <w:tcW w:w="2280" w:type="dxa"/>
            <w:tcMar>
              <w:top w:w="60" w:type="dxa"/>
              <w:left w:w="100" w:type="dxa"/>
              <w:bottom w:w="60" w:type="dxa"/>
              <w:right w:w="100" w:type="dxa"/>
            </w:tcMar>
            <w:vAlign w:val="center"/>
          </w:tcPr>
          <w:p>
            <w:pPr>
              <w:spacing w:after="0" w:line="260" w:lineRule="auto"/>
            </w:pPr>
            <w:r>
              <w:rPr>
                <w:sz w:val="19"/>
              </w:rPr>
              <w:t>IEEE Xplore (biblioteca USFX)</w:t>
            </w:r>
          </w:p>
        </w:tc>
      </w:tr>
      <w:tr>
        <w:trPr>
          <w:cantSplit/>
        </w:trPr>
        <w:tc>
          <w:tcPr>
            <w:tcW w:w="1350" w:type="dxa"/>
            <w:tcMar>
              <w:top w:w="60" w:type="dxa"/>
              <w:left w:w="100" w:type="dxa"/>
              <w:bottom w:w="60" w:type="dxa"/>
              <w:right w:w="100" w:type="dxa"/>
            </w:tcMar>
            <w:vAlign w:val="center"/>
          </w:tcPr>
          <w:p>
            <w:pPr>
              <w:spacing w:after="0" w:line="260" w:lineRule="auto"/>
            </w:pPr>
            <w:r>
              <w:rPr>
                <w:sz w:val="19"/>
              </w:rPr>
              <w:t>ISO 25010</w:t>
            </w:r>
          </w:p>
        </w:tc>
        <w:tc>
          <w:tcPr>
            <w:tcW w:w="5200" w:type="dxa"/>
            <w:tcMar>
              <w:top w:w="60" w:type="dxa"/>
              <w:left w:w="100" w:type="dxa"/>
              <w:bottom w:w="60" w:type="dxa"/>
              <w:right w:w="100" w:type="dxa"/>
            </w:tcMar>
            <w:vAlign w:val="center"/>
          </w:tcPr>
          <w:p>
            <w:pPr>
              <w:spacing w:after="0" w:line="260" w:lineRule="auto"/>
            </w:pPr>
            <w:r>
              <w:rPr>
                <w:sz w:val="19"/>
              </w:rPr>
              <w:t>ISO/IEC 25010, modelo de calidad del producto (se usa la edición 2011)</w:t>
            </w:r>
          </w:p>
        </w:tc>
        <w:tc>
          <w:tcPr>
            <w:tcW w:w="1250" w:type="dxa"/>
            <w:tcMar>
              <w:top w:w="60" w:type="dxa"/>
              <w:left w:w="100" w:type="dxa"/>
              <w:bottom w:w="60" w:type="dxa"/>
              <w:right w:w="100" w:type="dxa"/>
            </w:tcMar>
            <w:vAlign w:val="center"/>
          </w:tcPr>
          <w:p>
            <w:pPr>
              <w:spacing w:after="0" w:line="260" w:lineRule="auto"/>
            </w:pPr>
            <w:r>
              <w:rPr>
                <w:sz w:val="19"/>
              </w:rPr>
              <w:t>2011</w:t>
            </w:r>
          </w:p>
        </w:tc>
        <w:tc>
          <w:tcPr>
            <w:tcW w:w="2280" w:type="dxa"/>
            <w:tcMar>
              <w:top w:w="60" w:type="dxa"/>
              <w:left w:w="100" w:type="dxa"/>
              <w:bottom w:w="60" w:type="dxa"/>
              <w:right w:w="100" w:type="dxa"/>
            </w:tcMar>
            <w:vAlign w:val="center"/>
          </w:tcPr>
          <w:p>
            <w:pPr>
              <w:spacing w:after="0" w:line="260" w:lineRule="auto"/>
            </w:pPr>
            <w:r>
              <w:rPr>
                <w:sz w:val="19"/>
              </w:rPr>
              <w:t>Biblioteca USFX</w:t>
            </w:r>
          </w:p>
        </w:tc>
      </w:tr>
      <w:tr>
        <w:trPr>
          <w:cantSplit/>
        </w:trPr>
        <w:tc>
          <w:tcPr>
            <w:tcW w:w="1350" w:type="dxa"/>
            <w:tcMar>
              <w:top w:w="60" w:type="dxa"/>
              <w:left w:w="100" w:type="dxa"/>
              <w:bottom w:w="60" w:type="dxa"/>
              <w:right w:w="100" w:type="dxa"/>
            </w:tcMar>
            <w:vAlign w:val="center"/>
          </w:tcPr>
          <w:p>
            <w:pPr>
              <w:spacing w:after="0" w:line="260" w:lineRule="auto"/>
            </w:pPr>
            <w:r>
              <w:rPr>
                <w:sz w:val="19"/>
              </w:rPr>
              <w:t>IEEE 1012</w:t>
            </w:r>
          </w:p>
        </w:tc>
        <w:tc>
          <w:tcPr>
            <w:tcW w:w="5200" w:type="dxa"/>
            <w:tcMar>
              <w:top w:w="60" w:type="dxa"/>
              <w:left w:w="100" w:type="dxa"/>
              <w:bottom w:w="60" w:type="dxa"/>
              <w:right w:w="100" w:type="dxa"/>
            </w:tcMar>
            <w:vAlign w:val="center"/>
          </w:tcPr>
          <w:p>
            <w:pPr>
              <w:spacing w:after="0" w:line="260" w:lineRule="auto"/>
            </w:pPr>
            <w:r>
              <w:rPr>
                <w:sz w:val="19"/>
              </w:rPr>
              <w:t>IEEE Std 1012, niveles de integridad (Sección 1)</w:t>
            </w:r>
          </w:p>
        </w:tc>
        <w:tc>
          <w:tcPr>
            <w:tcW w:w="1250" w:type="dxa"/>
            <w:tcMar>
              <w:top w:w="60" w:type="dxa"/>
              <w:left w:w="100" w:type="dxa"/>
              <w:bottom w:w="60" w:type="dxa"/>
              <w:right w:w="100" w:type="dxa"/>
            </w:tcMar>
            <w:vAlign w:val="center"/>
          </w:tcPr>
          <w:p>
            <w:pPr>
              <w:spacing w:after="0" w:line="260" w:lineRule="auto"/>
            </w:pPr>
            <w:r>
              <w:rPr>
                <w:sz w:val="19"/>
              </w:rPr>
              <w:t>2016</w:t>
            </w:r>
          </w:p>
        </w:tc>
        <w:tc>
          <w:tcPr>
            <w:tcW w:w="2280" w:type="dxa"/>
            <w:tcMar>
              <w:top w:w="60" w:type="dxa"/>
              <w:left w:w="100" w:type="dxa"/>
              <w:bottom w:w="60" w:type="dxa"/>
              <w:right w:w="100" w:type="dxa"/>
            </w:tcMar>
            <w:vAlign w:val="center"/>
          </w:tcPr>
          <w:p>
            <w:pPr>
              <w:spacing w:after="0" w:line="260" w:lineRule="auto"/>
            </w:pPr>
            <w:r>
              <w:rPr>
                <w:sz w:val="19"/>
              </w:rPr>
              <w:t>IEEE Xplore (biblioteca USFX)</w:t>
            </w:r>
          </w:p>
        </w:tc>
      </w:tr>
      <w:tr>
        <w:trPr>
          <w:cantSplit/>
        </w:trPr>
        <w:tc>
          <w:tcPr>
            <w:tcW w:w="1350" w:type="dxa"/>
            <w:tcMar>
              <w:top w:w="60" w:type="dxa"/>
              <w:left w:w="100" w:type="dxa"/>
              <w:bottom w:w="60" w:type="dxa"/>
              <w:right w:w="100" w:type="dxa"/>
            </w:tcMar>
            <w:vAlign w:val="center"/>
          </w:tcPr>
          <w:p>
            <w:pPr>
              <w:spacing w:after="0" w:line="260" w:lineRule="auto"/>
            </w:pPr>
            <w:r>
              <w:rPr>
                <w:sz w:val="19"/>
              </w:rPr>
              <w:t>IEEE 1028</w:t>
            </w:r>
          </w:p>
        </w:tc>
        <w:tc>
          <w:tcPr>
            <w:tcW w:w="5200" w:type="dxa"/>
            <w:tcMar>
              <w:top w:w="60" w:type="dxa"/>
              <w:left w:w="100" w:type="dxa"/>
              <w:bottom w:w="60" w:type="dxa"/>
              <w:right w:w="100" w:type="dxa"/>
            </w:tcMar>
            <w:vAlign w:val="center"/>
          </w:tcPr>
          <w:p>
            <w:pPr>
              <w:spacing w:after="0" w:line="260" w:lineRule="auto"/>
            </w:pPr>
            <w:r>
              <w:rPr>
                <w:sz w:val="19"/>
              </w:rPr>
              <w:t>IEEE Std 1028, revisiones, inspecciones y auditorías (Sección 6)</w:t>
            </w:r>
          </w:p>
        </w:tc>
        <w:tc>
          <w:tcPr>
            <w:tcW w:w="1250" w:type="dxa"/>
            <w:tcMar>
              <w:top w:w="60" w:type="dxa"/>
              <w:left w:w="100" w:type="dxa"/>
              <w:bottom w:w="60" w:type="dxa"/>
              <w:right w:w="100" w:type="dxa"/>
            </w:tcMar>
            <w:vAlign w:val="center"/>
          </w:tcPr>
          <w:p>
            <w:pPr>
              <w:spacing w:after="0" w:line="260" w:lineRule="auto"/>
            </w:pPr>
            <w:r>
              <w:rPr>
                <w:sz w:val="19"/>
              </w:rPr>
              <w:t>2008</w:t>
            </w:r>
          </w:p>
        </w:tc>
        <w:tc>
          <w:tcPr>
            <w:tcW w:w="2280" w:type="dxa"/>
            <w:tcMar>
              <w:top w:w="60" w:type="dxa"/>
              <w:left w:w="100" w:type="dxa"/>
              <w:bottom w:w="60" w:type="dxa"/>
              <w:right w:w="100" w:type="dxa"/>
            </w:tcMar>
            <w:vAlign w:val="center"/>
          </w:tcPr>
          <w:p>
            <w:pPr>
              <w:spacing w:after="0" w:line="260" w:lineRule="auto"/>
            </w:pPr>
            <w:r>
              <w:rPr>
                <w:sz w:val="19"/>
              </w:rPr>
              <w:t>IEEE Xplore (biblioteca USFX)</w:t>
            </w:r>
          </w:p>
        </w:tc>
      </w:tr>
      <w:tr>
        <w:trPr>
          <w:cantSplit/>
        </w:trPr>
        <w:tc>
          <w:tcPr>
            <w:tcW w:w="1350" w:type="dxa"/>
            <w:tcMar>
              <w:top w:w="60" w:type="dxa"/>
              <w:left w:w="100" w:type="dxa"/>
              <w:bottom w:w="60" w:type="dxa"/>
              <w:right w:w="100" w:type="dxa"/>
            </w:tcMar>
            <w:vAlign w:val="center"/>
          </w:tcPr>
          <w:p>
            <w:pPr>
              <w:spacing w:after="0" w:line="260" w:lineRule="auto"/>
            </w:pPr>
            <w:r>
              <w:rPr>
                <w:sz w:val="19"/>
              </w:rPr>
              <w:t>ISO 29119</w:t>
            </w:r>
          </w:p>
        </w:tc>
        <w:tc>
          <w:tcPr>
            <w:tcW w:w="5200" w:type="dxa"/>
            <w:tcMar>
              <w:top w:w="60" w:type="dxa"/>
              <w:left w:w="100" w:type="dxa"/>
              <w:bottom w:w="60" w:type="dxa"/>
              <w:right w:w="100" w:type="dxa"/>
            </w:tcMar>
            <w:vAlign w:val="center"/>
          </w:tcPr>
          <w:p>
            <w:pPr>
              <w:spacing w:after="0" w:line="260" w:lineRule="auto"/>
            </w:pPr>
            <w:r>
              <w:rPr>
                <w:sz w:val="19"/>
              </w:rPr>
              <w:t>ISO/IEC/IEEE 29119, procesos y documentación de pruebas (Sección 7)</w:t>
            </w:r>
          </w:p>
        </w:tc>
        <w:tc>
          <w:tcPr>
            <w:tcW w:w="1250" w:type="dxa"/>
            <w:tcMar>
              <w:top w:w="60" w:type="dxa"/>
              <w:left w:w="100" w:type="dxa"/>
              <w:bottom w:w="60" w:type="dxa"/>
              <w:right w:w="100" w:type="dxa"/>
            </w:tcMar>
            <w:vAlign w:val="center"/>
          </w:tcPr>
          <w:p>
            <w:pPr>
              <w:spacing w:after="0" w:line="260" w:lineRule="auto"/>
            </w:pPr>
            <w:r>
              <w:rPr>
                <w:sz w:val="19"/>
              </w:rPr>
              <w:t>2013–2022</w:t>
            </w:r>
          </w:p>
        </w:tc>
        <w:tc>
          <w:tcPr>
            <w:tcW w:w="2280" w:type="dxa"/>
            <w:tcMar>
              <w:top w:w="60" w:type="dxa"/>
              <w:left w:w="100" w:type="dxa"/>
              <w:bottom w:w="60" w:type="dxa"/>
              <w:right w:w="100" w:type="dxa"/>
            </w:tcMar>
            <w:vAlign w:val="center"/>
          </w:tcPr>
          <w:p>
            <w:pPr>
              <w:spacing w:after="0" w:line="260" w:lineRule="auto"/>
            </w:pPr>
            <w:r>
              <w:rPr>
                <w:sz w:val="19"/>
              </w:rPr>
              <w:t>Biblioteca USFX</w:t>
            </w:r>
          </w:p>
        </w:tc>
      </w:tr>
      <w:tr>
        <w:trPr>
          <w:cantSplit/>
        </w:trPr>
        <w:tc>
          <w:tcPr>
            <w:tcW w:w="1350" w:type="dxa"/>
            <w:tcMar>
              <w:top w:w="60" w:type="dxa"/>
              <w:left w:w="100" w:type="dxa"/>
              <w:bottom w:w="60" w:type="dxa"/>
              <w:right w:w="100" w:type="dxa"/>
            </w:tcMar>
            <w:vAlign w:val="center"/>
          </w:tcPr>
          <w:p>
            <w:pPr>
              <w:spacing w:after="0" w:line="260" w:lineRule="auto"/>
            </w:pPr>
            <w:r>
              <w:rPr>
                <w:sz w:val="19"/>
              </w:rPr>
              <w:t>ISO 29110</w:t>
            </w:r>
          </w:p>
        </w:tc>
        <w:tc>
          <w:tcPr>
            <w:tcW w:w="5200" w:type="dxa"/>
            <w:tcMar>
              <w:top w:w="60" w:type="dxa"/>
              <w:left w:w="100" w:type="dxa"/>
              <w:bottom w:w="60" w:type="dxa"/>
              <w:right w:w="100" w:type="dxa"/>
            </w:tcMar>
            <w:vAlign w:val="center"/>
          </w:tcPr>
          <w:p>
            <w:pPr>
              <w:spacing w:after="0" w:line="260" w:lineRule="auto"/>
            </w:pPr>
            <w:r>
              <w:rPr>
                <w:sz w:val="19"/>
              </w:rPr>
              <w:t>ISO/IEC 29110, perfil para entidades muy pequeñas (equipo de dos personas)</w:t>
            </w:r>
          </w:p>
        </w:tc>
        <w:tc>
          <w:tcPr>
            <w:tcW w:w="1250" w:type="dxa"/>
            <w:tcMar>
              <w:top w:w="60" w:type="dxa"/>
              <w:left w:w="100" w:type="dxa"/>
              <w:bottom w:w="60" w:type="dxa"/>
              <w:right w:w="100" w:type="dxa"/>
            </w:tcMar>
            <w:vAlign w:val="center"/>
          </w:tcPr>
          <w:p>
            <w:pPr>
              <w:spacing w:after="0" w:line="260" w:lineRule="auto"/>
            </w:pPr>
            <w:r>
              <w:rPr>
                <w:sz w:val="19"/>
              </w:rPr>
              <w:t>2011</w:t>
            </w:r>
          </w:p>
        </w:tc>
        <w:tc>
          <w:tcPr>
            <w:tcW w:w="2280" w:type="dxa"/>
            <w:tcMar>
              <w:top w:w="60" w:type="dxa"/>
              <w:left w:w="100" w:type="dxa"/>
              <w:bottom w:w="60" w:type="dxa"/>
              <w:right w:w="100" w:type="dxa"/>
            </w:tcMar>
            <w:vAlign w:val="center"/>
          </w:tcPr>
          <w:p>
            <w:pPr>
              <w:spacing w:after="0" w:line="260" w:lineRule="auto"/>
            </w:pPr>
            <w:r>
              <w:rPr>
                <w:sz w:val="19"/>
              </w:rPr>
              <w:t>Biblioteca USFX</w:t>
            </w:r>
          </w:p>
        </w:tc>
      </w:tr>
      <w:tr>
        <w:trPr>
          <w:cantSplit/>
        </w:trPr>
        <w:tc>
          <w:tcPr>
            <w:tcW w:w="1350" w:type="dxa"/>
            <w:tcMar>
              <w:top w:w="60" w:type="dxa"/>
              <w:left w:w="100" w:type="dxa"/>
              <w:bottom w:w="60" w:type="dxa"/>
              <w:right w:w="100" w:type="dxa"/>
            </w:tcMar>
            <w:vAlign w:val="center"/>
          </w:tcPr>
          <w:p>
            <w:pPr>
              <w:spacing w:after="0" w:line="260" w:lineRule="auto"/>
            </w:pPr>
            <w:r>
              <w:rPr>
                <w:sz w:val="19"/>
              </w:rPr>
              <w:t>OWASP</w:t>
            </w:r>
          </w:p>
        </w:tc>
        <w:tc>
          <w:tcPr>
            <w:tcW w:w="5200" w:type="dxa"/>
            <w:tcMar>
              <w:top w:w="60" w:type="dxa"/>
              <w:left w:w="100" w:type="dxa"/>
              <w:bottom w:w="60" w:type="dxa"/>
              <w:right w:w="100" w:type="dxa"/>
            </w:tcMar>
            <w:vAlign w:val="center"/>
          </w:tcPr>
          <w:p>
            <w:pPr>
              <w:spacing w:after="0" w:line="260" w:lineRule="auto"/>
            </w:pPr>
            <w:r>
              <w:rPr>
                <w:sz w:val="19"/>
              </w:rPr>
              <w:t>OWASP Top 10 y OWASP ASVS, ediciones vigentes (Secciones 5, 7 y 11)</w:t>
            </w:r>
          </w:p>
        </w:tc>
        <w:tc>
          <w:tcPr>
            <w:tcW w:w="1250" w:type="dxa"/>
            <w:tcMar>
              <w:top w:w="60" w:type="dxa"/>
              <w:left w:w="100" w:type="dxa"/>
              <w:bottom w:w="60" w:type="dxa"/>
              <w:right w:w="100" w:type="dxa"/>
            </w:tcMar>
            <w:vAlign w:val="center"/>
          </w:tcPr>
          <w:p>
            <w:pPr>
              <w:spacing w:after="0" w:line="260" w:lineRule="auto"/>
            </w:pPr>
            <w:r>
              <w:rPr>
                <w:sz w:val="19"/>
              </w:rPr>
              <w:t>Vigente</w:t>
            </w:r>
          </w:p>
        </w:tc>
        <w:tc>
          <w:tcPr>
            <w:tcW w:w="2280" w:type="dxa"/>
            <w:tcMar>
              <w:top w:w="60" w:type="dxa"/>
              <w:left w:w="100" w:type="dxa"/>
              <w:bottom w:w="60" w:type="dxa"/>
              <w:right w:w="100" w:type="dxa"/>
            </w:tcMar>
            <w:vAlign w:val="center"/>
          </w:tcPr>
          <w:p>
            <w:pPr>
              <w:spacing w:after="0" w:line="260" w:lineRule="auto"/>
            </w:pPr>
            <w:r>
              <w:rPr>
                <w:sz w:val="19"/>
              </w:rPr>
              <w:t>owasp.org</w:t>
            </w:r>
          </w:p>
        </w:tc>
      </w:tr>
      <w:tr>
        <w:trPr>
          <w:cantSplit/>
        </w:trPr>
        <w:tc>
          <w:tcPr>
            <w:tcW w:w="1350" w:type="dxa"/>
            <w:tcMar>
              <w:top w:w="60" w:type="dxa"/>
              <w:left w:w="100" w:type="dxa"/>
              <w:bottom w:w="60" w:type="dxa"/>
              <w:right w:w="100" w:type="dxa"/>
            </w:tcMar>
            <w:vAlign w:val="center"/>
          </w:tcPr>
          <w:p>
            <w:pPr>
              <w:spacing w:after="0" w:line="260" w:lineRule="auto"/>
            </w:pPr>
            <w:r>
              <w:rPr>
                <w:sz w:val="19"/>
              </w:rPr>
              <w:t>CC</w:t>
            </w:r>
          </w:p>
        </w:tc>
        <w:tc>
          <w:tcPr>
            <w:tcW w:w="5200" w:type="dxa"/>
            <w:tcMar>
              <w:top w:w="60" w:type="dxa"/>
              <w:left w:w="100" w:type="dxa"/>
              <w:bottom w:w="60" w:type="dxa"/>
              <w:right w:w="100" w:type="dxa"/>
            </w:tcMar>
            <w:vAlign w:val="center"/>
          </w:tcPr>
          <w:p>
            <w:pPr>
              <w:spacing w:after="0" w:line="260" w:lineRule="auto"/>
            </w:pPr>
            <w:r>
              <w:rPr>
                <w:sz w:val="19"/>
              </w:rPr>
              <w:t>Conventional Commits (mensajes de commit, Sección 10)</w:t>
            </w:r>
          </w:p>
        </w:tc>
        <w:tc>
          <w:tcPr>
            <w:tcW w:w="1250" w:type="dxa"/>
            <w:tcMar>
              <w:top w:w="60" w:type="dxa"/>
              <w:left w:w="100" w:type="dxa"/>
              <w:bottom w:w="60" w:type="dxa"/>
              <w:right w:w="100" w:type="dxa"/>
            </w:tcMar>
            <w:vAlign w:val="center"/>
          </w:tcPr>
          <w:p>
            <w:pPr>
              <w:spacing w:after="0" w:line="260" w:lineRule="auto"/>
            </w:pPr>
            <w:r>
              <w:rPr>
                <w:sz w:val="19"/>
              </w:rPr>
              <w:t>1.0.0</w:t>
            </w:r>
          </w:p>
        </w:tc>
        <w:tc>
          <w:tcPr>
            <w:tcW w:w="2280" w:type="dxa"/>
            <w:tcMar>
              <w:top w:w="60" w:type="dxa"/>
              <w:left w:w="100" w:type="dxa"/>
              <w:bottom w:w="60" w:type="dxa"/>
              <w:right w:w="100" w:type="dxa"/>
            </w:tcMar>
            <w:vAlign w:val="center"/>
          </w:tcPr>
          <w:p>
            <w:pPr>
              <w:spacing w:after="0" w:line="260" w:lineRule="auto"/>
            </w:pPr>
            <w:r>
              <w:rPr>
                <w:sz w:val="19"/>
              </w:rPr>
              <w:t>conventionalcommits.org</w:t>
            </w:r>
          </w:p>
        </w:tc>
      </w:tr>
      <w:tr>
        <w:trPr>
          <w:cantSplit/>
        </w:trPr>
        <w:tc>
          <w:tcPr>
            <w:tcW w:w="1350" w:type="dxa"/>
            <w:tcMar>
              <w:top w:w="60" w:type="dxa"/>
              <w:left w:w="100" w:type="dxa"/>
              <w:bottom w:w="60" w:type="dxa"/>
              <w:right w:w="100" w:type="dxa"/>
            </w:tcMar>
            <w:vAlign w:val="center"/>
          </w:tcPr>
          <w:p>
            <w:pPr>
              <w:spacing w:after="0" w:line="260" w:lineRule="auto"/>
            </w:pPr>
            <w:r>
              <w:rPr>
                <w:sz w:val="19"/>
              </w:rPr>
              <w:t>SemVer</w:t>
            </w:r>
          </w:p>
        </w:tc>
        <w:tc>
          <w:tcPr>
            <w:tcW w:w="5200" w:type="dxa"/>
            <w:tcMar>
              <w:top w:w="60" w:type="dxa"/>
              <w:left w:w="100" w:type="dxa"/>
              <w:bottom w:w="60" w:type="dxa"/>
              <w:right w:w="100" w:type="dxa"/>
            </w:tcMar>
            <w:vAlign w:val="center"/>
          </w:tcPr>
          <w:p>
            <w:pPr>
              <w:spacing w:after="0" w:line="260" w:lineRule="auto"/>
            </w:pPr>
            <w:r>
              <w:rPr>
                <w:sz w:val="19"/>
              </w:rPr>
              <w:t>Semantic Versioning (versiones y etiquetas, Sección 10)</w:t>
            </w:r>
          </w:p>
        </w:tc>
        <w:tc>
          <w:tcPr>
            <w:tcW w:w="1250" w:type="dxa"/>
            <w:tcMar>
              <w:top w:w="60" w:type="dxa"/>
              <w:left w:w="100" w:type="dxa"/>
              <w:bottom w:w="60" w:type="dxa"/>
              <w:right w:w="100" w:type="dxa"/>
            </w:tcMar>
            <w:vAlign w:val="center"/>
          </w:tcPr>
          <w:p>
            <w:pPr>
              <w:spacing w:after="0" w:line="260" w:lineRule="auto"/>
            </w:pPr>
            <w:r>
              <w:rPr>
                <w:sz w:val="19"/>
              </w:rPr>
              <w:t>2.0.0</w:t>
            </w:r>
          </w:p>
        </w:tc>
        <w:tc>
          <w:tcPr>
            <w:tcW w:w="2280" w:type="dxa"/>
            <w:tcMar>
              <w:top w:w="60" w:type="dxa"/>
              <w:left w:w="100" w:type="dxa"/>
              <w:bottom w:w="60" w:type="dxa"/>
              <w:right w:w="100" w:type="dxa"/>
            </w:tcMar>
            <w:vAlign w:val="center"/>
          </w:tcPr>
          <w:p>
            <w:pPr>
              <w:spacing w:after="0" w:line="260" w:lineRule="auto"/>
            </w:pPr>
            <w:r>
              <w:rPr>
                <w:sz w:val="19"/>
              </w:rPr>
              <w:t>semver.org</w:t>
            </w:r>
          </w:p>
        </w:tc>
      </w:tr>
      <w:tr>
        <w:trPr>
          <w:cantSplit/>
        </w:trPr>
        <w:tc>
          <w:tcPr>
            <w:tcW w:w="1350" w:type="dxa"/>
            <w:tcMar>
              <w:top w:w="60" w:type="dxa"/>
              <w:left w:w="100" w:type="dxa"/>
              <w:bottom w:w="60" w:type="dxa"/>
              <w:right w:w="100" w:type="dxa"/>
            </w:tcMar>
            <w:vAlign w:val="center"/>
          </w:tcPr>
          <w:p>
            <w:pPr>
              <w:spacing w:after="0" w:line="260" w:lineRule="auto"/>
            </w:pPr>
            <w:r>
              <w:rPr>
                <w:sz w:val="19"/>
              </w:rPr>
              <w:t>GUÍAS</w:t>
            </w:r>
          </w:p>
        </w:tc>
        <w:tc>
          <w:tcPr>
            <w:tcW w:w="5200" w:type="dxa"/>
            <w:tcMar>
              <w:top w:w="60" w:type="dxa"/>
              <w:left w:w="100" w:type="dxa"/>
              <w:bottom w:w="60" w:type="dxa"/>
              <w:right w:w="100" w:type="dxa"/>
            </w:tcMar>
            <w:vAlign w:val="center"/>
          </w:tcPr>
          <w:p>
            <w:pPr>
              <w:spacing w:after="0" w:line="260" w:lineRule="auto"/>
            </w:pPr>
            <w:r>
              <w:rPr>
                <w:sz w:val="19"/>
              </w:rPr>
              <w:t>Guías de las Prácticas 1 a 8 de COM450 (pruebas unitarias, TDD, SonarQube, Cypress, JMeter, Jenkins, SQAP, CI/CD con GitHub Actions)</w:t>
            </w:r>
          </w:p>
        </w:tc>
        <w:tc>
          <w:tcPr>
            <w:tcW w:w="1250" w:type="dxa"/>
            <w:tcMar>
              <w:top w:w="60" w:type="dxa"/>
              <w:left w:w="100" w:type="dxa"/>
              <w:bottom w:w="60" w:type="dxa"/>
              <w:right w:w="100" w:type="dxa"/>
            </w:tcMar>
            <w:vAlign w:val="center"/>
          </w:tcPr>
          <w:p>
            <w:pPr>
              <w:spacing w:after="0" w:line="260" w:lineRule="auto"/>
            </w:pPr>
            <w:r>
              <w:rPr>
                <w:sz w:val="19"/>
              </w:rPr>
              <w:t>II/2026</w:t>
            </w:r>
          </w:p>
        </w:tc>
        <w:tc>
          <w:tcPr>
            <w:tcW w:w="2280" w:type="dxa"/>
            <w:tcMar>
              <w:top w:w="60" w:type="dxa"/>
              <w:left w:w="100" w:type="dxa"/>
              <w:bottom w:w="60" w:type="dxa"/>
              <w:right w:w="100" w:type="dxa"/>
            </w:tcMar>
            <w:vAlign w:val="center"/>
          </w:tcPr>
          <w:p>
            <w:pPr>
              <w:spacing w:after="0" w:line="260" w:lineRule="auto"/>
            </w:pPr>
            <w:r>
              <w:rPr>
                <w:sz w:val="19"/>
              </w:rPr>
              <w:t>Classroom de COM450</w:t>
            </w:r>
          </w:p>
        </w:tc>
      </w:tr>
    </w:tbl>
    <w:p>
      <w:pPr>
        <w:spacing w:after="60" w:line="276" w:lineRule="auto"/>
      </w:pPr>
    </w:p>
    <w:p>
      <w:pPr>
        <w:pStyle w:val="Ttulo1"/>
      </w:pPr>
      <w:r>
        <w:t>3. Gestión</w:t>
      </w:r>
    </w:p>
    <w:p>
      <w:pPr>
        <w:spacing w:after="120" w:line="276" w:lineRule="auto"/>
      </w:pPr>
      <w:r>
        <w:t xml:space="preserve">El equipo L-001 tiene </w:t>
      </w:r>
      <w:r>
        <w:rPr>
          <w:b/>
        </w:rPr>
        <w:t>dos integrantes</w:t>
      </w:r>
      <w:r>
        <w:t xml:space="preserve">, conformación aceptada para la práctica aunque la guía sugiere 3 o 4; por eso cada uno asume más de un rol y la independencia se compensa como se explica más abajo. </w:t>
      </w:r>
      <w:r>
        <w:rPr>
          <w:b/>
        </w:rPr>
        <w:t>Lujan</w:t>
      </w:r>
      <w:r>
        <w:t xml:space="preserve"> es Líder de proyecto, Arquitecto y Desarrollador backend; </w:t>
      </w:r>
      <w:r>
        <w:rPr>
          <w:b/>
        </w:rPr>
        <w:t>Galvan</w:t>
      </w:r>
      <w:r>
        <w:t xml:space="preserve"> es Responsable SQA y Desarrollador frontend / Tester. El cliente es la Unidad Educativa Nazareno, representada por la directora Fabiana Parrado y la profesora Fatima Carreño, que actúan como dueños del producto.</w:t>
      </w:r>
    </w:p>
    <w:p>
      <w:pPr>
        <w:keepNext/>
        <w:jc w:val="center"/>
      </w:pPr>
      <w:r>
        <w:drawing>
          <wp:inline xmlns:a="http://schemas.openxmlformats.org/drawingml/2006/main" xmlns:pic="http://schemas.openxmlformats.org/drawingml/2006/picture">
            <wp:extent cx="5303520" cy="2597898"/>
            <wp:docPr id="1" name="Picture 1"/>
            <wp:cNvGraphicFramePr>
              <a:graphicFrameLocks noChangeAspect="1"/>
            </wp:cNvGraphicFramePr>
            <a:graphic>
              <a:graphicData uri="http://schemas.openxmlformats.org/drawingml/2006/picture">
                <pic:pic>
                  <pic:nvPicPr>
                    <pic:cNvPr id="0" name="org.png"/>
                    <pic:cNvPicPr/>
                  </pic:nvPicPr>
                  <pic:blipFill>
                    <a:blip r:embed="rId8"/>
                    <a:stretch>
                      <a:fillRect/>
                    </a:stretch>
                  </pic:blipFill>
                  <pic:spPr>
                    <a:xfrm>
                      <a:off x="0" y="0"/>
                      <a:ext cx="5303520" cy="2597898"/>
                    </a:xfrm>
                    <a:prstGeom prst="rect"/>
                  </pic:spPr>
                </pic:pic>
              </a:graphicData>
            </a:graphic>
          </wp:inline>
        </w:drawing>
      </w:r>
    </w:p>
    <w:p>
      <w:pPr>
        <w:keepNext w:val="0"/>
        <w:spacing w:before="60" w:after="80" w:line="276" w:lineRule="auto"/>
        <w:jc w:val="center"/>
      </w:pPr>
      <w:r>
        <w:rPr>
          <w:b/>
          <w:color w:val="1F4E79"/>
          <w:sz w:val="19"/>
        </w:rPr>
        <w:t xml:space="preserve">Figura 1. </w:t>
      </w:r>
      <w:r>
        <w:rPr>
          <w:color w:val="595959"/>
          <w:sz w:val="19"/>
        </w:rPr>
        <w:t>Organigrama del proyecto y líneas de independencia</w:t>
      </w:r>
    </w:p>
    <w:p>
      <w:pPr>
        <w:spacing w:after="120" w:line="276" w:lineRule="auto"/>
      </w:pPr>
      <w:r>
        <w:rPr>
          <w:b/>
        </w:rPr>
        <w:t>Regla de independencia:</w:t>
      </w:r>
      <w:r>
        <w:t xml:space="preserve"> quien produce un artefacto no lo revisa ni lo aprueba. Galvan </w:t>
      </w:r>
      <w:r>
        <w:rPr>
          <w:b/>
        </w:rPr>
        <w:t>no programa</w:t>
      </w:r>
      <w:r>
        <w:t xml:space="preserve"> los módulos críticos de la Tabla 4; los escribe Lujan y Galvan revisa sus commits (ADR-0008). El código de Galvan (interfaz, API no crítica, </w:t>
      </w:r>
      <w:r>
        <w:rPr>
          <w:rFonts w:ascii="Consolas" w:hAnsi="Consolas" w:cs="Consolas"/>
          <w:sz w:val="19"/>
        </w:rPr>
        <w:t>Jenkinsfile</w:t>
      </w:r>
      <w:r>
        <w:t xml:space="preserve"> y scripts de Cypress y JMeter) lo revisa Lujan. El Responsable SQA tiene autoridad para rechazar cualquier entregable que no cumpla los objetivos M01 a M16 y para detener un release.</w:t>
      </w:r>
    </w:p>
    <w:p>
      <w:pPr>
        <w:keepNext/>
        <w:spacing w:before="120" w:after="80" w:line="276" w:lineRule="auto"/>
      </w:pPr>
      <w:r>
        <w:rPr>
          <w:b/>
          <w:color w:val="1F4E79"/>
          <w:sz w:val="19"/>
        </w:rPr>
        <w:t xml:space="preserve">Tabla 6. </w:t>
      </w:r>
      <w:r>
        <w:rPr>
          <w:color w:val="595959"/>
          <w:sz w:val="19"/>
        </w:rPr>
        <w:t>Roles y responsabilidades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280"/>
        <w:gridCol w:w="1500"/>
      </w:tblGrid>
      <w:tr>
        <w:trPr>
          <w:cantSplit/>
          <w:tblHeader/>
        </w:trPr>
        <w:tc>
          <w:tcPr>
            <w:tcW w:w="2300" w:type="dxa"/>
            <w:shd w:val="clear" w:color="auto" w:fill="DDEBF7"/>
            <w:tcMar>
              <w:top w:w="60" w:type="dxa"/>
              <w:left w:w="100" w:type="dxa"/>
              <w:bottom w:w="60" w:type="dxa"/>
              <w:right w:w="100" w:type="dxa"/>
            </w:tcMar>
          </w:tcPr>
          <w:p>
            <w:pPr>
              <w:spacing w:after="0" w:line="260" w:lineRule="auto"/>
            </w:pPr>
            <w:r>
              <w:rPr>
                <w:b/>
                <w:sz w:val="20"/>
              </w:rPr>
              <w:t>Rol</w:t>
            </w:r>
          </w:p>
        </w:tc>
        <w:tc>
          <w:tcPr>
            <w:tcW w:w="6280" w:type="dxa"/>
            <w:shd w:val="clear" w:color="auto" w:fill="DDEBF7"/>
            <w:tcMar>
              <w:top w:w="60" w:type="dxa"/>
              <w:left w:w="100" w:type="dxa"/>
              <w:bottom w:w="60" w:type="dxa"/>
              <w:right w:w="100" w:type="dxa"/>
            </w:tcMar>
          </w:tcPr>
          <w:p>
            <w:pPr>
              <w:spacing w:after="0" w:line="260" w:lineRule="auto"/>
            </w:pPr>
            <w:r>
              <w:rPr>
                <w:b/>
                <w:sz w:val="20"/>
              </w:rPr>
              <w:t>Responsabilidad principal</w:t>
            </w:r>
          </w:p>
        </w:tc>
        <w:tc>
          <w:tcPr>
            <w:tcW w:w="1500" w:type="dxa"/>
            <w:shd w:val="clear" w:color="auto" w:fill="DDEBF7"/>
            <w:tcMar>
              <w:top w:w="60" w:type="dxa"/>
              <w:left w:w="100" w:type="dxa"/>
              <w:bottom w:w="60" w:type="dxa"/>
              <w:right w:w="100" w:type="dxa"/>
            </w:tcMar>
          </w:tcPr>
          <w:p>
            <w:pPr>
              <w:spacing w:after="0" w:line="260" w:lineRule="auto"/>
            </w:pPr>
            <w:r>
              <w:rPr>
                <w:b/>
                <w:sz w:val="20"/>
              </w:rPr>
              <w:t>Integrante</w:t>
            </w:r>
          </w:p>
        </w:tc>
      </w:tr>
      <w:tr>
        <w:trPr>
          <w:cantSplit/>
        </w:trPr>
        <w:tc>
          <w:tcPr>
            <w:tcW w:w="2300" w:type="dxa"/>
            <w:tcMar>
              <w:top w:w="60" w:type="dxa"/>
              <w:left w:w="100" w:type="dxa"/>
              <w:bottom w:w="60" w:type="dxa"/>
              <w:right w:w="100" w:type="dxa"/>
            </w:tcMar>
            <w:vAlign w:val="center"/>
          </w:tcPr>
          <w:p>
            <w:pPr>
              <w:spacing w:after="0" w:line="260" w:lineRule="auto"/>
            </w:pPr>
            <w:r>
              <w:rPr>
                <w:sz w:val="20"/>
              </w:rPr>
              <w:t>Líder de proyecto</w:t>
            </w:r>
          </w:p>
        </w:tc>
        <w:tc>
          <w:tcPr>
            <w:tcW w:w="6280" w:type="dxa"/>
            <w:tcMar>
              <w:top w:w="60" w:type="dxa"/>
              <w:left w:w="100" w:type="dxa"/>
              <w:bottom w:w="60" w:type="dxa"/>
              <w:right w:w="100" w:type="dxa"/>
            </w:tcMar>
            <w:vAlign w:val="center"/>
          </w:tcPr>
          <w:p>
            <w:pPr>
              <w:spacing w:after="0" w:line="260" w:lineRule="auto"/>
            </w:pPr>
            <w:r>
              <w:rPr>
                <w:sz w:val="20"/>
              </w:rPr>
              <w:t>Coordina el equipo y el cronograma, comunica con el docente y el cliente, fija la prioridad de los defectos, aprueba cambios de historias y rinde cuentas por el proyecto.</w:t>
            </w:r>
          </w:p>
        </w:tc>
        <w:tc>
          <w:tcPr>
            <w:tcW w:w="1500" w:type="dxa"/>
            <w:tcMar>
              <w:top w:w="60" w:type="dxa"/>
              <w:left w:w="100" w:type="dxa"/>
              <w:bottom w:w="60" w:type="dxa"/>
              <w:right w:w="100" w:type="dxa"/>
            </w:tcMar>
            <w:vAlign w:val="center"/>
          </w:tcPr>
          <w:p>
            <w:pPr>
              <w:spacing w:after="0" w:line="260" w:lineRule="auto"/>
            </w:pPr>
            <w:r>
              <w:rPr>
                <w:sz w:val="20"/>
              </w:rPr>
              <w:t>Lujan</w:t>
            </w:r>
          </w:p>
        </w:tc>
      </w:tr>
      <w:tr>
        <w:trPr>
          <w:cantSplit/>
        </w:trPr>
        <w:tc>
          <w:tcPr>
            <w:tcW w:w="2300" w:type="dxa"/>
            <w:tcMar>
              <w:top w:w="60" w:type="dxa"/>
              <w:left w:w="100" w:type="dxa"/>
              <w:bottom w:w="60" w:type="dxa"/>
              <w:right w:w="100" w:type="dxa"/>
            </w:tcMar>
            <w:vAlign w:val="center"/>
          </w:tcPr>
          <w:p>
            <w:pPr>
              <w:spacing w:after="0" w:line="260" w:lineRule="auto"/>
            </w:pPr>
            <w:r>
              <w:rPr>
                <w:sz w:val="20"/>
              </w:rPr>
              <w:t>Arquitecto</w:t>
            </w:r>
          </w:p>
        </w:tc>
        <w:tc>
          <w:tcPr>
            <w:tcW w:w="6280" w:type="dxa"/>
            <w:tcMar>
              <w:top w:w="60" w:type="dxa"/>
              <w:left w:w="100" w:type="dxa"/>
              <w:bottom w:w="60" w:type="dxa"/>
              <w:right w:w="100" w:type="dxa"/>
            </w:tcMar>
            <w:vAlign w:val="center"/>
          </w:tcPr>
          <w:p>
            <w:pPr>
              <w:spacing w:after="0" w:line="260" w:lineRule="auto"/>
            </w:pPr>
            <w:r>
              <w:rPr>
                <w:sz w:val="20"/>
              </w:rPr>
              <w:t>Define la arquitectura NestJS y el modelo de datos PostgreSQL, registra las decisiones como ADR y mantiene el manual técnico.</w:t>
            </w:r>
          </w:p>
        </w:tc>
        <w:tc>
          <w:tcPr>
            <w:tcW w:w="1500" w:type="dxa"/>
            <w:tcMar>
              <w:top w:w="60" w:type="dxa"/>
              <w:left w:w="100" w:type="dxa"/>
              <w:bottom w:w="60" w:type="dxa"/>
              <w:right w:w="100" w:type="dxa"/>
            </w:tcMar>
            <w:vAlign w:val="center"/>
          </w:tcPr>
          <w:p>
            <w:pPr>
              <w:spacing w:after="0" w:line="260" w:lineRule="auto"/>
            </w:pPr>
            <w:r>
              <w:rPr>
                <w:sz w:val="20"/>
              </w:rPr>
              <w:t>Lujan</w:t>
            </w:r>
          </w:p>
        </w:tc>
      </w:tr>
      <w:tr>
        <w:trPr>
          <w:cantSplit/>
        </w:trPr>
        <w:tc>
          <w:tcPr>
            <w:tcW w:w="2300" w:type="dxa"/>
            <w:tcMar>
              <w:top w:w="60" w:type="dxa"/>
              <w:left w:w="100" w:type="dxa"/>
              <w:bottom w:w="60" w:type="dxa"/>
              <w:right w:w="100" w:type="dxa"/>
            </w:tcMar>
            <w:vAlign w:val="center"/>
          </w:tcPr>
          <w:p>
            <w:pPr>
              <w:spacing w:after="0" w:line="260" w:lineRule="auto"/>
            </w:pPr>
            <w:r>
              <w:rPr>
                <w:sz w:val="20"/>
              </w:rPr>
              <w:t>Responsable SQA</w:t>
            </w:r>
          </w:p>
        </w:tc>
        <w:tc>
          <w:tcPr>
            <w:tcW w:w="6280" w:type="dxa"/>
            <w:tcMar>
              <w:top w:w="60" w:type="dxa"/>
              <w:left w:w="100" w:type="dxa"/>
              <w:bottom w:w="60" w:type="dxa"/>
              <w:right w:w="100" w:type="dxa"/>
            </w:tcMar>
            <w:vAlign w:val="center"/>
          </w:tcPr>
          <w:p>
            <w:pPr>
              <w:spacing w:after="0" w:line="260" w:lineRule="auto"/>
            </w:pPr>
            <w:r>
              <w:rPr>
                <w:sz w:val="20"/>
              </w:rPr>
              <w:t xml:space="preserve">Mantiene el SQAP y </w:t>
            </w:r>
            <w:r>
              <w:rPr>
                <w:rFonts w:ascii="Consolas" w:hAnsi="Consolas" w:cs="Consolas"/>
                <w:sz w:val="19"/>
              </w:rPr>
              <w:t>matrices-sqap.xlsx</w:t>
            </w:r>
            <w:r>
              <w:rPr>
                <w:sz w:val="20"/>
              </w:rPr>
              <w:t>, aprueba los PR de los módulos críticos, modera las inspecciones y audita el cumplimiento del plan. No programa módulos críticos.</w:t>
            </w:r>
          </w:p>
        </w:tc>
        <w:tc>
          <w:tcPr>
            <w:tcW w:w="1500" w:type="dxa"/>
            <w:tcMar>
              <w:top w:w="60" w:type="dxa"/>
              <w:left w:w="100" w:type="dxa"/>
              <w:bottom w:w="60" w:type="dxa"/>
              <w:right w:w="100" w:type="dxa"/>
            </w:tcMar>
            <w:vAlign w:val="center"/>
          </w:tcPr>
          <w:p>
            <w:pPr>
              <w:spacing w:after="0" w:line="260" w:lineRule="auto"/>
            </w:pPr>
            <w:r>
              <w:rPr>
                <w:sz w:val="20"/>
              </w:rPr>
              <w:t>Galvan</w:t>
            </w:r>
          </w:p>
        </w:tc>
      </w:tr>
      <w:tr>
        <w:trPr>
          <w:cantSplit/>
        </w:trPr>
        <w:tc>
          <w:tcPr>
            <w:tcW w:w="2300" w:type="dxa"/>
            <w:tcMar>
              <w:top w:w="60" w:type="dxa"/>
              <w:left w:w="100" w:type="dxa"/>
              <w:bottom w:w="60" w:type="dxa"/>
              <w:right w:w="100" w:type="dxa"/>
            </w:tcMar>
            <w:vAlign w:val="center"/>
          </w:tcPr>
          <w:p>
            <w:pPr>
              <w:spacing w:after="0" w:line="260" w:lineRule="auto"/>
            </w:pPr>
            <w:r>
              <w:rPr>
                <w:sz w:val="20"/>
              </w:rPr>
              <w:t>Desarrollador frontend / Tester</w:t>
            </w:r>
          </w:p>
        </w:tc>
        <w:tc>
          <w:tcPr>
            <w:tcW w:w="6280" w:type="dxa"/>
            <w:tcMar>
              <w:top w:w="60" w:type="dxa"/>
              <w:left w:w="100" w:type="dxa"/>
              <w:bottom w:w="60" w:type="dxa"/>
              <w:right w:w="100" w:type="dxa"/>
            </w:tcMar>
            <w:vAlign w:val="center"/>
          </w:tcPr>
          <w:p>
            <w:pPr>
              <w:spacing w:after="0" w:line="260" w:lineRule="auto"/>
            </w:pPr>
            <w:r>
              <w:rPr>
                <w:sz w:val="20"/>
              </w:rPr>
              <w:t>Construye la interfaz React y la API no crítica, mantiene el pipeline y ejecuta las pruebas E2E (Cypress), de carga (JMeter) y de usabilidad.</w:t>
            </w:r>
          </w:p>
        </w:tc>
        <w:tc>
          <w:tcPr>
            <w:tcW w:w="1500" w:type="dxa"/>
            <w:tcMar>
              <w:top w:w="60" w:type="dxa"/>
              <w:left w:w="100" w:type="dxa"/>
              <w:bottom w:w="60" w:type="dxa"/>
              <w:right w:w="100" w:type="dxa"/>
            </w:tcMar>
            <w:vAlign w:val="center"/>
          </w:tcPr>
          <w:p>
            <w:pPr>
              <w:spacing w:after="0" w:line="260" w:lineRule="auto"/>
            </w:pPr>
            <w:r>
              <w:rPr>
                <w:sz w:val="20"/>
              </w:rPr>
              <w:t>Galvan</w:t>
            </w:r>
          </w:p>
        </w:tc>
      </w:tr>
      <w:tr>
        <w:trPr>
          <w:cantSplit/>
        </w:trPr>
        <w:tc>
          <w:tcPr>
            <w:tcW w:w="2300" w:type="dxa"/>
            <w:tcMar>
              <w:top w:w="60" w:type="dxa"/>
              <w:left w:w="100" w:type="dxa"/>
              <w:bottom w:w="60" w:type="dxa"/>
              <w:right w:w="100" w:type="dxa"/>
            </w:tcMar>
            <w:vAlign w:val="center"/>
          </w:tcPr>
          <w:p>
            <w:pPr>
              <w:spacing w:after="0" w:line="260" w:lineRule="auto"/>
            </w:pPr>
            <w:r>
              <w:rPr>
                <w:sz w:val="20"/>
              </w:rPr>
              <w:t>Desarrollador backend</w:t>
            </w:r>
          </w:p>
        </w:tc>
        <w:tc>
          <w:tcPr>
            <w:tcW w:w="6280" w:type="dxa"/>
            <w:tcMar>
              <w:top w:w="60" w:type="dxa"/>
              <w:left w:w="100" w:type="dxa"/>
              <w:bottom w:w="60" w:type="dxa"/>
              <w:right w:w="100" w:type="dxa"/>
            </w:tcMar>
            <w:vAlign w:val="center"/>
          </w:tcPr>
          <w:p>
            <w:pPr>
              <w:spacing w:after="0" w:line="260" w:lineRule="auto"/>
            </w:pPr>
            <w:r>
              <w:rPr>
                <w:sz w:val="20"/>
              </w:rPr>
              <w:t>Desarrolla los módulos críticos con TDD, las entidades de TypeORM, las migraciones y las pruebas Jest de la API.</w:t>
            </w:r>
          </w:p>
        </w:tc>
        <w:tc>
          <w:tcPr>
            <w:tcW w:w="1500" w:type="dxa"/>
            <w:tcMar>
              <w:top w:w="60" w:type="dxa"/>
              <w:left w:w="100" w:type="dxa"/>
              <w:bottom w:w="60" w:type="dxa"/>
              <w:right w:w="100" w:type="dxa"/>
            </w:tcMar>
            <w:vAlign w:val="center"/>
          </w:tcPr>
          <w:p>
            <w:pPr>
              <w:spacing w:after="0" w:line="260" w:lineRule="auto"/>
            </w:pPr>
            <w:r>
              <w:rPr>
                <w:sz w:val="20"/>
              </w:rPr>
              <w:t>Lujan</w:t>
            </w:r>
          </w:p>
        </w:tc>
      </w:tr>
    </w:tbl>
    <w:p>
      <w:pPr>
        <w:spacing w:after="60" w:line="276" w:lineRule="auto"/>
      </w:pPr>
    </w:p>
    <w:p>
      <w:pPr>
        <w:spacing w:after="120" w:line="276" w:lineRule="auto"/>
      </w:pPr>
      <w:r>
        <w:rPr>
          <w:b/>
        </w:rPr>
        <w:t>Independencia parcial y cómo se compensa.</w:t>
      </w:r>
      <w:r>
        <w:t xml:space="preserve"> Con dos personas la independencia es parcial en tres puntos, y cada uno tiene una compensación:</w:t>
      </w:r>
    </w:p>
    <w:p>
      <w:pPr>
        <w:numPr>
          <w:ilvl w:val="0"/>
          <w:numId w:val="2"/>
        </w:numPr>
        <w:spacing w:after="80" w:line="276" w:lineRule="auto"/>
      </w:pPr>
      <w:r>
        <w:t xml:space="preserve">Galvan es a la vez Responsable SQA y Tester: las evidencias de prueba que produce (informes de Cypress, JMeter y usabilidad) las audita </w:t>
      </w:r>
      <w:r>
        <w:rPr>
          <w:b/>
        </w:rPr>
        <w:t>Lujan</w:t>
      </w:r>
      <w:r>
        <w:t xml:space="preserve"> en la auditoría de cierre.</w:t>
      </w:r>
    </w:p>
    <w:p>
      <w:pPr>
        <w:numPr>
          <w:ilvl w:val="0"/>
          <w:numId w:val="2"/>
        </w:numPr>
        <w:spacing w:after="80" w:line="276" w:lineRule="auto"/>
      </w:pPr>
      <w:r>
        <w:t>Galvan mantiene el pipeline que mide su propio código: todo cambio en el Jenkinsfile y en jenkins/ lo aprueba Lujan, y la rama main exige el check de Jenkins y Galvan no puede saltarlo; solo el administrador del repositorio (Lujan) puede, y cada uso queda en el acta de la auditoría siguiente.</w:t>
      </w:r>
      <w:r>
        <w:rPr>
          <w:rFonts w:ascii="Consolas" w:hAnsi="Consolas" w:cs="Consolas"/>
          <w:sz w:val="19"/>
        </w:rPr>
      </w:r>
      <w:r/>
      <w:r>
        <w:rPr>
          <w:rFonts w:ascii="Consolas" w:hAnsi="Consolas" w:cs="Consolas"/>
          <w:sz w:val="19"/>
        </w:rPr>
      </w:r>
      <w:r/>
      <w:r>
        <w:rPr>
          <w:rFonts w:ascii="Consolas" w:hAnsi="Consolas" w:cs="Consolas"/>
          <w:sz w:val="19"/>
        </w:rPr>
      </w:r>
      <w:r/>
      <w:r>
        <w:rPr>
          <w:rFonts w:ascii="Consolas" w:hAnsi="Consolas" w:cs="Consolas"/>
          <w:sz w:val="19"/>
        </w:rPr>
      </w:r>
      <w:r/>
    </w:p>
    <w:p>
      <w:pPr>
        <w:numPr>
          <w:ilvl w:val="0"/>
          <w:numId w:val="2"/>
        </w:numPr>
        <w:spacing w:after="80" w:line="276" w:lineRule="auto"/>
      </w:pPr>
      <w:r>
        <w:t>Las inspecciones Fagan del SRS y del SAD incluyen como inspector a un integrante de otro equipo del curso (Sección 6).</w:t>
      </w:r>
    </w:p>
    <w:p>
      <w:pPr>
        <w:spacing w:after="120" w:line="276" w:lineRule="auto"/>
      </w:pPr>
      <w:r>
        <w:t>Matriz RACI (R ejecuta, A rinde cuentas, C es consultado, I es informado; exactamente una A por fila). Lujan cubre las columnas Líder, Arquitecto y Dev; Galvan cubre SQA y Tester.</w:t>
      </w:r>
    </w:p>
    <w:p>
      <w:pPr>
        <w:keepNext/>
        <w:spacing w:before="120" w:after="80" w:line="276" w:lineRule="auto"/>
      </w:pPr>
      <w:r>
        <w:rPr>
          <w:b/>
          <w:color w:val="1F4E79"/>
          <w:sz w:val="19"/>
        </w:rPr>
        <w:t xml:space="preserve">Tabla 7. </w:t>
      </w:r>
      <w:r>
        <w:rPr>
          <w:color w:val="595959"/>
          <w:sz w:val="19"/>
        </w:rPr>
        <w:t>Matriz RACI de las actividades de calidad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130"/>
        <w:gridCol w:w="1190"/>
        <w:gridCol w:w="1190"/>
        <w:gridCol w:w="1190"/>
        <w:gridCol w:w="1190"/>
        <w:gridCol w:w="1190"/>
      </w:tblGrid>
      <w:tr>
        <w:trPr>
          <w:cantSplit/>
          <w:tblHeader/>
        </w:trPr>
        <w:tc>
          <w:tcPr>
            <w:tcW w:w="4130" w:type="dxa"/>
            <w:shd w:val="clear" w:color="auto" w:fill="DDEBF7"/>
            <w:tcMar>
              <w:top w:w="60" w:type="dxa"/>
              <w:left w:w="100" w:type="dxa"/>
              <w:bottom w:w="60" w:type="dxa"/>
              <w:right w:w="100" w:type="dxa"/>
            </w:tcMar>
          </w:tcPr>
          <w:p>
            <w:pPr>
              <w:spacing w:after="0" w:line="260" w:lineRule="auto"/>
            </w:pPr>
            <w:r>
              <w:rPr>
                <w:b/>
                <w:sz w:val="20"/>
              </w:rPr>
              <w:t>Actividad</w:t>
            </w:r>
          </w:p>
        </w:tc>
        <w:tc>
          <w:tcPr>
            <w:tcW w:w="1190" w:type="dxa"/>
            <w:shd w:val="clear" w:color="auto" w:fill="DDEBF7"/>
            <w:tcMar>
              <w:top w:w="60" w:type="dxa"/>
              <w:left w:w="100" w:type="dxa"/>
              <w:bottom w:w="60" w:type="dxa"/>
              <w:right w:w="100" w:type="dxa"/>
            </w:tcMar>
          </w:tcPr>
          <w:p>
            <w:pPr>
              <w:spacing w:after="0" w:line="260" w:lineRule="auto"/>
            </w:pPr>
            <w:r>
              <w:rPr>
                <w:b/>
                <w:sz w:val="20"/>
              </w:rPr>
              <w:t>Líder</w:t>
            </w:r>
          </w:p>
        </w:tc>
        <w:tc>
          <w:tcPr>
            <w:tcW w:w="1190" w:type="dxa"/>
            <w:shd w:val="clear" w:color="auto" w:fill="DDEBF7"/>
            <w:tcMar>
              <w:top w:w="60" w:type="dxa"/>
              <w:left w:w="100" w:type="dxa"/>
              <w:bottom w:w="60" w:type="dxa"/>
              <w:right w:w="100" w:type="dxa"/>
            </w:tcMar>
          </w:tcPr>
          <w:p>
            <w:pPr>
              <w:spacing w:after="0" w:line="260" w:lineRule="auto"/>
            </w:pPr>
            <w:r>
              <w:rPr>
                <w:b/>
                <w:sz w:val="20"/>
              </w:rPr>
              <w:t>Arquitecto</w:t>
            </w:r>
          </w:p>
        </w:tc>
        <w:tc>
          <w:tcPr>
            <w:tcW w:w="1190" w:type="dxa"/>
            <w:shd w:val="clear" w:color="auto" w:fill="DDEBF7"/>
            <w:tcMar>
              <w:top w:w="60" w:type="dxa"/>
              <w:left w:w="100" w:type="dxa"/>
              <w:bottom w:w="60" w:type="dxa"/>
              <w:right w:w="100" w:type="dxa"/>
            </w:tcMar>
          </w:tcPr>
          <w:p>
            <w:pPr>
              <w:spacing w:after="0" w:line="260" w:lineRule="auto"/>
            </w:pPr>
            <w:r>
              <w:rPr>
                <w:b/>
                <w:sz w:val="20"/>
              </w:rPr>
              <w:t>SQA</w:t>
            </w:r>
          </w:p>
        </w:tc>
        <w:tc>
          <w:tcPr>
            <w:tcW w:w="1190" w:type="dxa"/>
            <w:shd w:val="clear" w:color="auto" w:fill="DDEBF7"/>
            <w:tcMar>
              <w:top w:w="60" w:type="dxa"/>
              <w:left w:w="100" w:type="dxa"/>
              <w:bottom w:w="60" w:type="dxa"/>
              <w:right w:w="100" w:type="dxa"/>
            </w:tcMar>
          </w:tcPr>
          <w:p>
            <w:pPr>
              <w:spacing w:after="0" w:line="260" w:lineRule="auto"/>
            </w:pPr>
            <w:r>
              <w:rPr>
                <w:b/>
                <w:sz w:val="20"/>
              </w:rPr>
              <w:t>Dev</w:t>
            </w:r>
          </w:p>
        </w:tc>
        <w:tc>
          <w:tcPr>
            <w:tcW w:w="1190" w:type="dxa"/>
            <w:shd w:val="clear" w:color="auto" w:fill="DDEBF7"/>
            <w:tcMar>
              <w:top w:w="60" w:type="dxa"/>
              <w:left w:w="100" w:type="dxa"/>
              <w:bottom w:w="60" w:type="dxa"/>
              <w:right w:w="100" w:type="dxa"/>
            </w:tcMar>
          </w:tcPr>
          <w:p>
            <w:pPr>
              <w:spacing w:after="0" w:line="260" w:lineRule="auto"/>
            </w:pPr>
            <w:r>
              <w:rPr>
                <w:b/>
                <w:sz w:val="20"/>
              </w:rPr>
              <w:t>Tester</w:t>
            </w:r>
          </w:p>
        </w:tc>
      </w:tr>
      <w:tr>
        <w:trPr>
          <w:cantSplit/>
        </w:trPr>
        <w:tc>
          <w:tcPr>
            <w:tcW w:w="4130" w:type="dxa"/>
            <w:tcMar>
              <w:top w:w="60" w:type="dxa"/>
              <w:left w:w="100" w:type="dxa"/>
              <w:bottom w:w="60" w:type="dxa"/>
              <w:right w:w="100" w:type="dxa"/>
            </w:tcMar>
            <w:vAlign w:val="center"/>
          </w:tcPr>
          <w:p>
            <w:pPr>
              <w:spacing w:after="0" w:line="260" w:lineRule="auto"/>
            </w:pPr>
            <w:r>
              <w:rPr>
                <w:sz w:val="20"/>
              </w:rPr>
              <w:t>Redactar y mantener el SQAP</w:t>
            </w:r>
          </w:p>
        </w:tc>
        <w:tc>
          <w:tcPr>
            <w:tcW w:w="1190" w:type="dxa"/>
            <w:tcMar>
              <w:top w:w="60" w:type="dxa"/>
              <w:left w:w="100" w:type="dxa"/>
              <w:bottom w:w="60" w:type="dxa"/>
              <w:right w:w="100" w:type="dxa"/>
            </w:tcMar>
            <w:vAlign w:val="center"/>
          </w:tcPr>
          <w:p>
            <w:pPr>
              <w:spacing w:after="0" w:line="260" w:lineRule="auto"/>
              <w:jc w:val="center"/>
            </w:pPr>
            <w:r>
              <w:rPr>
                <w:sz w:val="20"/>
              </w:rPr>
              <w:t>A</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R</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r>
      <w:tr>
        <w:trPr>
          <w:cantSplit/>
        </w:trPr>
        <w:tc>
          <w:tcPr>
            <w:tcW w:w="4130" w:type="dxa"/>
            <w:tcMar>
              <w:top w:w="60" w:type="dxa"/>
              <w:left w:w="100" w:type="dxa"/>
              <w:bottom w:w="60" w:type="dxa"/>
              <w:right w:w="100" w:type="dxa"/>
            </w:tcMar>
            <w:vAlign w:val="center"/>
          </w:tcPr>
          <w:p>
            <w:pPr>
              <w:spacing w:after="0" w:line="260" w:lineRule="auto"/>
            </w:pPr>
            <w:r>
              <w:rPr>
                <w:sz w:val="20"/>
              </w:rPr>
              <w:t>Inspeccionar el SRS (autor: Líder)</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A</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R</w:t>
            </w:r>
          </w:p>
        </w:tc>
      </w:tr>
      <w:tr>
        <w:trPr>
          <w:cantSplit/>
        </w:trPr>
        <w:tc>
          <w:tcPr>
            <w:tcW w:w="4130" w:type="dxa"/>
            <w:tcMar>
              <w:top w:w="60" w:type="dxa"/>
              <w:left w:w="100" w:type="dxa"/>
              <w:bottom w:w="60" w:type="dxa"/>
              <w:right w:w="100" w:type="dxa"/>
            </w:tcMar>
            <w:vAlign w:val="center"/>
          </w:tcPr>
          <w:p>
            <w:pPr>
              <w:spacing w:after="0" w:line="260" w:lineRule="auto"/>
            </w:pPr>
            <w:r>
              <w:rPr>
                <w:sz w:val="20"/>
              </w:rPr>
              <w:t>Inspeccionar el SAD (autor: Arquitecto)</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A/R</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r>
      <w:tr>
        <w:trPr>
          <w:cantSplit/>
        </w:trPr>
        <w:tc>
          <w:tcPr>
            <w:tcW w:w="4130" w:type="dxa"/>
            <w:tcMar>
              <w:top w:w="60" w:type="dxa"/>
              <w:left w:w="100" w:type="dxa"/>
              <w:bottom w:w="60" w:type="dxa"/>
              <w:right w:w="100" w:type="dxa"/>
            </w:tcMar>
            <w:vAlign w:val="center"/>
          </w:tcPr>
          <w:p>
            <w:pPr>
              <w:spacing w:after="0" w:line="260" w:lineRule="auto"/>
            </w:pPr>
            <w:r>
              <w:rPr>
                <w:sz w:val="20"/>
              </w:rPr>
              <w:t>Revisar código de módulos críticos (autor: Dev)</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A/R</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I</w:t>
            </w:r>
          </w:p>
        </w:tc>
      </w:tr>
      <w:tr>
        <w:trPr>
          <w:cantSplit/>
        </w:trPr>
        <w:tc>
          <w:tcPr>
            <w:tcW w:w="4130" w:type="dxa"/>
            <w:tcMar>
              <w:top w:w="60" w:type="dxa"/>
              <w:left w:w="100" w:type="dxa"/>
              <w:bottom w:w="60" w:type="dxa"/>
              <w:right w:w="100" w:type="dxa"/>
            </w:tcMar>
            <w:vAlign w:val="center"/>
          </w:tcPr>
          <w:p>
            <w:pPr>
              <w:spacing w:after="0" w:line="260" w:lineRule="auto"/>
            </w:pPr>
            <w:r>
              <w:rPr>
                <w:sz w:val="20"/>
              </w:rPr>
              <w:t>Revisar código de interfaz, CI y scripts de prueba (autor: Tester)</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A</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R</w:t>
            </w:r>
          </w:p>
        </w:tc>
        <w:tc>
          <w:tcPr>
            <w:tcW w:w="1190" w:type="dxa"/>
            <w:tcMar>
              <w:top w:w="60" w:type="dxa"/>
              <w:left w:w="100" w:type="dxa"/>
              <w:bottom w:w="60" w:type="dxa"/>
              <w:right w:w="100" w:type="dxa"/>
            </w:tcMar>
            <w:vAlign w:val="center"/>
          </w:tcPr>
          <w:p>
            <w:pPr>
              <w:spacing w:after="0" w:line="260" w:lineRule="auto"/>
              <w:jc w:val="center"/>
            </w:pPr>
            <w:r>
              <w:rPr>
                <w:sz w:val="20"/>
              </w:rPr>
              <w:t>C</w:t>
            </w:r>
          </w:p>
        </w:tc>
      </w:tr>
      <w:tr>
        <w:trPr>
          <w:cantSplit/>
        </w:trPr>
        <w:tc>
          <w:tcPr>
            <w:tcW w:w="4130" w:type="dxa"/>
            <w:tcMar>
              <w:top w:w="60" w:type="dxa"/>
              <w:left w:w="100" w:type="dxa"/>
              <w:bottom w:w="60" w:type="dxa"/>
              <w:right w:w="100" w:type="dxa"/>
            </w:tcMar>
            <w:vAlign w:val="center"/>
          </w:tcPr>
          <w:p>
            <w:pPr>
              <w:spacing w:after="0" w:line="260" w:lineRule="auto"/>
            </w:pPr>
            <w:r>
              <w:rPr>
                <w:sz w:val="20"/>
              </w:rPr>
              <w:t>Ejecutar pruebas de carga</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A</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R</w:t>
            </w:r>
          </w:p>
        </w:tc>
      </w:tr>
      <w:tr>
        <w:trPr>
          <w:cantSplit/>
        </w:trPr>
        <w:tc>
          <w:tcPr>
            <w:tcW w:w="4130" w:type="dxa"/>
            <w:tcMar>
              <w:top w:w="60" w:type="dxa"/>
              <w:left w:w="100" w:type="dxa"/>
              <w:bottom w:w="60" w:type="dxa"/>
              <w:right w:w="100" w:type="dxa"/>
            </w:tcMar>
            <w:vAlign w:val="center"/>
          </w:tcPr>
          <w:p>
            <w:pPr>
              <w:spacing w:after="0" w:line="260" w:lineRule="auto"/>
            </w:pPr>
            <w:r>
              <w:rPr>
                <w:sz w:val="20"/>
              </w:rPr>
              <w:t>Aprobar un cambio de historia de usuario</w:t>
            </w:r>
          </w:p>
        </w:tc>
        <w:tc>
          <w:tcPr>
            <w:tcW w:w="1190" w:type="dxa"/>
            <w:tcMar>
              <w:top w:w="60" w:type="dxa"/>
              <w:left w:w="100" w:type="dxa"/>
              <w:bottom w:w="60" w:type="dxa"/>
              <w:right w:w="100" w:type="dxa"/>
            </w:tcMar>
            <w:vAlign w:val="center"/>
          </w:tcPr>
          <w:p>
            <w:pPr>
              <w:spacing w:after="0" w:line="260" w:lineRule="auto"/>
              <w:jc w:val="center"/>
            </w:pPr>
            <w:r>
              <w:rPr>
                <w:sz w:val="20"/>
              </w:rPr>
              <w:t>A/R</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I</w:t>
            </w:r>
          </w:p>
        </w:tc>
      </w:tr>
      <w:tr>
        <w:trPr>
          <w:cantSplit/>
        </w:trPr>
        <w:tc>
          <w:tcPr>
            <w:tcW w:w="4130" w:type="dxa"/>
            <w:tcMar>
              <w:top w:w="60" w:type="dxa"/>
              <w:left w:w="100" w:type="dxa"/>
              <w:bottom w:w="60" w:type="dxa"/>
              <w:right w:w="100" w:type="dxa"/>
            </w:tcMar>
            <w:vAlign w:val="center"/>
          </w:tcPr>
          <w:p>
            <w:pPr>
              <w:spacing w:after="0" w:line="260" w:lineRule="auto"/>
            </w:pPr>
            <w:r>
              <w:rPr>
                <w:sz w:val="20"/>
              </w:rPr>
              <w:t>Aprobar un release (revisor obligatorio de producción)</w:t>
            </w:r>
          </w:p>
        </w:tc>
        <w:tc>
          <w:tcPr>
            <w:tcW w:w="1190" w:type="dxa"/>
            <w:tcMar>
              <w:top w:w="60" w:type="dxa"/>
              <w:left w:w="100" w:type="dxa"/>
              <w:bottom w:w="60" w:type="dxa"/>
              <w:right w:w="100" w:type="dxa"/>
            </w:tcMar>
            <w:vAlign w:val="center"/>
          </w:tcPr>
          <w:p>
            <w:pPr>
              <w:spacing w:after="0" w:line="260" w:lineRule="auto"/>
              <w:jc w:val="center"/>
            </w:pPr>
            <w:r>
              <w:rPr>
                <w:sz w:val="20"/>
              </w:rPr>
              <w:t>A</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R</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r>
      <w:tr>
        <w:trPr>
          <w:cantSplit/>
        </w:trPr>
        <w:tc>
          <w:tcPr>
            <w:tcW w:w="4130" w:type="dxa"/>
            <w:tcMar>
              <w:top w:w="60" w:type="dxa"/>
              <w:left w:w="100" w:type="dxa"/>
              <w:bottom w:w="60" w:type="dxa"/>
              <w:right w:w="100" w:type="dxa"/>
            </w:tcMar>
            <w:vAlign w:val="center"/>
          </w:tcPr>
          <w:p>
            <w:pPr>
              <w:spacing w:after="0" w:line="260" w:lineRule="auto"/>
            </w:pPr>
            <w:r>
              <w:rPr>
                <w:sz w:val="20"/>
              </w:rPr>
              <w:t>Probar la restauración de respaldos</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c>
          <w:tcPr>
            <w:tcW w:w="1190" w:type="dxa"/>
            <w:tcMar>
              <w:top w:w="60" w:type="dxa"/>
              <w:left w:w="100" w:type="dxa"/>
              <w:bottom w:w="60" w:type="dxa"/>
              <w:right w:w="100" w:type="dxa"/>
            </w:tcMar>
            <w:vAlign w:val="center"/>
          </w:tcPr>
          <w:p>
            <w:pPr>
              <w:spacing w:after="0" w:line="260" w:lineRule="auto"/>
              <w:jc w:val="center"/>
            </w:pPr>
            <w:r>
              <w:rPr>
                <w:sz w:val="20"/>
              </w:rPr>
              <w:t>A</w:t>
            </w:r>
          </w:p>
        </w:tc>
        <w:tc>
          <w:tcPr>
            <w:tcW w:w="1190" w:type="dxa"/>
            <w:tcMar>
              <w:top w:w="60" w:type="dxa"/>
              <w:left w:w="100" w:type="dxa"/>
              <w:bottom w:w="60" w:type="dxa"/>
              <w:right w:w="100" w:type="dxa"/>
            </w:tcMar>
            <w:vAlign w:val="center"/>
          </w:tcPr>
          <w:p>
            <w:pPr>
              <w:spacing w:after="0" w:line="260" w:lineRule="auto"/>
              <w:jc w:val="center"/>
            </w:pPr>
            <w:r>
              <w:rPr>
                <w:sz w:val="20"/>
              </w:rPr>
              <w:t>R</w:t>
            </w:r>
          </w:p>
        </w:tc>
        <w:tc>
          <w:tcPr>
            <w:tcW w:w="1190" w:type="dxa"/>
            <w:tcMar>
              <w:top w:w="60" w:type="dxa"/>
              <w:left w:w="100" w:type="dxa"/>
              <w:bottom w:w="60" w:type="dxa"/>
              <w:right w:w="100" w:type="dxa"/>
            </w:tcMar>
            <w:vAlign w:val="center"/>
          </w:tcPr>
          <w:p>
            <w:pPr>
              <w:spacing w:after="0" w:line="260" w:lineRule="auto"/>
              <w:jc w:val="center"/>
            </w:pPr>
            <w:r>
              <w:rPr>
                <w:sz w:val="20"/>
              </w:rPr>
              <w:t>I</w:t>
            </w:r>
          </w:p>
        </w:tc>
      </w:tr>
      <w:tr>
        <w:trPr>
          <w:cantSplit/>
        </w:trPr>
        <w:tc>
          <w:tcPr>
            <w:tcW w:w="4130" w:type="dxa"/>
            <w:tcMar>
              <w:top w:w="60" w:type="dxa"/>
              <w:left w:w="100" w:type="dxa"/>
              <w:bottom w:w="60" w:type="dxa"/>
              <w:right w:w="100" w:type="dxa"/>
            </w:tcMar>
            <w:vAlign w:val="center"/>
          </w:tcPr>
          <w:p>
            <w:pPr>
              <w:spacing w:after="0" w:line="260" w:lineRule="auto"/>
            </w:pPr>
            <w:r>
              <w:rPr>
                <w:sz w:val="20"/>
              </w:rPr>
              <w:t>Auditar el cumplimiento del plan</w:t>
            </w:r>
          </w:p>
        </w:tc>
        <w:tc>
          <w:tcPr>
            <w:tcW w:w="1190" w:type="dxa"/>
            <w:tcMar>
              <w:top w:w="60" w:type="dxa"/>
              <w:left w:w="100" w:type="dxa"/>
              <w:bottom w:w="60" w:type="dxa"/>
              <w:right w:w="100" w:type="dxa"/>
            </w:tcMar>
            <w:vAlign w:val="center"/>
          </w:tcPr>
          <w:p>
            <w:pPr>
              <w:spacing w:after="0" w:line="260" w:lineRule="auto"/>
              <w:jc w:val="center"/>
            </w:pPr>
            <w:r>
              <w:rPr>
                <w:sz w:val="20"/>
              </w:rPr>
              <w:t>R</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A/R</w:t>
            </w:r>
          </w:p>
        </w:tc>
        <w:tc>
          <w:tcPr>
            <w:tcW w:w="1190" w:type="dxa"/>
            <w:tcMar>
              <w:top w:w="60" w:type="dxa"/>
              <w:left w:w="100" w:type="dxa"/>
              <w:bottom w:w="60" w:type="dxa"/>
              <w:right w:w="100" w:type="dxa"/>
            </w:tcMar>
            <w:vAlign w:val="center"/>
          </w:tcPr>
          <w:p>
            <w:pPr>
              <w:spacing w:after="0" w:line="260" w:lineRule="auto"/>
              <w:jc w:val="center"/>
            </w:pPr>
            <w:r>
              <w:rPr>
                <w:sz w:val="20"/>
              </w:rPr>
              <w:t>I</w:t>
            </w:r>
          </w:p>
        </w:tc>
        <w:tc>
          <w:tcPr>
            <w:tcW w:w="1190" w:type="dxa"/>
            <w:tcMar>
              <w:top w:w="60" w:type="dxa"/>
              <w:left w:w="100" w:type="dxa"/>
              <w:bottom w:w="60" w:type="dxa"/>
              <w:right w:w="100" w:type="dxa"/>
            </w:tcMar>
            <w:vAlign w:val="center"/>
          </w:tcPr>
          <w:p>
            <w:pPr>
              <w:spacing w:after="0" w:line="260" w:lineRule="auto"/>
              <w:jc w:val="center"/>
            </w:pPr>
            <w:r>
              <w:rPr>
                <w:sz w:val="20"/>
              </w:rPr>
              <w:t>C</w:t>
            </w:r>
          </w:p>
        </w:tc>
      </w:tr>
    </w:tbl>
    <w:p>
      <w:pPr>
        <w:spacing w:after="60" w:line="276" w:lineRule="auto"/>
      </w:pPr>
    </w:p>
    <w:p>
      <w:pPr>
        <w:spacing w:after="120" w:line="276" w:lineRule="auto"/>
      </w:pPr>
      <w:r>
        <w:t>Comprobación de independencia: en cada fila donde un integrante es autor, la A o la R de la revisión recae en el otro. En la auditoría del plan, Lujan (R) audita las evidencias que produjo Galvan y Galvan (A/R) audita las de desarrollo.</w:t>
      </w:r>
    </w:p>
    <w:p>
      <w:pPr>
        <w:pStyle w:val="Ttulo1"/>
      </w:pPr>
      <w:r>
        <w:t>4. Documentación</w:t>
      </w:r>
    </w:p>
    <w:p>
      <w:pPr>
        <w:spacing w:after="120" w:line="276" w:lineRule="auto"/>
      </w:pPr>
      <w:r>
        <w:t xml:space="preserve">Documentos que el proyecto produce. Todos se versionan en </w:t>
      </w:r>
      <w:r>
        <w:rPr>
          <w:rFonts w:ascii="Consolas" w:hAnsi="Consolas" w:cs="Consolas"/>
          <w:sz w:val="19"/>
        </w:rPr>
        <w:t>docs/</w:t>
      </w:r>
      <w:r>
        <w:t xml:space="preserve"> del repositorio y se modifican por pull request.</w:t>
      </w:r>
    </w:p>
    <w:p>
      <w:pPr>
        <w:keepNext/>
        <w:spacing w:before="120" w:after="80" w:line="276" w:lineRule="auto"/>
      </w:pPr>
      <w:r>
        <w:rPr>
          <w:b/>
          <w:color w:val="1F4E79"/>
          <w:sz w:val="19"/>
        </w:rPr>
        <w:t xml:space="preserve">Tabla 8. </w:t>
      </w:r>
      <w:r>
        <w:rPr>
          <w:color w:val="595959"/>
          <w:sz w:val="19"/>
        </w:rPr>
        <w:t>Documentos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1450"/>
        <w:gridCol w:w="1450"/>
        <w:gridCol w:w="3480"/>
        <w:gridCol w:w="2150"/>
      </w:tblGrid>
      <w:tr>
        <w:trPr>
          <w:cantSplit/>
          <w:tblHeader/>
        </w:trPr>
        <w:tc>
          <w:tcPr>
            <w:tcW w:w="1550" w:type="dxa"/>
            <w:shd w:val="clear" w:color="auto" w:fill="DDEBF7"/>
            <w:tcMar>
              <w:top w:w="60" w:type="dxa"/>
              <w:left w:w="100" w:type="dxa"/>
              <w:bottom w:w="60" w:type="dxa"/>
              <w:right w:w="100" w:type="dxa"/>
            </w:tcMar>
          </w:tcPr>
          <w:p>
            <w:pPr>
              <w:spacing w:after="0" w:line="260" w:lineRule="auto"/>
            </w:pPr>
            <w:r>
              <w:rPr>
                <w:b/>
                <w:sz w:val="19"/>
              </w:rPr>
              <w:t>Documento</w:t>
            </w:r>
          </w:p>
        </w:tc>
        <w:tc>
          <w:tcPr>
            <w:tcW w:w="1450" w:type="dxa"/>
            <w:shd w:val="clear" w:color="auto" w:fill="DDEBF7"/>
            <w:tcMar>
              <w:top w:w="60" w:type="dxa"/>
              <w:left w:w="100" w:type="dxa"/>
              <w:bottom w:w="60" w:type="dxa"/>
              <w:right w:w="100" w:type="dxa"/>
            </w:tcMar>
          </w:tcPr>
          <w:p>
            <w:pPr>
              <w:spacing w:after="0" w:line="260" w:lineRule="auto"/>
            </w:pPr>
            <w:r>
              <w:rPr>
                <w:b/>
                <w:sz w:val="19"/>
              </w:rPr>
              <w:t>Responsable</w:t>
            </w:r>
          </w:p>
        </w:tc>
        <w:tc>
          <w:tcPr>
            <w:tcW w:w="1450" w:type="dxa"/>
            <w:shd w:val="clear" w:color="auto" w:fill="DDEBF7"/>
            <w:tcMar>
              <w:top w:w="60" w:type="dxa"/>
              <w:left w:w="100" w:type="dxa"/>
              <w:bottom w:w="60" w:type="dxa"/>
              <w:right w:w="100" w:type="dxa"/>
            </w:tcMar>
          </w:tcPr>
          <w:p>
            <w:pPr>
              <w:spacing w:after="0" w:line="260" w:lineRule="auto"/>
            </w:pPr>
            <w:r>
              <w:rPr>
                <w:b/>
                <w:sz w:val="19"/>
              </w:rPr>
              <w:t>Fecha prevista</w:t>
            </w:r>
          </w:p>
        </w:tc>
        <w:tc>
          <w:tcPr>
            <w:tcW w:w="3480" w:type="dxa"/>
            <w:shd w:val="clear" w:color="auto" w:fill="DDEBF7"/>
            <w:tcMar>
              <w:top w:w="60" w:type="dxa"/>
              <w:left w:w="100" w:type="dxa"/>
              <w:bottom w:w="60" w:type="dxa"/>
              <w:right w:w="100" w:type="dxa"/>
            </w:tcMar>
          </w:tcPr>
          <w:p>
            <w:pPr>
              <w:spacing w:after="0" w:line="260" w:lineRule="auto"/>
            </w:pPr>
            <w:r>
              <w:rPr>
                <w:b/>
                <w:sz w:val="19"/>
              </w:rPr>
              <w:t>Criterio de adecuación</w:t>
            </w:r>
          </w:p>
        </w:tc>
        <w:tc>
          <w:tcPr>
            <w:tcW w:w="2150" w:type="dxa"/>
            <w:shd w:val="clear" w:color="auto" w:fill="DDEBF7"/>
            <w:tcMar>
              <w:top w:w="60" w:type="dxa"/>
              <w:left w:w="100" w:type="dxa"/>
              <w:bottom w:w="60" w:type="dxa"/>
              <w:right w:w="100" w:type="dxa"/>
            </w:tcMar>
          </w:tcPr>
          <w:p>
            <w:pPr>
              <w:spacing w:after="0" w:line="260" w:lineRule="auto"/>
            </w:pPr>
            <w:r>
              <w:rPr>
                <w:b/>
                <w:sz w:val="19"/>
              </w:rPr>
              <w:t>Tipo de revisión</w:t>
            </w:r>
          </w:p>
        </w:tc>
      </w:tr>
      <w:tr>
        <w:trPr>
          <w:cantSplit/>
        </w:trPr>
        <w:tc>
          <w:tcPr>
            <w:tcW w:w="1550" w:type="dxa"/>
            <w:tcMar>
              <w:top w:w="60" w:type="dxa"/>
              <w:left w:w="100" w:type="dxa"/>
              <w:bottom w:w="60" w:type="dxa"/>
              <w:right w:w="100" w:type="dxa"/>
            </w:tcMar>
            <w:vAlign w:val="center"/>
          </w:tcPr>
          <w:p>
            <w:pPr>
              <w:spacing w:after="0" w:line="260" w:lineRule="auto"/>
            </w:pPr>
            <w:r>
              <w:rPr>
                <w:sz w:val="19"/>
              </w:rPr>
              <w:t>SRS</w:t>
            </w:r>
          </w:p>
        </w:tc>
        <w:tc>
          <w:tcPr>
            <w:tcW w:w="1450" w:type="dxa"/>
            <w:tcMar>
              <w:top w:w="60" w:type="dxa"/>
              <w:left w:w="100" w:type="dxa"/>
              <w:bottom w:w="60" w:type="dxa"/>
              <w:right w:w="100" w:type="dxa"/>
            </w:tcMar>
            <w:vAlign w:val="center"/>
          </w:tcPr>
          <w:p>
            <w:pPr>
              <w:spacing w:after="0" w:line="260" w:lineRule="auto"/>
            </w:pPr>
            <w:r>
              <w:rPr>
                <w:sz w:val="19"/>
              </w:rPr>
              <w:t>Líder (Lujan)</w:t>
            </w:r>
          </w:p>
        </w:tc>
        <w:tc>
          <w:tcPr>
            <w:tcW w:w="1450" w:type="dxa"/>
            <w:tcMar>
              <w:top w:w="60" w:type="dxa"/>
              <w:left w:w="100" w:type="dxa"/>
              <w:bottom w:w="60" w:type="dxa"/>
              <w:right w:w="100" w:type="dxa"/>
            </w:tcMar>
            <w:vAlign w:val="center"/>
          </w:tcPr>
          <w:p>
            <w:pPr>
              <w:spacing w:after="0" w:line="260" w:lineRule="auto"/>
            </w:pPr>
            <w:r>
              <w:rPr>
                <w:sz w:val="19"/>
              </w:rPr>
              <w:t>Semana 1, día 1</w:t>
            </w:r>
          </w:p>
        </w:tc>
        <w:tc>
          <w:tcPr>
            <w:tcW w:w="3480" w:type="dxa"/>
            <w:tcMar>
              <w:top w:w="60" w:type="dxa"/>
              <w:left w:w="100" w:type="dxa"/>
              <w:bottom w:w="60" w:type="dxa"/>
              <w:right w:w="100" w:type="dxa"/>
            </w:tcMar>
            <w:vAlign w:val="center"/>
          </w:tcPr>
          <w:p>
            <w:pPr>
              <w:spacing w:after="0" w:line="260" w:lineRule="auto"/>
            </w:pPr>
            <w:r>
              <w:rPr>
                <w:sz w:val="19"/>
              </w:rPr>
              <w:t>Cada historia del alcance tiene criterios Dado/Cuando/Entonces; cada RNF del Anexo A tiene métrica y valor verificable; las reglas de la RM 001/2026 tienen la tabla de casos firmada por el cliente; 0 preguntas abiertas (❓).</w:t>
            </w:r>
          </w:p>
        </w:tc>
        <w:tc>
          <w:tcPr>
            <w:tcW w:w="2150" w:type="dxa"/>
            <w:tcMar>
              <w:top w:w="60" w:type="dxa"/>
              <w:left w:w="100" w:type="dxa"/>
              <w:bottom w:w="60" w:type="dxa"/>
              <w:right w:w="100" w:type="dxa"/>
            </w:tcMar>
            <w:vAlign w:val="center"/>
          </w:tcPr>
          <w:p>
            <w:pPr>
              <w:spacing w:after="0" w:line="260" w:lineRule="auto"/>
            </w:pPr>
            <w:r>
              <w:rPr>
                <w:sz w:val="19"/>
              </w:rPr>
              <w:t>Inspección Fagan con el cliente y un inspector externo (Sección 6).</w:t>
            </w:r>
          </w:p>
        </w:tc>
      </w:tr>
      <w:tr>
        <w:trPr>
          <w:cantSplit/>
        </w:trPr>
        <w:tc>
          <w:tcPr>
            <w:tcW w:w="1550" w:type="dxa"/>
            <w:tcMar>
              <w:top w:w="60" w:type="dxa"/>
              <w:left w:w="100" w:type="dxa"/>
              <w:bottom w:w="60" w:type="dxa"/>
              <w:right w:w="100" w:type="dxa"/>
            </w:tcMar>
            <w:vAlign w:val="center"/>
          </w:tcPr>
          <w:p>
            <w:pPr>
              <w:spacing w:after="0" w:line="260" w:lineRule="auto"/>
            </w:pPr>
            <w:r>
              <w:rPr>
                <w:sz w:val="19"/>
              </w:rPr>
              <w:t>SAD y ADR</w:t>
            </w:r>
          </w:p>
        </w:tc>
        <w:tc>
          <w:tcPr>
            <w:tcW w:w="1450" w:type="dxa"/>
            <w:tcMar>
              <w:top w:w="60" w:type="dxa"/>
              <w:left w:w="100" w:type="dxa"/>
              <w:bottom w:w="60" w:type="dxa"/>
              <w:right w:w="100" w:type="dxa"/>
            </w:tcMar>
            <w:vAlign w:val="center"/>
          </w:tcPr>
          <w:p>
            <w:pPr>
              <w:spacing w:after="0" w:line="260" w:lineRule="auto"/>
            </w:pPr>
            <w:r>
              <w:rPr>
                <w:sz w:val="19"/>
              </w:rPr>
              <w:t>Arquitecto (Lujan)</w:t>
            </w:r>
          </w:p>
        </w:tc>
        <w:tc>
          <w:tcPr>
            <w:tcW w:w="1450" w:type="dxa"/>
            <w:tcMar>
              <w:top w:w="60" w:type="dxa"/>
              <w:left w:w="100" w:type="dxa"/>
              <w:bottom w:w="60" w:type="dxa"/>
              <w:right w:w="100" w:type="dxa"/>
            </w:tcMar>
            <w:vAlign w:val="center"/>
          </w:tcPr>
          <w:p>
            <w:pPr>
              <w:spacing w:after="0" w:line="260" w:lineRule="auto"/>
            </w:pPr>
            <w:r>
              <w:rPr>
                <w:sz w:val="19"/>
              </w:rPr>
              <w:t>Semana 1, día 2</w:t>
            </w:r>
          </w:p>
        </w:tc>
        <w:tc>
          <w:tcPr>
            <w:tcW w:w="3480" w:type="dxa"/>
            <w:tcMar>
              <w:top w:w="60" w:type="dxa"/>
              <w:left w:w="100" w:type="dxa"/>
              <w:bottom w:w="60" w:type="dxa"/>
              <w:right w:w="100" w:type="dxa"/>
            </w:tcMar>
            <w:vAlign w:val="center"/>
          </w:tcPr>
          <w:p>
            <w:pPr>
              <w:spacing w:after="0" w:line="260" w:lineRule="auto"/>
            </w:pPr>
            <w:r>
              <w:rPr>
                <w:sz w:val="19"/>
              </w:rPr>
              <w:t>Modelo de datos (entidades TypeORM) normalizado; módulos NestJS con sus dependencias; decisiones que cubren RNF-03 (cola de PDF), RNF-04 (guards y auditoría) y RNF-07 (respaldos); un ADR por decisión.</w:t>
            </w:r>
          </w:p>
        </w:tc>
        <w:tc>
          <w:tcPr>
            <w:tcW w:w="2150" w:type="dxa"/>
            <w:tcMar>
              <w:top w:w="60" w:type="dxa"/>
              <w:left w:w="100" w:type="dxa"/>
              <w:bottom w:w="60" w:type="dxa"/>
              <w:right w:w="100" w:type="dxa"/>
            </w:tcMar>
            <w:vAlign w:val="center"/>
          </w:tcPr>
          <w:p>
            <w:pPr>
              <w:spacing w:after="0" w:line="260" w:lineRule="auto"/>
            </w:pPr>
            <w:r>
              <w:rPr>
                <w:sz w:val="19"/>
              </w:rPr>
              <w:t>Inspección Fagan (Sección 6).</w:t>
            </w:r>
          </w:p>
        </w:tc>
      </w:tr>
      <w:tr>
        <w:trPr>
          <w:cantSplit/>
        </w:trPr>
        <w:tc>
          <w:tcPr>
            <w:tcW w:w="1550" w:type="dxa"/>
            <w:tcMar>
              <w:top w:w="60" w:type="dxa"/>
              <w:left w:w="100" w:type="dxa"/>
              <w:bottom w:w="60" w:type="dxa"/>
              <w:right w:w="100" w:type="dxa"/>
            </w:tcMar>
            <w:vAlign w:val="center"/>
          </w:tcPr>
          <w:p>
            <w:pPr>
              <w:spacing w:after="0" w:line="260" w:lineRule="auto"/>
            </w:pPr>
            <w:r>
              <w:rPr>
                <w:sz w:val="19"/>
              </w:rPr>
              <w:t>Pila de producto y del sprint</w:t>
            </w:r>
          </w:p>
        </w:tc>
        <w:tc>
          <w:tcPr>
            <w:tcW w:w="1450" w:type="dxa"/>
            <w:tcMar>
              <w:top w:w="60" w:type="dxa"/>
              <w:left w:w="100" w:type="dxa"/>
              <w:bottom w:w="60" w:type="dxa"/>
              <w:right w:w="100" w:type="dxa"/>
            </w:tcMar>
            <w:vAlign w:val="center"/>
          </w:tcPr>
          <w:p>
            <w:pPr>
              <w:spacing w:after="0" w:line="260" w:lineRule="auto"/>
            </w:pPr>
            <w:r>
              <w:rPr>
                <w:sz w:val="19"/>
              </w:rPr>
              <w:t>Líder (Lujan)</w:t>
            </w:r>
          </w:p>
        </w:tc>
        <w:tc>
          <w:tcPr>
            <w:tcW w:w="1450" w:type="dxa"/>
            <w:tcMar>
              <w:top w:w="60" w:type="dxa"/>
              <w:left w:w="100" w:type="dxa"/>
              <w:bottom w:w="60" w:type="dxa"/>
              <w:right w:w="100" w:type="dxa"/>
            </w:tcMar>
            <w:vAlign w:val="center"/>
          </w:tcPr>
          <w:p>
            <w:pPr>
              <w:spacing w:after="0" w:line="260" w:lineRule="auto"/>
            </w:pPr>
            <w:r>
              <w:rPr>
                <w:sz w:val="19"/>
              </w:rPr>
              <w:t>Semana 1, día 1; se actualiza cada día 1</w:t>
            </w:r>
          </w:p>
        </w:tc>
        <w:tc>
          <w:tcPr>
            <w:tcW w:w="3480" w:type="dxa"/>
            <w:tcMar>
              <w:top w:w="60" w:type="dxa"/>
              <w:left w:w="100" w:type="dxa"/>
              <w:bottom w:w="60" w:type="dxa"/>
              <w:right w:w="100" w:type="dxa"/>
            </w:tcMar>
            <w:vAlign w:val="center"/>
          </w:tcPr>
          <w:p>
            <w:pPr>
              <w:spacing w:after="0" w:line="260" w:lineRule="auto"/>
            </w:pPr>
            <w:r>
              <w:rPr>
                <w:sz w:val="19"/>
              </w:rPr>
              <w:t>Cumple la Definition of Ready; cada tarea tiene responsable, revisor y horas.</w:t>
            </w:r>
          </w:p>
        </w:tc>
        <w:tc>
          <w:tcPr>
            <w:tcW w:w="2150" w:type="dxa"/>
            <w:tcMar>
              <w:top w:w="60" w:type="dxa"/>
              <w:left w:w="100" w:type="dxa"/>
              <w:bottom w:w="60" w:type="dxa"/>
              <w:right w:w="100" w:type="dxa"/>
            </w:tcMar>
            <w:vAlign w:val="center"/>
          </w:tcPr>
          <w:p>
            <w:pPr>
              <w:spacing w:after="0" w:line="260" w:lineRule="auto"/>
            </w:pPr>
            <w:r>
              <w:rPr>
                <w:sz w:val="19"/>
              </w:rPr>
              <w:t>Revisión del backlog con el cliente cada día 5.</w:t>
            </w:r>
          </w:p>
        </w:tc>
      </w:tr>
      <w:tr>
        <w:trPr>
          <w:cantSplit/>
        </w:trPr>
        <w:tc>
          <w:tcPr>
            <w:tcW w:w="1550" w:type="dxa"/>
            <w:tcMar>
              <w:top w:w="60" w:type="dxa"/>
              <w:left w:w="100" w:type="dxa"/>
              <w:bottom w:w="60" w:type="dxa"/>
              <w:right w:w="100" w:type="dxa"/>
            </w:tcMar>
            <w:vAlign w:val="center"/>
          </w:tcPr>
          <w:p>
            <w:pPr>
              <w:spacing w:after="0" w:line="260" w:lineRule="auto"/>
            </w:pPr>
            <w:r>
              <w:rPr>
                <w:sz w:val="19"/>
              </w:rPr>
              <w:t>Contrato de la API (OpenAPI)</w:t>
            </w:r>
          </w:p>
        </w:tc>
        <w:tc>
          <w:tcPr>
            <w:tcW w:w="1450" w:type="dxa"/>
            <w:tcMar>
              <w:top w:w="60" w:type="dxa"/>
              <w:left w:w="100" w:type="dxa"/>
              <w:bottom w:w="60" w:type="dxa"/>
              <w:right w:w="100" w:type="dxa"/>
            </w:tcMar>
            <w:vAlign w:val="center"/>
          </w:tcPr>
          <w:p>
            <w:pPr>
              <w:spacing w:after="0" w:line="260" w:lineRule="auto"/>
            </w:pPr>
            <w:r>
              <w:rPr>
                <w:sz w:val="19"/>
              </w:rPr>
              <w:t>Dev (Lujan)</w:t>
            </w:r>
          </w:p>
        </w:tc>
        <w:tc>
          <w:tcPr>
            <w:tcW w:w="1450" w:type="dxa"/>
            <w:tcMar>
              <w:top w:w="60" w:type="dxa"/>
              <w:left w:w="100" w:type="dxa"/>
              <w:bottom w:w="60" w:type="dxa"/>
              <w:right w:w="100" w:type="dxa"/>
            </w:tcMar>
            <w:vAlign w:val="center"/>
          </w:tcPr>
          <w:p>
            <w:pPr>
              <w:spacing w:after="0" w:line="260" w:lineRule="auto"/>
            </w:pPr>
            <w:r>
              <w:rPr>
                <w:sz w:val="19"/>
              </w:rPr>
              <w:t>Se genera en cada build</w:t>
            </w:r>
          </w:p>
        </w:tc>
        <w:tc>
          <w:tcPr>
            <w:tcW w:w="3480" w:type="dxa"/>
            <w:tcMar>
              <w:top w:w="60" w:type="dxa"/>
              <w:left w:w="100" w:type="dxa"/>
              <w:bottom w:w="60" w:type="dxa"/>
              <w:right w:w="100" w:type="dxa"/>
            </w:tcMar>
            <w:vAlign w:val="center"/>
          </w:tcPr>
          <w:p>
            <w:pPr>
              <w:spacing w:after="0" w:line="260" w:lineRule="auto"/>
            </w:pPr>
            <w:r>
              <w:rPr>
                <w:sz w:val="19"/>
              </w:rPr>
              <w:t xml:space="preserve">Todo endpoint aparece en </w:t>
            </w:r>
            <w:r>
              <w:rPr>
                <w:rFonts w:ascii="Consolas" w:hAnsi="Consolas" w:cs="Consolas"/>
                <w:sz w:val="18"/>
              </w:rPr>
              <w:t>/api/docs</w:t>
            </w:r>
            <w:r>
              <w:rPr>
                <w:sz w:val="19"/>
              </w:rPr>
              <w:t xml:space="preserve"> con DTO de entrada y salida y respuestas 401/403/422.</w:t>
            </w:r>
          </w:p>
        </w:tc>
        <w:tc>
          <w:tcPr>
            <w:tcW w:w="2150" w:type="dxa"/>
            <w:tcMar>
              <w:top w:w="60" w:type="dxa"/>
              <w:left w:w="100" w:type="dxa"/>
              <w:bottom w:w="60" w:type="dxa"/>
              <w:right w:w="100" w:type="dxa"/>
            </w:tcMar>
            <w:vAlign w:val="center"/>
          </w:tcPr>
          <w:p>
            <w:pPr>
              <w:spacing w:after="0" w:line="260" w:lineRule="auto"/>
            </w:pPr>
            <w:r>
              <w:rPr>
                <w:sz w:val="19"/>
              </w:rPr>
              <w:t>Revisión del PR.</w:t>
            </w:r>
          </w:p>
        </w:tc>
      </w:tr>
      <w:tr>
        <w:trPr>
          <w:cantSplit/>
        </w:trPr>
        <w:tc>
          <w:tcPr>
            <w:tcW w:w="1550" w:type="dxa"/>
            <w:tcMar>
              <w:top w:w="60" w:type="dxa"/>
              <w:left w:w="100" w:type="dxa"/>
              <w:bottom w:w="60" w:type="dxa"/>
              <w:right w:w="100" w:type="dxa"/>
            </w:tcMar>
            <w:vAlign w:val="center"/>
          </w:tcPr>
          <w:p>
            <w:pPr>
              <w:spacing w:after="0" w:line="260" w:lineRule="auto"/>
            </w:pPr>
            <w:r>
              <w:rPr>
                <w:sz w:val="19"/>
              </w:rPr>
              <w:t>Manual de usuario</w:t>
            </w:r>
          </w:p>
        </w:tc>
        <w:tc>
          <w:tcPr>
            <w:tcW w:w="1450" w:type="dxa"/>
            <w:tcMar>
              <w:top w:w="60" w:type="dxa"/>
              <w:left w:w="100" w:type="dxa"/>
              <w:bottom w:w="60" w:type="dxa"/>
              <w:right w:w="100" w:type="dxa"/>
            </w:tcMar>
            <w:vAlign w:val="center"/>
          </w:tcPr>
          <w:p>
            <w:pPr>
              <w:spacing w:after="0" w:line="260" w:lineRule="auto"/>
            </w:pPr>
            <w:r>
              <w:rPr>
                <w:sz w:val="19"/>
              </w:rPr>
              <w:t>Tester (Galvan)</w:t>
            </w:r>
          </w:p>
        </w:tc>
        <w:tc>
          <w:tcPr>
            <w:tcW w:w="1450" w:type="dxa"/>
            <w:tcMar>
              <w:top w:w="60" w:type="dxa"/>
              <w:left w:w="100" w:type="dxa"/>
              <w:bottom w:w="60" w:type="dxa"/>
              <w:right w:w="100" w:type="dxa"/>
            </w:tcMar>
            <w:vAlign w:val="center"/>
          </w:tcPr>
          <w:p>
            <w:pPr>
              <w:spacing w:after="0" w:line="260" w:lineRule="auto"/>
            </w:pPr>
            <w:r>
              <w:rPr>
                <w:sz w:val="19"/>
              </w:rPr>
              <w:t>Semana 4, día 3</w:t>
            </w:r>
          </w:p>
        </w:tc>
        <w:tc>
          <w:tcPr>
            <w:tcW w:w="3480" w:type="dxa"/>
            <w:tcMar>
              <w:top w:w="60" w:type="dxa"/>
              <w:left w:w="100" w:type="dxa"/>
              <w:bottom w:w="60" w:type="dxa"/>
              <w:right w:w="100" w:type="dxa"/>
            </w:tcMar>
            <w:vAlign w:val="center"/>
          </w:tcPr>
          <w:p>
            <w:pPr>
              <w:spacing w:after="0" w:line="260" w:lineRule="auto"/>
            </w:pPr>
            <w:r>
              <w:rPr>
                <w:sz w:val="19"/>
              </w:rPr>
              <w:t>Cubre las tareas de los cuatro roles con capturas; un profesor piloto registra las notas de una actividad usando solo el manual.</w:t>
            </w:r>
          </w:p>
        </w:tc>
        <w:tc>
          <w:tcPr>
            <w:tcW w:w="2150" w:type="dxa"/>
            <w:tcMar>
              <w:top w:w="60" w:type="dxa"/>
              <w:left w:w="100" w:type="dxa"/>
              <w:bottom w:w="60" w:type="dxa"/>
              <w:right w:w="100" w:type="dxa"/>
            </w:tcMar>
            <w:vAlign w:val="center"/>
          </w:tcPr>
          <w:p>
            <w:pPr>
              <w:spacing w:after="0" w:line="260" w:lineRule="auto"/>
            </w:pPr>
            <w:r>
              <w:rPr>
                <w:sz w:val="19"/>
              </w:rPr>
              <w:t>Walkthrough con el profesor piloto; revisa Lujan.</w:t>
            </w:r>
          </w:p>
        </w:tc>
      </w:tr>
      <w:tr>
        <w:trPr>
          <w:cantSplit/>
        </w:trPr>
        <w:tc>
          <w:tcPr>
            <w:tcW w:w="1550" w:type="dxa"/>
            <w:tcMar>
              <w:top w:w="60" w:type="dxa"/>
              <w:left w:w="100" w:type="dxa"/>
              <w:bottom w:w="60" w:type="dxa"/>
              <w:right w:w="100" w:type="dxa"/>
            </w:tcMar>
            <w:vAlign w:val="center"/>
          </w:tcPr>
          <w:p>
            <w:pPr>
              <w:spacing w:after="0" w:line="260" w:lineRule="auto"/>
            </w:pPr>
            <w:r>
              <w:rPr>
                <w:sz w:val="19"/>
              </w:rPr>
              <w:t>Manual técnico</w:t>
            </w:r>
          </w:p>
        </w:tc>
        <w:tc>
          <w:tcPr>
            <w:tcW w:w="1450" w:type="dxa"/>
            <w:tcMar>
              <w:top w:w="60" w:type="dxa"/>
              <w:left w:w="100" w:type="dxa"/>
              <w:bottom w:w="60" w:type="dxa"/>
              <w:right w:w="100" w:type="dxa"/>
            </w:tcMar>
            <w:vAlign w:val="center"/>
          </w:tcPr>
          <w:p>
            <w:pPr>
              <w:spacing w:after="0" w:line="260" w:lineRule="auto"/>
            </w:pPr>
            <w:r>
              <w:rPr>
                <w:sz w:val="19"/>
              </w:rPr>
              <w:t>Arquitecto (Lujan)</w:t>
            </w:r>
          </w:p>
        </w:tc>
        <w:tc>
          <w:tcPr>
            <w:tcW w:w="1450" w:type="dxa"/>
            <w:tcMar>
              <w:top w:w="60" w:type="dxa"/>
              <w:left w:w="100" w:type="dxa"/>
              <w:bottom w:w="60" w:type="dxa"/>
              <w:right w:w="100" w:type="dxa"/>
            </w:tcMar>
            <w:vAlign w:val="center"/>
          </w:tcPr>
          <w:p>
            <w:pPr>
              <w:spacing w:after="0" w:line="260" w:lineRule="auto"/>
            </w:pPr>
            <w:r>
              <w:rPr>
                <w:sz w:val="19"/>
              </w:rPr>
              <w:t>Semana 4, día 3</w:t>
            </w:r>
          </w:p>
        </w:tc>
        <w:tc>
          <w:tcPr>
            <w:tcW w:w="3480" w:type="dxa"/>
            <w:tcMar>
              <w:top w:w="60" w:type="dxa"/>
              <w:left w:w="100" w:type="dxa"/>
              <w:bottom w:w="60" w:type="dxa"/>
              <w:right w:w="100" w:type="dxa"/>
            </w:tcMar>
            <w:vAlign w:val="center"/>
          </w:tcPr>
          <w:p>
            <w:pPr>
              <w:spacing w:after="0" w:line="260" w:lineRule="auto"/>
            </w:pPr>
            <w:r>
              <w:rPr>
                <w:sz w:val="19"/>
              </w:rPr>
              <w:t>Galvan levanta el sistema en una máquina limpia siguiendo solo el manual, en 60 minutos o menos.</w:t>
            </w:r>
          </w:p>
        </w:tc>
        <w:tc>
          <w:tcPr>
            <w:tcW w:w="2150" w:type="dxa"/>
            <w:tcMar>
              <w:top w:w="60" w:type="dxa"/>
              <w:left w:w="100" w:type="dxa"/>
              <w:bottom w:w="60" w:type="dxa"/>
              <w:right w:w="100" w:type="dxa"/>
            </w:tcMar>
            <w:vAlign w:val="center"/>
          </w:tcPr>
          <w:p>
            <w:pPr>
              <w:spacing w:after="0" w:line="260" w:lineRule="auto"/>
            </w:pPr>
            <w:r>
              <w:rPr>
                <w:sz w:val="19"/>
              </w:rPr>
              <w:t>Walkthrough; revisa Galvan.</w:t>
            </w:r>
          </w:p>
        </w:tc>
      </w:tr>
      <w:tr>
        <w:trPr>
          <w:cantSplit/>
        </w:trPr>
        <w:tc>
          <w:tcPr>
            <w:tcW w:w="1550" w:type="dxa"/>
            <w:tcMar>
              <w:top w:w="60" w:type="dxa"/>
              <w:left w:w="100" w:type="dxa"/>
              <w:bottom w:w="60" w:type="dxa"/>
              <w:right w:w="100" w:type="dxa"/>
            </w:tcMar>
            <w:vAlign w:val="center"/>
          </w:tcPr>
          <w:p>
            <w:pPr>
              <w:spacing w:after="0" w:line="260" w:lineRule="auto"/>
            </w:pPr>
            <w:r>
              <w:rPr>
                <w:sz w:val="19"/>
              </w:rPr>
              <w:t>Informe de pruebas</w:t>
            </w:r>
          </w:p>
        </w:tc>
        <w:tc>
          <w:tcPr>
            <w:tcW w:w="1450" w:type="dxa"/>
            <w:tcMar>
              <w:top w:w="60" w:type="dxa"/>
              <w:left w:w="100" w:type="dxa"/>
              <w:bottom w:w="60" w:type="dxa"/>
              <w:right w:w="100" w:type="dxa"/>
            </w:tcMar>
            <w:vAlign w:val="center"/>
          </w:tcPr>
          <w:p>
            <w:pPr>
              <w:spacing w:after="0" w:line="260" w:lineRule="auto"/>
            </w:pPr>
            <w:r>
              <w:rPr>
                <w:sz w:val="19"/>
              </w:rPr>
              <w:t>Tester (Galvan)</w:t>
            </w:r>
          </w:p>
        </w:tc>
        <w:tc>
          <w:tcPr>
            <w:tcW w:w="1450" w:type="dxa"/>
            <w:tcMar>
              <w:top w:w="60" w:type="dxa"/>
              <w:left w:w="100" w:type="dxa"/>
              <w:bottom w:w="60" w:type="dxa"/>
              <w:right w:w="100" w:type="dxa"/>
            </w:tcMar>
            <w:vAlign w:val="center"/>
          </w:tcPr>
          <w:p>
            <w:pPr>
              <w:spacing w:after="0" w:line="260" w:lineRule="auto"/>
            </w:pPr>
            <w:r>
              <w:rPr>
                <w:sz w:val="19"/>
              </w:rPr>
              <w:t>Cada día 5 (semanas 1 a 4)</w:t>
            </w:r>
          </w:p>
        </w:tc>
        <w:tc>
          <w:tcPr>
            <w:tcW w:w="3480" w:type="dxa"/>
            <w:tcMar>
              <w:top w:w="60" w:type="dxa"/>
              <w:left w:w="100" w:type="dxa"/>
              <w:bottom w:w="60" w:type="dxa"/>
              <w:right w:w="100" w:type="dxa"/>
            </w:tcMar>
            <w:vAlign w:val="center"/>
          </w:tcPr>
          <w:p>
            <w:pPr>
              <w:spacing w:after="0" w:line="260" w:lineRule="auto"/>
            </w:pPr>
            <w:r>
              <w:rPr>
                <w:sz w:val="19"/>
              </w:rPr>
              <w:t>Resultados de Jest, Cypress, JMeter y usabilidad contra M01 a M16, con enlaces a los runs.</w:t>
            </w:r>
          </w:p>
        </w:tc>
        <w:tc>
          <w:tcPr>
            <w:tcW w:w="2150" w:type="dxa"/>
            <w:tcMar>
              <w:top w:w="60" w:type="dxa"/>
              <w:left w:w="100" w:type="dxa"/>
              <w:bottom w:w="60" w:type="dxa"/>
              <w:right w:w="100" w:type="dxa"/>
            </w:tcMar>
            <w:vAlign w:val="center"/>
          </w:tcPr>
          <w:p>
            <w:pPr>
              <w:spacing w:after="0" w:line="260" w:lineRule="auto"/>
            </w:pPr>
            <w:r>
              <w:rPr>
                <w:sz w:val="19"/>
              </w:rPr>
              <w:t>Auditoría de cierre; lo audita Lujan porque el autor es Galvan.</w:t>
            </w:r>
          </w:p>
        </w:tc>
      </w:tr>
      <w:tr>
        <w:trPr>
          <w:cantSplit/>
        </w:trPr>
        <w:tc>
          <w:tcPr>
            <w:tcW w:w="1550" w:type="dxa"/>
            <w:tcMar>
              <w:top w:w="60" w:type="dxa"/>
              <w:left w:w="100" w:type="dxa"/>
              <w:bottom w:w="60" w:type="dxa"/>
              <w:right w:w="100" w:type="dxa"/>
            </w:tcMar>
            <w:vAlign w:val="center"/>
          </w:tcPr>
          <w:p>
            <w:pPr>
              <w:spacing w:after="0" w:line="260" w:lineRule="auto"/>
            </w:pPr>
            <w:r>
              <w:rPr>
                <w:sz w:val="19"/>
              </w:rPr>
              <w:t>Actas</w:t>
            </w:r>
          </w:p>
        </w:tc>
        <w:tc>
          <w:tcPr>
            <w:tcW w:w="1450" w:type="dxa"/>
            <w:tcMar>
              <w:top w:w="60" w:type="dxa"/>
              <w:left w:w="100" w:type="dxa"/>
              <w:bottom w:w="60" w:type="dxa"/>
              <w:right w:w="100" w:type="dxa"/>
            </w:tcMar>
            <w:vAlign w:val="center"/>
          </w:tcPr>
          <w:p>
            <w:pPr>
              <w:spacing w:after="0" w:line="260" w:lineRule="auto"/>
            </w:pPr>
            <w:r>
              <w:rPr>
                <w:sz w:val="19"/>
              </w:rPr>
              <w:t>Responsable SQA (Galvan)</w:t>
            </w:r>
          </w:p>
        </w:tc>
        <w:tc>
          <w:tcPr>
            <w:tcW w:w="1450" w:type="dxa"/>
            <w:tcMar>
              <w:top w:w="60" w:type="dxa"/>
              <w:left w:w="100" w:type="dxa"/>
              <w:bottom w:w="60" w:type="dxa"/>
              <w:right w:w="100" w:type="dxa"/>
            </w:tcMar>
            <w:vAlign w:val="center"/>
          </w:tcPr>
          <w:p>
            <w:pPr>
              <w:spacing w:after="0" w:line="260" w:lineRule="auto"/>
            </w:pPr>
            <w:r>
              <w:rPr>
                <w:sz w:val="19"/>
              </w:rPr>
              <w:t>En cada revisión, inspección, auditoría y aceptación</w:t>
            </w:r>
          </w:p>
        </w:tc>
        <w:tc>
          <w:tcPr>
            <w:tcW w:w="3480" w:type="dxa"/>
            <w:tcMar>
              <w:top w:w="60" w:type="dxa"/>
              <w:left w:w="100" w:type="dxa"/>
              <w:bottom w:w="60" w:type="dxa"/>
              <w:right w:w="100" w:type="dxa"/>
            </w:tcMar>
            <w:vAlign w:val="center"/>
          </w:tcPr>
          <w:p>
            <w:pPr>
              <w:spacing w:after="0" w:line="260" w:lineRule="auto"/>
            </w:pPr>
            <w:r>
              <w:rPr>
                <w:sz w:val="19"/>
              </w:rPr>
              <w:t>Fecha, participantes, artefacto y versión, hallazgos con severidad, decisión y firmas.</w:t>
            </w:r>
          </w:p>
        </w:tc>
        <w:tc>
          <w:tcPr>
            <w:tcW w:w="2150" w:type="dxa"/>
            <w:tcMar>
              <w:top w:w="60" w:type="dxa"/>
              <w:left w:w="100" w:type="dxa"/>
              <w:bottom w:w="60" w:type="dxa"/>
              <w:right w:w="100" w:type="dxa"/>
            </w:tcMar>
            <w:vAlign w:val="center"/>
          </w:tcPr>
          <w:p>
            <w:pPr>
              <w:spacing w:after="0" w:line="260" w:lineRule="auto"/>
            </w:pPr>
            <w:r>
              <w:rPr>
                <w:sz w:val="19"/>
              </w:rPr>
              <w:t>Firma de los participantes.</w:t>
            </w:r>
          </w:p>
        </w:tc>
      </w:tr>
      <w:tr>
        <w:trPr>
          <w:cantSplit/>
        </w:trPr>
        <w:tc>
          <w:tcPr>
            <w:tcW w:w="1550" w:type="dxa"/>
            <w:tcMar>
              <w:top w:w="60" w:type="dxa"/>
              <w:left w:w="100" w:type="dxa"/>
              <w:bottom w:w="60" w:type="dxa"/>
              <w:right w:w="100" w:type="dxa"/>
            </w:tcMar>
            <w:vAlign w:val="center"/>
          </w:tcPr>
          <w:p>
            <w:pPr>
              <w:spacing w:after="0" w:line="260" w:lineRule="auto"/>
            </w:pPr>
            <w:r>
              <w:rPr>
                <w:sz w:val="19"/>
              </w:rPr>
              <w:t>CHANGELOG</w:t>
            </w:r>
          </w:p>
        </w:tc>
        <w:tc>
          <w:tcPr>
            <w:tcW w:w="1450" w:type="dxa"/>
            <w:tcMar>
              <w:top w:w="60" w:type="dxa"/>
              <w:left w:w="100" w:type="dxa"/>
              <w:bottom w:w="60" w:type="dxa"/>
              <w:right w:w="100" w:type="dxa"/>
            </w:tcMar>
            <w:vAlign w:val="center"/>
          </w:tcPr>
          <w:p>
            <w:pPr>
              <w:spacing w:after="0" w:line="260" w:lineRule="auto"/>
            </w:pPr>
            <w:r>
              <w:rPr>
                <w:sz w:val="19"/>
              </w:rPr>
              <w:t>Líder (Lujan)</w:t>
            </w:r>
          </w:p>
        </w:tc>
        <w:tc>
          <w:tcPr>
            <w:tcW w:w="1450" w:type="dxa"/>
            <w:tcMar>
              <w:top w:w="60" w:type="dxa"/>
              <w:left w:w="100" w:type="dxa"/>
              <w:bottom w:w="60" w:type="dxa"/>
              <w:right w:w="100" w:type="dxa"/>
            </w:tcMar>
            <w:vAlign w:val="center"/>
          </w:tcPr>
          <w:p>
            <w:pPr>
              <w:spacing w:after="0" w:line="260" w:lineRule="auto"/>
            </w:pPr>
            <w:r>
              <w:rPr>
                <w:sz w:val="19"/>
              </w:rPr>
              <w:t>En cada release</w:t>
            </w:r>
          </w:p>
        </w:tc>
        <w:tc>
          <w:tcPr>
            <w:tcW w:w="3480" w:type="dxa"/>
            <w:tcMar>
              <w:top w:w="60" w:type="dxa"/>
              <w:left w:w="100" w:type="dxa"/>
              <w:bottom w:w="60" w:type="dxa"/>
              <w:right w:w="100" w:type="dxa"/>
            </w:tcMar>
            <w:vAlign w:val="center"/>
          </w:tcPr>
          <w:p>
            <w:pPr>
              <w:spacing w:after="0" w:line="260" w:lineRule="auto"/>
            </w:pPr>
            <w:r>
              <w:rPr>
                <w:sz w:val="19"/>
              </w:rPr>
              <w:t>Una entrada por versión, agrupada por tipo de commit.</w:t>
            </w:r>
          </w:p>
        </w:tc>
        <w:tc>
          <w:tcPr>
            <w:tcW w:w="2150" w:type="dxa"/>
            <w:tcMar>
              <w:top w:w="60" w:type="dxa"/>
              <w:left w:w="100" w:type="dxa"/>
              <w:bottom w:w="60" w:type="dxa"/>
              <w:right w:w="100" w:type="dxa"/>
            </w:tcMar>
            <w:vAlign w:val="center"/>
          </w:tcPr>
          <w:p>
            <w:pPr>
              <w:spacing w:after="0" w:line="260" w:lineRule="auto"/>
            </w:pPr>
            <w:r>
              <w:rPr>
                <w:sz w:val="19"/>
              </w:rPr>
              <w:t>Revisión del PR de release.</w:t>
            </w:r>
          </w:p>
        </w:tc>
      </w:tr>
    </w:tbl>
    <w:p>
      <w:pPr>
        <w:spacing w:after="60" w:line="276" w:lineRule="auto"/>
      </w:pPr>
    </w:p>
    <w:p>
      <w:pPr>
        <w:pStyle w:val="Ttulo1"/>
      </w:pPr>
      <w:r>
        <w:t>5. Estándares, prácticas, convenciones y métricas</w:t>
      </w:r>
    </w:p>
    <w:p>
      <w:pPr>
        <w:spacing w:after="120" w:line="276" w:lineRule="auto"/>
      </w:pPr>
      <w:r>
        <w:rPr>
          <w:b/>
        </w:rPr>
        <w:t>Estándar de codificación:</w:t>
      </w:r>
      <w:r>
        <w:t xml:space="preserve"> TypeScript en modo </w:t>
      </w:r>
      <w:r>
        <w:rPr>
          <w:rFonts w:ascii="Consolas" w:hAnsi="Consolas" w:cs="Consolas"/>
          <w:sz w:val="19"/>
        </w:rPr>
        <w:t>strict</w:t>
      </w:r>
      <w:r>
        <w:t xml:space="preserve"> con </w:t>
      </w:r>
      <w:r>
        <w:rPr>
          <w:b/>
        </w:rPr>
        <w:t>typescript-eslint</w:t>
      </w:r>
      <w:r>
        <w:t xml:space="preserve"> (configuración </w:t>
      </w:r>
      <w:r>
        <w:rPr>
          <w:rFonts w:ascii="Consolas" w:hAnsi="Consolas" w:cs="Consolas"/>
          <w:sz w:val="19"/>
        </w:rPr>
        <w:t>recommended-type-checked</w:t>
      </w:r>
      <w:r>
        <w:t xml:space="preserve">) y </w:t>
      </w:r>
      <w:r>
        <w:rPr>
          <w:b/>
        </w:rPr>
        <w:t>Prettier</w:t>
      </w:r>
      <w:r>
        <w:t xml:space="preserve"> para el formato, en la API y en la web. Las reglas de estilo que la herramienta no fija se toman de la *Airbnb JavaScript Style Guide*. </w:t>
      </w:r>
      <w:r>
        <w:rPr>
          <w:b/>
        </w:rPr>
        <w:t>Justificación:</w:t>
      </w:r>
      <w:r>
        <w:t xml:space="preserve"> un solo lenguaje y un solo conjunto de reglas para todo el repositorio; las dos herramientas se ejecutan en el pre-commit y en el CI, de modo que el estándar se hace cumplir automáticamente (M16) y no depende de la revisión manual.</w:t>
      </w:r>
    </w:p>
    <w:p>
      <w:pPr>
        <w:spacing w:after="60" w:line="276" w:lineRule="auto"/>
      </w:pPr>
      <w:r>
        <w:rPr>
          <w:b/>
        </w:rPr>
        <w:t>Convenciones de nombres</w:t>
      </w:r>
      <w:r>
        <w:t xml:space="preserve"> (los términos del dominio, en español, según el glosario de la Sección 15):</w:t>
      </w:r>
    </w:p>
    <w:p>
      <w:pPr>
        <w:numPr>
          <w:ilvl w:val="0"/>
          <w:numId w:val="2"/>
        </w:numPr>
        <w:spacing w:after="80" w:line="276" w:lineRule="auto"/>
      </w:pPr>
      <w:r>
        <w:rPr>
          <w:b/>
        </w:rPr>
        <w:t>Clases, DTO y módulos:</w:t>
      </w:r>
      <w:r>
        <w:t xml:space="preserve"> PascalCase (ejemplo: </w:t>
      </w:r>
      <w:r>
        <w:rPr>
          <w:rFonts w:ascii="Consolas" w:hAnsi="Consolas" w:cs="Consolas"/>
          <w:sz w:val="19"/>
        </w:rPr>
        <w:t>CalculoService</w:t>
      </w:r>
      <w:r>
        <w:t xml:space="preserve">, </w:t>
      </w:r>
      <w:r>
        <w:rPr>
          <w:rFonts w:ascii="Consolas" w:hAnsi="Consolas" w:cs="Consolas"/>
          <w:sz w:val="19"/>
        </w:rPr>
        <w:t>RegistrarNotaDto</w:t>
      </w:r>
      <w:r>
        <w:t>).</w:t>
      </w:r>
    </w:p>
    <w:p>
      <w:pPr>
        <w:numPr>
          <w:ilvl w:val="0"/>
          <w:numId w:val="2"/>
        </w:numPr>
        <w:spacing w:after="80" w:line="276" w:lineRule="auto"/>
      </w:pPr>
      <w:r>
        <w:rPr>
          <w:b/>
        </w:rPr>
        <w:t>Variables y métodos:</w:t>
      </w:r>
      <w:r>
        <w:t xml:space="preserve"> camelCase (ejemplo: </w:t>
      </w:r>
      <w:r>
        <w:rPr>
          <w:rFonts w:ascii="Consolas" w:hAnsi="Consolas" w:cs="Consolas"/>
          <w:sz w:val="19"/>
        </w:rPr>
        <w:t>calcularNotaTrimestral()</w:t>
      </w:r>
      <w:r>
        <w:t>).</w:t>
      </w:r>
    </w:p>
    <w:p>
      <w:pPr>
        <w:numPr>
          <w:ilvl w:val="0"/>
          <w:numId w:val="2"/>
        </w:numPr>
        <w:spacing w:after="80" w:line="276" w:lineRule="auto"/>
      </w:pPr>
      <w:r>
        <w:rPr>
          <w:b/>
        </w:rPr>
        <w:t>Archivos:</w:t>
      </w:r>
      <w:r>
        <w:t xml:space="preserve"> kebab-case con sufijo de NestJS (ejemplo: </w:t>
      </w:r>
      <w:r>
        <w:rPr>
          <w:rFonts w:ascii="Consolas" w:hAnsi="Consolas" w:cs="Consolas"/>
          <w:sz w:val="19"/>
        </w:rPr>
        <w:t>calculo.service.ts</w:t>
      </w:r>
      <w:r>
        <w:t xml:space="preserve">, </w:t>
      </w:r>
      <w:r>
        <w:rPr>
          <w:rFonts w:ascii="Consolas" w:hAnsi="Consolas" w:cs="Consolas"/>
          <w:sz w:val="19"/>
        </w:rPr>
        <w:t>notas.controller.ts</w:t>
      </w:r>
      <w:r>
        <w:t>).</w:t>
      </w:r>
    </w:p>
    <w:p>
      <w:pPr>
        <w:numPr>
          <w:ilvl w:val="0"/>
          <w:numId w:val="2"/>
        </w:numPr>
        <w:spacing w:after="80" w:line="276" w:lineRule="auto"/>
      </w:pPr>
      <w:r>
        <w:rPr>
          <w:b/>
        </w:rPr>
        <w:t>Tablas y columnas de PostgreSQL:</w:t>
      </w:r>
      <w:r>
        <w:t xml:space="preserve"> snake_case mediante la estrategia de nombres </w:t>
      </w:r>
      <w:r>
        <w:rPr>
          <w:rFonts w:ascii="Consolas" w:hAnsi="Consolas" w:cs="Consolas"/>
          <w:sz w:val="19"/>
        </w:rPr>
        <w:t>SnakeNamingStrategy</w:t>
      </w:r>
      <w:r>
        <w:t xml:space="preserve"> de TypeORM; tablas en plural en </w:t>
      </w:r>
      <w:r>
        <w:rPr>
          <w:rFonts w:ascii="Consolas" w:hAnsi="Consolas" w:cs="Consolas"/>
          <w:sz w:val="19"/>
        </w:rPr>
        <w:t>@Entity()</w:t>
      </w:r>
      <w:r>
        <w:t xml:space="preserve"> (ejemplo: </w:t>
      </w:r>
      <w:r>
        <w:rPr>
          <w:rFonts w:ascii="Consolas" w:hAnsi="Consolas" w:cs="Consolas"/>
          <w:sz w:val="19"/>
        </w:rPr>
        <w:t>notas</w:t>
      </w:r>
      <w:r>
        <w:t xml:space="preserve">, </w:t>
      </w:r>
      <w:r>
        <w:rPr>
          <w:rFonts w:ascii="Consolas" w:hAnsi="Consolas" w:cs="Consolas"/>
          <w:sz w:val="19"/>
        </w:rPr>
        <w:t>registros_auditoria</w:t>
      </w:r>
      <w:r>
        <w:t>).</w:t>
      </w:r>
    </w:p>
    <w:p>
      <w:pPr>
        <w:numPr>
          <w:ilvl w:val="0"/>
          <w:numId w:val="2"/>
        </w:numPr>
        <w:spacing w:after="80" w:line="276" w:lineRule="auto"/>
      </w:pPr>
      <w:r>
        <w:rPr>
          <w:b/>
        </w:rPr>
        <w:t>Endpoints:</w:t>
      </w:r>
      <w:r>
        <w:t xml:space="preserve"> kebab-case, sustantivos en plural, prefijo </w:t>
      </w:r>
      <w:r>
        <w:rPr>
          <w:rFonts w:ascii="Consolas" w:hAnsi="Consolas" w:cs="Consolas"/>
          <w:sz w:val="19"/>
        </w:rPr>
        <w:t>/api</w:t>
      </w:r>
      <w:r>
        <w:t xml:space="preserve"> (ejemplo: </w:t>
      </w:r>
      <w:r>
        <w:rPr>
          <w:rFonts w:ascii="Consolas" w:hAnsi="Consolas" w:cs="Consolas"/>
          <w:sz w:val="19"/>
        </w:rPr>
        <w:t>/api/notas</w:t>
      </w:r>
      <w:r>
        <w:t xml:space="preserve">, </w:t>
      </w:r>
      <w:r>
        <w:rPr>
          <w:rFonts w:ascii="Consolas" w:hAnsi="Consolas" w:cs="Consolas"/>
          <w:sz w:val="19"/>
        </w:rPr>
        <w:t>/api/boletines/:id/pdf</w:t>
      </w:r>
      <w:r>
        <w:t>).</w:t>
      </w:r>
    </w:p>
    <w:p>
      <w:pPr>
        <w:numPr>
          <w:ilvl w:val="0"/>
          <w:numId w:val="2"/>
        </w:numPr>
        <w:spacing w:after="80" w:line="276" w:lineRule="auto"/>
      </w:pPr>
      <w:r>
        <w:rPr>
          <w:b/>
        </w:rPr>
        <w:t>Pruebas:</w:t>
      </w:r>
      <w:r>
        <w:t xml:space="preserve"> </w:t>
      </w:r>
      <w:r>
        <w:rPr>
          <w:rFonts w:ascii="Consolas" w:hAnsi="Consolas" w:cs="Consolas"/>
          <w:sz w:val="19"/>
        </w:rPr>
        <w:t>*.spec.ts</w:t>
      </w:r>
      <w:r>
        <w:t xml:space="preserve"> junto al código (unitarias), </w:t>
      </w:r>
      <w:r>
        <w:rPr>
          <w:rFonts w:ascii="Consolas" w:hAnsi="Consolas" w:cs="Consolas"/>
          <w:sz w:val="19"/>
        </w:rPr>
        <w:t>*.e2e-spec.ts</w:t>
      </w:r>
      <w:r>
        <w:t xml:space="preserve"> en </w:t>
      </w:r>
      <w:r>
        <w:rPr>
          <w:rFonts w:ascii="Consolas" w:hAnsi="Consolas" w:cs="Consolas"/>
          <w:sz w:val="19"/>
        </w:rPr>
        <w:t>api/test</w:t>
      </w:r>
      <w:r>
        <w:t xml:space="preserve"> (integración HTTP), </w:t>
      </w:r>
      <w:r>
        <w:rPr>
          <w:rFonts w:ascii="Consolas" w:hAnsi="Consolas" w:cs="Consolas"/>
          <w:sz w:val="19"/>
        </w:rPr>
        <w:t>*.cy.ts</w:t>
      </w:r>
      <w:r>
        <w:t xml:space="preserve"> en </w:t>
      </w:r>
      <w:r>
        <w:rPr>
          <w:rFonts w:ascii="Consolas" w:hAnsi="Consolas" w:cs="Consolas"/>
          <w:sz w:val="19"/>
        </w:rPr>
        <w:t>e2e/</w:t>
      </w:r>
      <w:r>
        <w:t xml:space="preserve"> (Cypress); cada caso empieza con "debe…" (ejemplo: </w:t>
      </w:r>
      <w:r>
        <w:rPr>
          <w:rFonts w:ascii="Consolas" w:hAnsi="Consolas" w:cs="Consolas"/>
          <w:sz w:val="19"/>
        </w:rPr>
        <w:t>it('debe redondear 50,5 a 51 y aprobar')</w:t>
      </w:r>
      <w:r>
        <w:t>).</w:t>
      </w:r>
    </w:p>
    <w:p>
      <w:pPr>
        <w:numPr>
          <w:ilvl w:val="0"/>
          <w:numId w:val="2"/>
        </w:numPr>
        <w:spacing w:after="80" w:line="276" w:lineRule="auto"/>
      </w:pPr>
      <w:r>
        <w:rPr>
          <w:b/>
        </w:rPr>
        <w:t>Ramas y commits:</w:t>
      </w:r>
      <w:r>
        <w:t xml:space="preserve"> Conventional Commits con referencia a la historia (Sección 10).</w:t>
      </w:r>
    </w:p>
    <w:p>
      <w:pPr>
        <w:spacing w:before="120" w:after="60" w:line="276" w:lineRule="auto"/>
      </w:pPr>
      <w:r>
        <w:rPr>
          <w:b/>
        </w:rPr>
        <w:t>Métricas</w:t>
      </w:r>
      <w:r>
        <w:t xml:space="preserve"> (detalle en la hoja Métricas de </w:t>
      </w:r>
      <w:r>
        <w:rPr>
          <w:rFonts w:ascii="Consolas" w:hAnsi="Consolas" w:cs="Consolas"/>
          <w:sz w:val="19"/>
        </w:rPr>
        <w:t>matrices-sqap.xlsx</w:t>
      </w:r>
      <w:r>
        <w:t>). Es la única tabla donde se definen los umbrales del plan:</w:t>
      </w:r>
    </w:p>
    <w:p>
      <w:pPr>
        <w:keepNext/>
        <w:spacing w:before="120" w:after="80" w:line="276" w:lineRule="auto"/>
      </w:pPr>
      <w:r>
        <w:rPr>
          <w:b/>
          <w:color w:val="1F4E79"/>
          <w:sz w:val="19"/>
        </w:rPr>
        <w:t xml:space="preserve">Tabla 9. </w:t>
      </w:r>
      <w:r>
        <w:rPr>
          <w:color w:val="595959"/>
          <w:sz w:val="19"/>
        </w:rPr>
        <w:t>Métricas de calidad M01 a M16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0"/>
        <w:gridCol w:w="2700"/>
        <w:gridCol w:w="2550"/>
        <w:gridCol w:w="1080"/>
        <w:gridCol w:w="1050"/>
        <w:gridCol w:w="1150"/>
      </w:tblGrid>
      <w:tr>
        <w:trPr>
          <w:cantSplit/>
          <w:tblHeader/>
        </w:trPr>
        <w:tc>
          <w:tcPr>
            <w:tcW w:w="1550" w:type="dxa"/>
            <w:shd w:val="clear" w:color="auto" w:fill="DDEBF7"/>
            <w:tcMar>
              <w:top w:w="60" w:type="dxa"/>
              <w:left w:w="100" w:type="dxa"/>
              <w:bottom w:w="60" w:type="dxa"/>
              <w:right w:w="100" w:type="dxa"/>
            </w:tcMar>
          </w:tcPr>
          <w:p>
            <w:pPr>
              <w:spacing w:after="0" w:line="260" w:lineRule="auto"/>
            </w:pPr>
            <w:r>
              <w:rPr>
                <w:b/>
                <w:sz w:val="18"/>
              </w:rPr>
              <w:t>Característica 25010</w:t>
            </w:r>
          </w:p>
        </w:tc>
        <w:tc>
          <w:tcPr>
            <w:tcW w:w="2700" w:type="dxa"/>
            <w:shd w:val="clear" w:color="auto" w:fill="DDEBF7"/>
            <w:tcMar>
              <w:top w:w="60" w:type="dxa"/>
              <w:left w:w="100" w:type="dxa"/>
              <w:bottom w:w="60" w:type="dxa"/>
              <w:right w:w="100" w:type="dxa"/>
            </w:tcMar>
          </w:tcPr>
          <w:p>
            <w:pPr>
              <w:spacing w:after="0" w:line="260" w:lineRule="auto"/>
            </w:pPr>
            <w:r>
              <w:rPr>
                <w:b/>
                <w:sz w:val="18"/>
              </w:rPr>
              <w:t>Métrica y fórmula</w:t>
            </w:r>
          </w:p>
        </w:tc>
        <w:tc>
          <w:tcPr>
            <w:tcW w:w="2550" w:type="dxa"/>
            <w:shd w:val="clear" w:color="auto" w:fill="DDEBF7"/>
            <w:tcMar>
              <w:top w:w="60" w:type="dxa"/>
              <w:left w:w="100" w:type="dxa"/>
              <w:bottom w:w="60" w:type="dxa"/>
              <w:right w:w="100" w:type="dxa"/>
            </w:tcMar>
          </w:tcPr>
          <w:p>
            <w:pPr>
              <w:spacing w:after="0" w:line="260" w:lineRule="auto"/>
            </w:pPr>
            <w:r>
              <w:rPr>
                <w:b/>
                <w:sz w:val="18"/>
              </w:rPr>
              <w:t>Instrumento, condiciones y momento</w:t>
            </w:r>
          </w:p>
        </w:tc>
        <w:tc>
          <w:tcPr>
            <w:tcW w:w="1080" w:type="dxa"/>
            <w:shd w:val="clear" w:color="auto" w:fill="DDEBF7"/>
            <w:tcMar>
              <w:top w:w="60" w:type="dxa"/>
              <w:left w:w="100" w:type="dxa"/>
              <w:bottom w:w="60" w:type="dxa"/>
              <w:right w:w="100" w:type="dxa"/>
            </w:tcMar>
          </w:tcPr>
          <w:p>
            <w:pPr>
              <w:spacing w:after="0" w:line="260" w:lineRule="auto"/>
            </w:pPr>
            <w:r>
              <w:rPr>
                <w:b/>
                <w:sz w:val="18"/>
              </w:rPr>
              <w:t>Objetivo</w:t>
            </w:r>
          </w:p>
        </w:tc>
        <w:tc>
          <w:tcPr>
            <w:tcW w:w="1050" w:type="dxa"/>
            <w:shd w:val="clear" w:color="auto" w:fill="DDEBF7"/>
            <w:tcMar>
              <w:top w:w="60" w:type="dxa"/>
              <w:left w:w="100" w:type="dxa"/>
              <w:bottom w:w="60" w:type="dxa"/>
              <w:right w:w="100" w:type="dxa"/>
            </w:tcMar>
          </w:tcPr>
          <w:p>
            <w:pPr>
              <w:spacing w:after="0" w:line="260" w:lineRule="auto"/>
            </w:pPr>
            <w:r>
              <w:rPr>
                <w:b/>
                <w:sz w:val="18"/>
              </w:rPr>
              <w:t>RNF / riesgo</w:t>
            </w:r>
          </w:p>
        </w:tc>
        <w:tc>
          <w:tcPr>
            <w:tcW w:w="1150" w:type="dxa"/>
            <w:shd w:val="clear" w:color="auto" w:fill="DDEBF7"/>
            <w:tcMar>
              <w:top w:w="60" w:type="dxa"/>
              <w:left w:w="100" w:type="dxa"/>
              <w:bottom w:w="60" w:type="dxa"/>
              <w:right w:w="100" w:type="dxa"/>
            </w:tcMar>
          </w:tcPr>
          <w:p>
            <w:pPr>
              <w:spacing w:after="0" w:line="260" w:lineRule="auto"/>
            </w:pPr>
            <w:r>
              <w:rPr>
                <w:b/>
                <w:sz w:val="18"/>
              </w:rPr>
              <w:t>Responsable</w:t>
            </w:r>
          </w:p>
        </w:tc>
      </w:tr>
      <w:tr>
        <w:trPr>
          <w:cantSplit/>
        </w:trPr>
        <w:tc>
          <w:tcPr>
            <w:tcW w:w="1550" w:type="dxa"/>
            <w:tcMar>
              <w:top w:w="60" w:type="dxa"/>
              <w:left w:w="100" w:type="dxa"/>
              <w:bottom w:w="60" w:type="dxa"/>
              <w:right w:w="100" w:type="dxa"/>
            </w:tcMar>
            <w:vAlign w:val="center"/>
          </w:tcPr>
          <w:p>
            <w:pPr>
              <w:spacing w:after="0" w:line="260" w:lineRule="auto"/>
            </w:pPr>
            <w:r>
              <w:rPr>
                <w:sz w:val="18"/>
              </w:rPr>
              <w:t>Adecuación funcional (corrección)</w:t>
            </w:r>
          </w:p>
        </w:tc>
        <w:tc>
          <w:tcPr>
            <w:tcW w:w="2700" w:type="dxa"/>
            <w:tcMar>
              <w:top w:w="60" w:type="dxa"/>
              <w:left w:w="100" w:type="dxa"/>
              <w:bottom w:w="60" w:type="dxa"/>
              <w:right w:w="100" w:type="dxa"/>
            </w:tcMar>
            <w:vAlign w:val="center"/>
          </w:tcPr>
          <w:p>
            <w:pPr>
              <w:spacing w:after="0" w:line="260" w:lineRule="auto"/>
            </w:pPr>
            <w:r>
              <w:rPr>
                <w:sz w:val="18"/>
              </w:rPr>
              <w:t>M01 · % de casos de la tabla de cálculo firmada por el cliente que pasan = casos en verde / casos de la tabla</w:t>
            </w:r>
          </w:p>
        </w:tc>
        <w:tc>
          <w:tcPr>
            <w:tcW w:w="2550" w:type="dxa"/>
            <w:tcMar>
              <w:top w:w="60" w:type="dxa"/>
              <w:left w:w="100" w:type="dxa"/>
              <w:bottom w:w="60" w:type="dxa"/>
              <w:right w:w="100" w:type="dxa"/>
            </w:tcMar>
            <w:vAlign w:val="center"/>
          </w:tcPr>
          <w:p>
            <w:pPr>
              <w:spacing w:after="0" w:line="260" w:lineRule="auto"/>
            </w:pPr>
            <w:r>
              <w:rPr>
                <w:sz w:val="18"/>
              </w:rPr>
              <w:t xml:space="preserve">Jest (P1, P2), suite </w:t>
            </w:r>
            <w:r>
              <w:rPr>
                <w:rFonts w:ascii="Consolas" w:hAnsi="Consolas" w:cs="Consolas"/>
                <w:sz w:val="17"/>
              </w:rPr>
              <w:t>calculo.casos.spec.ts</w:t>
            </w:r>
            <w:r>
              <w:rPr>
                <w:sz w:val="18"/>
              </w:rPr>
              <w:t>; en cada build de Jenkins (PR y main)</w:t>
            </w:r>
          </w:p>
        </w:tc>
        <w:tc>
          <w:tcPr>
            <w:tcW w:w="1080" w:type="dxa"/>
            <w:tcMar>
              <w:top w:w="60" w:type="dxa"/>
              <w:left w:w="100" w:type="dxa"/>
              <w:bottom w:w="60" w:type="dxa"/>
              <w:right w:w="100" w:type="dxa"/>
            </w:tcMar>
            <w:vAlign w:val="center"/>
          </w:tcPr>
          <w:p>
            <w:pPr>
              <w:spacing w:after="0" w:line="260" w:lineRule="auto"/>
            </w:pPr>
            <w:r>
              <w:rPr>
                <w:sz w:val="18"/>
              </w:rPr>
              <w:t>100 %</w:t>
            </w:r>
          </w:p>
        </w:tc>
        <w:tc>
          <w:tcPr>
            <w:tcW w:w="1050" w:type="dxa"/>
            <w:tcMar>
              <w:top w:w="60" w:type="dxa"/>
              <w:left w:w="100" w:type="dxa"/>
              <w:bottom w:w="60" w:type="dxa"/>
              <w:right w:w="100" w:type="dxa"/>
            </w:tcMar>
            <w:vAlign w:val="center"/>
          </w:tcPr>
          <w:p>
            <w:pPr>
              <w:spacing w:after="0" w:line="260" w:lineRule="auto"/>
            </w:pPr>
            <w:r>
              <w:rPr>
                <w:sz w:val="18"/>
              </w:rPr>
              <w:t>RNF-01, R02</w:t>
            </w:r>
          </w:p>
        </w:tc>
        <w:tc>
          <w:tcPr>
            <w:tcW w:w="1150" w:type="dxa"/>
            <w:tcMar>
              <w:top w:w="60" w:type="dxa"/>
              <w:left w:w="100" w:type="dxa"/>
              <w:bottom w:w="60" w:type="dxa"/>
              <w:right w:w="100" w:type="dxa"/>
            </w:tcMar>
            <w:vAlign w:val="center"/>
          </w:tcPr>
          <w:p>
            <w:pPr>
              <w:spacing w:after="0" w:line="260" w:lineRule="auto"/>
            </w:pPr>
            <w:r>
              <w:rPr>
                <w:sz w:val="18"/>
              </w:rPr>
              <w:t>Dev (Lujan)</w:t>
            </w:r>
          </w:p>
        </w:tc>
      </w:tr>
      <w:tr>
        <w:trPr>
          <w:cantSplit/>
        </w:trPr>
        <w:tc>
          <w:tcPr>
            <w:tcW w:w="1550" w:type="dxa"/>
            <w:tcMar>
              <w:top w:w="60" w:type="dxa"/>
              <w:left w:w="100" w:type="dxa"/>
              <w:bottom w:w="60" w:type="dxa"/>
              <w:right w:w="100" w:type="dxa"/>
            </w:tcMar>
            <w:vAlign w:val="center"/>
          </w:tcPr>
          <w:p>
            <w:pPr>
              <w:spacing w:after="0" w:line="260" w:lineRule="auto"/>
            </w:pPr>
            <w:r>
              <w:rPr>
                <w:sz w:val="18"/>
              </w:rPr>
              <w:t>Adecuación funcional (completitud)</w:t>
            </w:r>
          </w:p>
        </w:tc>
        <w:tc>
          <w:tcPr>
            <w:tcW w:w="2700" w:type="dxa"/>
            <w:tcMar>
              <w:top w:w="60" w:type="dxa"/>
              <w:left w:w="100" w:type="dxa"/>
              <w:bottom w:w="60" w:type="dxa"/>
              <w:right w:w="100" w:type="dxa"/>
            </w:tcMar>
            <w:vAlign w:val="center"/>
          </w:tcPr>
          <w:p>
            <w:pPr>
              <w:spacing w:after="0" w:line="260" w:lineRule="auto"/>
            </w:pPr>
            <w:r>
              <w:rPr>
                <w:sz w:val="18"/>
              </w:rPr>
              <w:t>M02 · % de escenarios E2E críticos que pasan = escenarios en verde / escenarios</w:t>
            </w:r>
          </w:p>
        </w:tc>
        <w:tc>
          <w:tcPr>
            <w:tcW w:w="2550" w:type="dxa"/>
            <w:tcMar>
              <w:top w:w="60" w:type="dxa"/>
              <w:left w:w="100" w:type="dxa"/>
              <w:bottom w:w="60" w:type="dxa"/>
              <w:right w:w="100" w:type="dxa"/>
            </w:tcMar>
            <w:vAlign w:val="center"/>
          </w:tcPr>
          <w:p>
            <w:pPr>
              <w:spacing w:after="0" w:line="260" w:lineRule="auto"/>
            </w:pPr>
            <w:r>
              <w:rPr>
                <w:sz w:val="18"/>
              </w:rPr>
              <w:t>Cypress (P4) contra staging con datos sintéticos; en cada build de develop</w:t>
            </w:r>
          </w:p>
        </w:tc>
        <w:tc>
          <w:tcPr>
            <w:tcW w:w="1080" w:type="dxa"/>
            <w:tcMar>
              <w:top w:w="60" w:type="dxa"/>
              <w:left w:w="100" w:type="dxa"/>
              <w:bottom w:w="60" w:type="dxa"/>
              <w:right w:w="100" w:type="dxa"/>
            </w:tcMar>
            <w:vAlign w:val="center"/>
          </w:tcPr>
          <w:p>
            <w:pPr>
              <w:spacing w:after="0" w:line="260" w:lineRule="auto"/>
            </w:pPr>
            <w:r>
              <w:rPr>
                <w:sz w:val="18"/>
              </w:rPr>
              <w:t>100 %</w:t>
            </w:r>
          </w:p>
        </w:tc>
        <w:tc>
          <w:tcPr>
            <w:tcW w:w="1050" w:type="dxa"/>
            <w:tcMar>
              <w:top w:w="60" w:type="dxa"/>
              <w:left w:w="100" w:type="dxa"/>
              <w:bottom w:w="60" w:type="dxa"/>
              <w:right w:w="100" w:type="dxa"/>
            </w:tcMar>
            <w:vAlign w:val="center"/>
          </w:tcPr>
          <w:p>
            <w:pPr>
              <w:spacing w:after="0" w:line="260" w:lineRule="auto"/>
            </w:pPr>
            <w:r>
              <w:rPr>
                <w:sz w:val="18"/>
              </w:rPr>
              <w:t>RNF-02</w:t>
            </w:r>
          </w:p>
        </w:tc>
        <w:tc>
          <w:tcPr>
            <w:tcW w:w="1150" w:type="dxa"/>
            <w:tcMar>
              <w:top w:w="60" w:type="dxa"/>
              <w:left w:w="100" w:type="dxa"/>
              <w:bottom w:w="60" w:type="dxa"/>
              <w:right w:w="100" w:type="dxa"/>
            </w:tcMar>
            <w:vAlign w:val="center"/>
          </w:tcPr>
          <w:p>
            <w:pPr>
              <w:spacing w:after="0" w:line="260" w:lineRule="auto"/>
            </w:pPr>
            <w:r>
              <w:rPr>
                <w:sz w:val="18"/>
              </w:rPr>
              <w:t>Tester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Eficiencia de desempeño (comportamiento temporal)</w:t>
            </w:r>
          </w:p>
        </w:tc>
        <w:tc>
          <w:tcPr>
            <w:tcW w:w="2700" w:type="dxa"/>
            <w:tcMar>
              <w:top w:w="60" w:type="dxa"/>
              <w:left w:w="100" w:type="dxa"/>
              <w:bottom w:w="60" w:type="dxa"/>
              <w:right w:w="100" w:type="dxa"/>
            </w:tcMar>
            <w:vAlign w:val="center"/>
          </w:tcPr>
          <w:p>
            <w:pPr>
              <w:spacing w:after="0" w:line="260" w:lineRule="auto"/>
            </w:pPr>
            <w:r>
              <w:rPr>
                <w:sz w:val="18"/>
              </w:rPr>
              <w:t>M03 · p95 del tiempo de respuesta de "generar boletín de un estudiante" = percentil 95</w:t>
            </w:r>
          </w:p>
        </w:tc>
        <w:tc>
          <w:tcPr>
            <w:tcW w:w="2550" w:type="dxa"/>
            <w:tcMar>
              <w:top w:w="60" w:type="dxa"/>
              <w:left w:w="100" w:type="dxa"/>
              <w:bottom w:w="60" w:type="dxa"/>
              <w:right w:w="100" w:type="dxa"/>
            </w:tcMar>
            <w:vAlign w:val="center"/>
          </w:tcPr>
          <w:p>
            <w:pPr>
              <w:spacing w:after="0" w:line="260" w:lineRule="auto"/>
            </w:pPr>
            <w:r>
              <w:rPr>
                <w:sz w:val="18"/>
              </w:rPr>
              <w:t>JMeter (P5): 100 usuarios concurrentes, 10 min, ambiente de rendimiento (agente de Jenkins); en cada RC</w:t>
            </w:r>
          </w:p>
        </w:tc>
        <w:tc>
          <w:tcPr>
            <w:tcW w:w="1080" w:type="dxa"/>
            <w:tcMar>
              <w:top w:w="60" w:type="dxa"/>
              <w:left w:w="100" w:type="dxa"/>
              <w:bottom w:w="60" w:type="dxa"/>
              <w:right w:w="100" w:type="dxa"/>
            </w:tcMar>
            <w:vAlign w:val="center"/>
          </w:tcPr>
          <w:p>
            <w:pPr>
              <w:spacing w:after="0" w:line="260" w:lineRule="auto"/>
            </w:pPr>
            <w:r>
              <w:rPr>
                <w:sz w:val="18"/>
              </w:rPr>
              <w:t>≤ 2000 ms</w:t>
            </w:r>
          </w:p>
        </w:tc>
        <w:tc>
          <w:tcPr>
            <w:tcW w:w="1050" w:type="dxa"/>
            <w:tcMar>
              <w:top w:w="60" w:type="dxa"/>
              <w:left w:w="100" w:type="dxa"/>
              <w:bottom w:w="60" w:type="dxa"/>
              <w:right w:w="100" w:type="dxa"/>
            </w:tcMar>
            <w:vAlign w:val="center"/>
          </w:tcPr>
          <w:p>
            <w:pPr>
              <w:spacing w:after="0" w:line="260" w:lineRule="auto"/>
            </w:pPr>
            <w:r>
              <w:rPr>
                <w:sz w:val="18"/>
              </w:rPr>
              <w:t>RNF-03</w:t>
            </w:r>
          </w:p>
        </w:tc>
        <w:tc>
          <w:tcPr>
            <w:tcW w:w="1150" w:type="dxa"/>
            <w:tcMar>
              <w:top w:w="60" w:type="dxa"/>
              <w:left w:w="100" w:type="dxa"/>
              <w:bottom w:w="60" w:type="dxa"/>
              <w:right w:w="100" w:type="dxa"/>
            </w:tcMar>
            <w:vAlign w:val="center"/>
          </w:tcPr>
          <w:p>
            <w:pPr>
              <w:spacing w:after="0" w:line="260" w:lineRule="auto"/>
            </w:pPr>
            <w:r>
              <w:rPr>
                <w:sz w:val="18"/>
              </w:rPr>
              <w:t>Tester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Eficiencia de desempeño (capacidad)</w:t>
            </w:r>
          </w:p>
        </w:tc>
        <w:tc>
          <w:tcPr>
            <w:tcW w:w="2700" w:type="dxa"/>
            <w:tcMar>
              <w:top w:w="60" w:type="dxa"/>
              <w:left w:w="100" w:type="dxa"/>
              <w:bottom w:w="60" w:type="dxa"/>
              <w:right w:w="100" w:type="dxa"/>
            </w:tcMar>
            <w:vAlign w:val="center"/>
          </w:tcPr>
          <w:p>
            <w:pPr>
              <w:spacing w:after="0" w:line="260" w:lineRule="auto"/>
            </w:pPr>
            <w:r>
              <w:rPr>
                <w:sz w:val="18"/>
              </w:rPr>
              <w:t>M04 · Tasa de error bajo carga de "registrar planilla" y "generar boletín" = peticiones fallidas / peticiones</w:t>
            </w:r>
          </w:p>
        </w:tc>
        <w:tc>
          <w:tcPr>
            <w:tcW w:w="2550" w:type="dxa"/>
            <w:tcMar>
              <w:top w:w="60" w:type="dxa"/>
              <w:left w:w="100" w:type="dxa"/>
              <w:bottom w:w="60" w:type="dxa"/>
              <w:right w:w="100" w:type="dxa"/>
            </w:tcMar>
            <w:vAlign w:val="center"/>
          </w:tcPr>
          <w:p>
            <w:pPr>
              <w:spacing w:after="0" w:line="260" w:lineRule="auto"/>
            </w:pPr>
            <w:r>
              <w:rPr>
                <w:sz w:val="18"/>
              </w:rPr>
              <w:t>JMeter (P5), mismas condiciones que M03; en cada RC</w:t>
            </w:r>
          </w:p>
        </w:tc>
        <w:tc>
          <w:tcPr>
            <w:tcW w:w="1080" w:type="dxa"/>
            <w:tcMar>
              <w:top w:w="60" w:type="dxa"/>
              <w:left w:w="100" w:type="dxa"/>
              <w:bottom w:w="60" w:type="dxa"/>
              <w:right w:w="100" w:type="dxa"/>
            </w:tcMar>
            <w:vAlign w:val="center"/>
          </w:tcPr>
          <w:p>
            <w:pPr>
              <w:spacing w:after="0" w:line="260" w:lineRule="auto"/>
            </w:pPr>
            <w:r>
              <w:rPr>
                <w:sz w:val="18"/>
              </w:rPr>
              <w:t>&lt; 1 % en cada operación</w:t>
            </w:r>
          </w:p>
        </w:tc>
        <w:tc>
          <w:tcPr>
            <w:tcW w:w="1050" w:type="dxa"/>
            <w:tcMar>
              <w:top w:w="60" w:type="dxa"/>
              <w:left w:w="100" w:type="dxa"/>
              <w:bottom w:w="60" w:type="dxa"/>
              <w:right w:w="100" w:type="dxa"/>
            </w:tcMar>
            <w:vAlign w:val="center"/>
          </w:tcPr>
          <w:p>
            <w:pPr>
              <w:spacing w:after="0" w:line="260" w:lineRule="auto"/>
            </w:pPr>
            <w:r>
              <w:rPr>
                <w:sz w:val="18"/>
              </w:rPr>
              <w:t>RNF-03, R05</w:t>
            </w:r>
          </w:p>
        </w:tc>
        <w:tc>
          <w:tcPr>
            <w:tcW w:w="1150" w:type="dxa"/>
            <w:tcMar>
              <w:top w:w="60" w:type="dxa"/>
              <w:left w:w="100" w:type="dxa"/>
              <w:bottom w:w="60" w:type="dxa"/>
              <w:right w:w="100" w:type="dxa"/>
            </w:tcMar>
            <w:vAlign w:val="center"/>
          </w:tcPr>
          <w:p>
            <w:pPr>
              <w:spacing w:after="0" w:line="260" w:lineRule="auto"/>
            </w:pPr>
            <w:r>
              <w:rPr>
                <w:sz w:val="18"/>
              </w:rPr>
              <w:t>Tester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Mantenibilidad (capacidad de prueba)</w:t>
            </w:r>
          </w:p>
        </w:tc>
        <w:tc>
          <w:tcPr>
            <w:tcW w:w="2700" w:type="dxa"/>
            <w:tcMar>
              <w:top w:w="60" w:type="dxa"/>
              <w:left w:w="100" w:type="dxa"/>
              <w:bottom w:w="60" w:type="dxa"/>
              <w:right w:w="100" w:type="dxa"/>
            </w:tcMar>
            <w:vAlign w:val="center"/>
          </w:tcPr>
          <w:p>
            <w:pPr>
              <w:spacing w:after="0" w:line="260" w:lineRule="auto"/>
            </w:pPr>
            <w:r>
              <w:rPr>
                <w:sz w:val="18"/>
              </w:rPr>
              <w:t>M05 · Cobertura de líneas del código nuevo = líneas nuevas cubiertas / líneas nuevas</w:t>
            </w:r>
          </w:p>
        </w:tc>
        <w:tc>
          <w:tcPr>
            <w:tcW w:w="2550" w:type="dxa"/>
            <w:tcMar>
              <w:top w:w="60" w:type="dxa"/>
              <w:left w:w="100" w:type="dxa"/>
              <w:bottom w:w="60" w:type="dxa"/>
              <w:right w:w="100" w:type="dxa"/>
            </w:tcMar>
            <w:vAlign w:val="center"/>
          </w:tcPr>
          <w:p>
            <w:pPr>
              <w:spacing w:after="0" w:line="260" w:lineRule="auto"/>
            </w:pPr>
            <w:r>
              <w:rPr>
                <w:sz w:val="18"/>
              </w:rPr>
              <w:t>Jest (lcov) + SonarQube Cloud (P3); en cada build de develop</w:t>
            </w:r>
          </w:p>
        </w:tc>
        <w:tc>
          <w:tcPr>
            <w:tcW w:w="1080" w:type="dxa"/>
            <w:tcMar>
              <w:top w:w="60" w:type="dxa"/>
              <w:left w:w="100" w:type="dxa"/>
              <w:bottom w:w="60" w:type="dxa"/>
              <w:right w:w="100" w:type="dxa"/>
            </w:tcMar>
            <w:vAlign w:val="center"/>
          </w:tcPr>
          <w:p>
            <w:pPr>
              <w:spacing w:after="0" w:line="260" w:lineRule="auto"/>
            </w:pPr>
            <w:r>
              <w:rPr>
                <w:sz w:val="18"/>
              </w:rPr>
              <w:t>≥ 80 %</w:t>
            </w:r>
          </w:p>
        </w:tc>
        <w:tc>
          <w:tcPr>
            <w:tcW w:w="1050" w:type="dxa"/>
            <w:tcMar>
              <w:top w:w="60" w:type="dxa"/>
              <w:left w:w="100" w:type="dxa"/>
              <w:bottom w:w="60" w:type="dxa"/>
              <w:right w:w="100" w:type="dxa"/>
            </w:tcMar>
            <w:vAlign w:val="center"/>
          </w:tcPr>
          <w:p>
            <w:pPr>
              <w:spacing w:after="0" w:line="260" w:lineRule="auto"/>
            </w:pPr>
            <w:r>
              <w:rPr>
                <w:sz w:val="18"/>
              </w:rPr>
              <w:t>RNF-05, R03</w:t>
            </w:r>
          </w:p>
        </w:tc>
        <w:tc>
          <w:tcPr>
            <w:tcW w:w="1150" w:type="dxa"/>
            <w:tcMar>
              <w:top w:w="60" w:type="dxa"/>
              <w:left w:w="100" w:type="dxa"/>
              <w:bottom w:w="60" w:type="dxa"/>
              <w:right w:w="100" w:type="dxa"/>
            </w:tcMar>
            <w:vAlign w:val="center"/>
          </w:tcPr>
          <w:p>
            <w:pPr>
              <w:spacing w:after="0" w:line="260" w:lineRule="auto"/>
            </w:pPr>
            <w:r>
              <w:rPr>
                <w:sz w:val="18"/>
              </w:rPr>
              <w:t>SQA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Mantenibilidad (capacidad de prueba)</w:t>
            </w:r>
          </w:p>
        </w:tc>
        <w:tc>
          <w:tcPr>
            <w:tcW w:w="2700" w:type="dxa"/>
            <w:tcMar>
              <w:top w:w="60" w:type="dxa"/>
              <w:left w:w="100" w:type="dxa"/>
              <w:bottom w:w="60" w:type="dxa"/>
              <w:right w:w="100" w:type="dxa"/>
            </w:tcMar>
            <w:vAlign w:val="center"/>
          </w:tcPr>
          <w:p>
            <w:pPr>
              <w:spacing w:after="0" w:line="260" w:lineRule="auto"/>
            </w:pPr>
            <w:r>
              <w:rPr>
                <w:sz w:val="18"/>
              </w:rPr>
              <w:t>M06 · Cobertura de líneas de cada módulo crítico = líneas cubiertas / líneas del módulo</w:t>
            </w:r>
          </w:p>
        </w:tc>
        <w:tc>
          <w:tcPr>
            <w:tcW w:w="2550" w:type="dxa"/>
            <w:tcMar>
              <w:top w:w="60" w:type="dxa"/>
              <w:left w:w="100" w:type="dxa"/>
              <w:bottom w:w="60" w:type="dxa"/>
              <w:right w:w="100" w:type="dxa"/>
            </w:tcMar>
            <w:vAlign w:val="center"/>
          </w:tcPr>
          <w:p>
            <w:pPr>
              <w:spacing w:after="0" w:line="260" w:lineRule="auto"/>
            </w:pPr>
            <w:r>
              <w:rPr>
                <w:sz w:val="18"/>
              </w:rPr>
              <w:t xml:space="preserve">Jest </w:t>
            </w:r>
            <w:r>
              <w:rPr>
                <w:rFonts w:ascii="Consolas" w:hAnsi="Consolas" w:cs="Consolas"/>
                <w:sz w:val="17"/>
              </w:rPr>
              <w:t>coverageThreshold</w:t>
            </w:r>
            <w:r>
              <w:rPr>
                <w:sz w:val="18"/>
              </w:rPr>
              <w:t xml:space="preserve"> por ruta (P1, P2); en cada PR</w:t>
            </w:r>
          </w:p>
        </w:tc>
        <w:tc>
          <w:tcPr>
            <w:tcW w:w="1080" w:type="dxa"/>
            <w:tcMar>
              <w:top w:w="60" w:type="dxa"/>
              <w:left w:w="100" w:type="dxa"/>
              <w:bottom w:w="60" w:type="dxa"/>
              <w:right w:w="100" w:type="dxa"/>
            </w:tcMar>
            <w:vAlign w:val="center"/>
          </w:tcPr>
          <w:p>
            <w:pPr>
              <w:spacing w:after="0" w:line="260" w:lineRule="auto"/>
            </w:pPr>
            <w:r>
              <w:rPr>
                <w:sz w:val="18"/>
              </w:rPr>
              <w:t>≥ 90 % por módulo</w:t>
            </w:r>
          </w:p>
        </w:tc>
        <w:tc>
          <w:tcPr>
            <w:tcW w:w="1050" w:type="dxa"/>
            <w:tcMar>
              <w:top w:w="60" w:type="dxa"/>
              <w:left w:w="100" w:type="dxa"/>
              <w:bottom w:w="60" w:type="dxa"/>
              <w:right w:w="100" w:type="dxa"/>
            </w:tcMar>
            <w:vAlign w:val="center"/>
          </w:tcPr>
          <w:p>
            <w:pPr>
              <w:spacing w:after="0" w:line="260" w:lineRule="auto"/>
            </w:pPr>
            <w:r>
              <w:rPr>
                <w:sz w:val="18"/>
              </w:rPr>
              <w:t>RNF-05, RNF-01</w:t>
            </w:r>
          </w:p>
        </w:tc>
        <w:tc>
          <w:tcPr>
            <w:tcW w:w="1150" w:type="dxa"/>
            <w:tcMar>
              <w:top w:w="60" w:type="dxa"/>
              <w:left w:w="100" w:type="dxa"/>
              <w:bottom w:w="60" w:type="dxa"/>
              <w:right w:w="100" w:type="dxa"/>
            </w:tcMar>
            <w:vAlign w:val="center"/>
          </w:tcPr>
          <w:p>
            <w:pPr>
              <w:spacing w:after="0" w:line="260" w:lineRule="auto"/>
            </w:pPr>
            <w:r>
              <w:rPr>
                <w:sz w:val="18"/>
              </w:rPr>
              <w:t>SQA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Mantenibilidad (modificabilidad)</w:t>
            </w:r>
          </w:p>
        </w:tc>
        <w:tc>
          <w:tcPr>
            <w:tcW w:w="2700" w:type="dxa"/>
            <w:tcMar>
              <w:top w:w="60" w:type="dxa"/>
              <w:left w:w="100" w:type="dxa"/>
              <w:bottom w:w="60" w:type="dxa"/>
              <w:right w:w="100" w:type="dxa"/>
            </w:tcMar>
            <w:vAlign w:val="center"/>
          </w:tcPr>
          <w:p>
            <w:pPr>
              <w:spacing w:after="0" w:line="260" w:lineRule="auto"/>
            </w:pPr>
            <w:r>
              <w:rPr>
                <w:sz w:val="18"/>
              </w:rPr>
              <w:t>M07 · Líneas duplicadas en código nuevo = duplicadas / nuevas</w:t>
            </w:r>
          </w:p>
        </w:tc>
        <w:tc>
          <w:tcPr>
            <w:tcW w:w="2550" w:type="dxa"/>
            <w:tcMar>
              <w:top w:w="60" w:type="dxa"/>
              <w:left w:w="100" w:type="dxa"/>
              <w:bottom w:w="60" w:type="dxa"/>
              <w:right w:w="100" w:type="dxa"/>
            </w:tcMar>
            <w:vAlign w:val="center"/>
          </w:tcPr>
          <w:p>
            <w:pPr>
              <w:spacing w:after="0" w:line="260" w:lineRule="auto"/>
            </w:pPr>
            <w:r>
              <w:rPr>
                <w:sz w:val="18"/>
              </w:rPr>
              <w:t>SonarQube Cloud (P3); en cada build de develop</w:t>
            </w:r>
          </w:p>
        </w:tc>
        <w:tc>
          <w:tcPr>
            <w:tcW w:w="1080" w:type="dxa"/>
            <w:tcMar>
              <w:top w:w="60" w:type="dxa"/>
              <w:left w:w="100" w:type="dxa"/>
              <w:bottom w:w="60" w:type="dxa"/>
              <w:right w:w="100" w:type="dxa"/>
            </w:tcMar>
            <w:vAlign w:val="center"/>
          </w:tcPr>
          <w:p>
            <w:pPr>
              <w:spacing w:after="0" w:line="260" w:lineRule="auto"/>
            </w:pPr>
            <w:r>
              <w:rPr>
                <w:sz w:val="18"/>
              </w:rPr>
              <w:t>≤ 3 %</w:t>
            </w:r>
          </w:p>
        </w:tc>
        <w:tc>
          <w:tcPr>
            <w:tcW w:w="1050" w:type="dxa"/>
            <w:tcMar>
              <w:top w:w="60" w:type="dxa"/>
              <w:left w:w="100" w:type="dxa"/>
              <w:bottom w:w="60" w:type="dxa"/>
              <w:right w:w="100" w:type="dxa"/>
            </w:tcMar>
            <w:vAlign w:val="center"/>
          </w:tcPr>
          <w:p>
            <w:pPr>
              <w:spacing w:after="0" w:line="260" w:lineRule="auto"/>
            </w:pPr>
            <w:r>
              <w:rPr>
                <w:sz w:val="18"/>
              </w:rPr>
              <w:t>RNF-05</w:t>
            </w:r>
          </w:p>
        </w:tc>
        <w:tc>
          <w:tcPr>
            <w:tcW w:w="1150" w:type="dxa"/>
            <w:tcMar>
              <w:top w:w="60" w:type="dxa"/>
              <w:left w:w="100" w:type="dxa"/>
              <w:bottom w:w="60" w:type="dxa"/>
              <w:right w:w="100" w:type="dxa"/>
            </w:tcMar>
            <w:vAlign w:val="center"/>
          </w:tcPr>
          <w:p>
            <w:pPr>
              <w:spacing w:after="0" w:line="260" w:lineRule="auto"/>
            </w:pPr>
            <w:r>
              <w:rPr>
                <w:sz w:val="18"/>
              </w:rPr>
              <w:t>SQA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Mantenibilidad (analizabilidad)</w:t>
            </w:r>
          </w:p>
        </w:tc>
        <w:tc>
          <w:tcPr>
            <w:tcW w:w="2700" w:type="dxa"/>
            <w:tcMar>
              <w:top w:w="60" w:type="dxa"/>
              <w:left w:w="100" w:type="dxa"/>
              <w:bottom w:w="60" w:type="dxa"/>
              <w:right w:w="100" w:type="dxa"/>
            </w:tcMar>
            <w:vAlign w:val="center"/>
          </w:tcPr>
          <w:p>
            <w:pPr>
              <w:spacing w:after="0" w:line="260" w:lineRule="auto"/>
            </w:pPr>
            <w:r>
              <w:rPr>
                <w:sz w:val="18"/>
              </w:rPr>
              <w:t>M16 · Errores y advertencias de lint y formato = conteo</w:t>
            </w:r>
          </w:p>
        </w:tc>
        <w:tc>
          <w:tcPr>
            <w:tcW w:w="2550" w:type="dxa"/>
            <w:tcMar>
              <w:top w:w="60" w:type="dxa"/>
              <w:left w:w="100" w:type="dxa"/>
              <w:bottom w:w="60" w:type="dxa"/>
              <w:right w:w="100" w:type="dxa"/>
            </w:tcMar>
            <w:vAlign w:val="center"/>
          </w:tcPr>
          <w:p>
            <w:pPr>
              <w:spacing w:after="0" w:line="260" w:lineRule="auto"/>
            </w:pPr>
            <w:r>
              <w:rPr>
                <w:sz w:val="18"/>
              </w:rPr>
              <w:t xml:space="preserve">ESLint </w:t>
            </w:r>
            <w:r>
              <w:rPr>
                <w:rFonts w:ascii="Consolas" w:hAnsi="Consolas" w:cs="Consolas"/>
                <w:sz w:val="17"/>
              </w:rPr>
              <w:t>--max-warnings=0</w:t>
            </w:r>
            <w:r>
              <w:rPr>
                <w:sz w:val="18"/>
              </w:rPr>
              <w:t xml:space="preserve"> y </w:t>
            </w:r>
            <w:r>
              <w:rPr>
                <w:rFonts w:ascii="Consolas" w:hAnsi="Consolas" w:cs="Consolas"/>
                <w:sz w:val="17"/>
              </w:rPr>
              <w:t>prettier --check</w:t>
            </w:r>
            <w:r>
              <w:rPr>
                <w:sz w:val="18"/>
              </w:rPr>
              <w:t>; pre-commit y cada PR</w:t>
            </w:r>
          </w:p>
        </w:tc>
        <w:tc>
          <w:tcPr>
            <w:tcW w:w="1080" w:type="dxa"/>
            <w:tcMar>
              <w:top w:w="60" w:type="dxa"/>
              <w:left w:w="100" w:type="dxa"/>
              <w:bottom w:w="60" w:type="dxa"/>
              <w:right w:w="100" w:type="dxa"/>
            </w:tcMar>
            <w:vAlign w:val="center"/>
          </w:tcPr>
          <w:p>
            <w:pPr>
              <w:spacing w:after="0" w:line="260" w:lineRule="auto"/>
            </w:pPr>
            <w:r>
              <w:rPr>
                <w:sz w:val="18"/>
              </w:rPr>
              <w:t>0</w:t>
            </w:r>
          </w:p>
        </w:tc>
        <w:tc>
          <w:tcPr>
            <w:tcW w:w="1050" w:type="dxa"/>
            <w:tcMar>
              <w:top w:w="60" w:type="dxa"/>
              <w:left w:w="100" w:type="dxa"/>
              <w:bottom w:w="60" w:type="dxa"/>
              <w:right w:w="100" w:type="dxa"/>
            </w:tcMar>
            <w:vAlign w:val="center"/>
          </w:tcPr>
          <w:p>
            <w:pPr>
              <w:spacing w:after="0" w:line="260" w:lineRule="auto"/>
            </w:pPr>
            <w:r>
              <w:rPr>
                <w:sz w:val="18"/>
              </w:rPr>
              <w:t>RNF-05</w:t>
            </w:r>
          </w:p>
        </w:tc>
        <w:tc>
          <w:tcPr>
            <w:tcW w:w="1150" w:type="dxa"/>
            <w:tcMar>
              <w:top w:w="60" w:type="dxa"/>
              <w:left w:w="100" w:type="dxa"/>
              <w:bottom w:w="60" w:type="dxa"/>
              <w:right w:w="100" w:type="dxa"/>
            </w:tcMar>
            <w:vAlign w:val="center"/>
          </w:tcPr>
          <w:p>
            <w:pPr>
              <w:spacing w:after="0" w:line="260" w:lineRule="auto"/>
            </w:pPr>
            <w:r>
              <w:rPr>
                <w:sz w:val="18"/>
              </w:rPr>
              <w:t>SQA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Seguridad (confidencialidad)</w:t>
            </w:r>
          </w:p>
        </w:tc>
        <w:tc>
          <w:tcPr>
            <w:tcW w:w="2700" w:type="dxa"/>
            <w:tcMar>
              <w:top w:w="60" w:type="dxa"/>
              <w:left w:w="100" w:type="dxa"/>
              <w:bottom w:w="60" w:type="dxa"/>
              <w:right w:w="100" w:type="dxa"/>
            </w:tcMar>
            <w:vAlign w:val="center"/>
          </w:tcPr>
          <w:p>
            <w:pPr>
              <w:spacing w:after="0" w:line="260" w:lineRule="auto"/>
            </w:pPr>
            <w:r>
              <w:rPr>
                <w:sz w:val="18"/>
              </w:rPr>
              <w:t>M08 · Vulnerabilidades altas o críticas = conteo en código nuevo y en dependencias</w:t>
            </w:r>
          </w:p>
        </w:tc>
        <w:tc>
          <w:tcPr>
            <w:tcW w:w="2550" w:type="dxa"/>
            <w:tcMar>
              <w:top w:w="60" w:type="dxa"/>
              <w:left w:w="100" w:type="dxa"/>
              <w:bottom w:w="60" w:type="dxa"/>
              <w:right w:w="100" w:type="dxa"/>
            </w:tcMar>
            <w:vAlign w:val="center"/>
          </w:tcPr>
          <w:p>
            <w:pPr>
              <w:spacing w:after="0" w:line="260" w:lineRule="auto"/>
            </w:pPr>
            <w:r>
              <w:rPr>
                <w:sz w:val="18"/>
              </w:rPr>
              <w:t xml:space="preserve">SonarQube Cloud (Security Rating) + </w:t>
            </w:r>
            <w:r>
              <w:rPr>
                <w:rFonts w:ascii="Consolas" w:hAnsi="Consolas" w:cs="Consolas"/>
                <w:sz w:val="17"/>
              </w:rPr>
              <w:t>npm audit --audit-level=high</w:t>
            </w:r>
            <w:r>
              <w:rPr>
                <w:sz w:val="18"/>
              </w:rPr>
              <w:t xml:space="preserve"> + Dependabot; SonarQube en cada build de develop, npm audit en cada build</w:t>
            </w:r>
          </w:p>
        </w:tc>
        <w:tc>
          <w:tcPr>
            <w:tcW w:w="1080" w:type="dxa"/>
            <w:tcMar>
              <w:top w:w="60" w:type="dxa"/>
              <w:left w:w="100" w:type="dxa"/>
              <w:bottom w:w="60" w:type="dxa"/>
              <w:right w:w="100" w:type="dxa"/>
            </w:tcMar>
            <w:vAlign w:val="center"/>
          </w:tcPr>
          <w:p>
            <w:pPr>
              <w:spacing w:after="0" w:line="260" w:lineRule="auto"/>
            </w:pPr>
            <w:r>
              <w:rPr>
                <w:sz w:val="18"/>
              </w:rPr>
              <w:t>0</w:t>
            </w:r>
          </w:p>
        </w:tc>
        <w:tc>
          <w:tcPr>
            <w:tcW w:w="1050" w:type="dxa"/>
            <w:tcMar>
              <w:top w:w="60" w:type="dxa"/>
              <w:left w:w="100" w:type="dxa"/>
              <w:bottom w:w="60" w:type="dxa"/>
              <w:right w:w="100" w:type="dxa"/>
            </w:tcMar>
            <w:vAlign w:val="center"/>
          </w:tcPr>
          <w:p>
            <w:pPr>
              <w:spacing w:after="0" w:line="260" w:lineRule="auto"/>
            </w:pPr>
            <w:r>
              <w:rPr>
                <w:sz w:val="18"/>
              </w:rPr>
              <w:t>RNF-04, R06</w:t>
            </w:r>
          </w:p>
        </w:tc>
        <w:tc>
          <w:tcPr>
            <w:tcW w:w="1150" w:type="dxa"/>
            <w:tcMar>
              <w:top w:w="60" w:type="dxa"/>
              <w:left w:w="100" w:type="dxa"/>
              <w:bottom w:w="60" w:type="dxa"/>
              <w:right w:w="100" w:type="dxa"/>
            </w:tcMar>
            <w:vAlign w:val="center"/>
          </w:tcPr>
          <w:p>
            <w:pPr>
              <w:spacing w:after="0" w:line="260" w:lineRule="auto"/>
            </w:pPr>
            <w:r>
              <w:rPr>
                <w:sz w:val="18"/>
              </w:rPr>
              <w:t>SQA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Seguridad (integridad)</w:t>
            </w:r>
          </w:p>
        </w:tc>
        <w:tc>
          <w:tcPr>
            <w:tcW w:w="2700" w:type="dxa"/>
            <w:tcMar>
              <w:top w:w="60" w:type="dxa"/>
              <w:left w:w="100" w:type="dxa"/>
              <w:bottom w:w="60" w:type="dxa"/>
              <w:right w:w="100" w:type="dxa"/>
            </w:tcMar>
            <w:vAlign w:val="center"/>
          </w:tcPr>
          <w:p>
            <w:pPr>
              <w:spacing w:after="0" w:line="260" w:lineRule="auto"/>
            </w:pPr>
            <w:r>
              <w:rPr>
                <w:sz w:val="18"/>
              </w:rPr>
              <w:t>M09 · % de rutas protegidas que rechazan con HTTP 403 a un usuario sin permiso = rutas que rechazan / rutas protegidas</w:t>
            </w:r>
          </w:p>
        </w:tc>
        <w:tc>
          <w:tcPr>
            <w:tcW w:w="2550" w:type="dxa"/>
            <w:tcMar>
              <w:top w:w="60" w:type="dxa"/>
              <w:left w:w="100" w:type="dxa"/>
              <w:bottom w:w="60" w:type="dxa"/>
              <w:right w:w="100" w:type="dxa"/>
            </w:tcMar>
            <w:vAlign w:val="center"/>
          </w:tcPr>
          <w:p>
            <w:pPr>
              <w:spacing w:after="0" w:line="260" w:lineRule="auto"/>
            </w:pPr>
            <w:r>
              <w:rPr>
                <w:sz w:val="18"/>
              </w:rPr>
              <w:t xml:space="preserve">Jest + Supertest contra PostgreSQL, suite </w:t>
            </w:r>
            <w:r>
              <w:rPr>
                <w:rFonts w:ascii="Consolas" w:hAnsi="Consolas" w:cs="Consolas"/>
                <w:sz w:val="17"/>
              </w:rPr>
              <w:t>autorizacion.e2e-spec.ts</w:t>
            </w:r>
            <w:r>
              <w:rPr>
                <w:sz w:val="18"/>
              </w:rPr>
              <w:t xml:space="preserve"> (rol, asignación profesor–materia y vínculo padre–estudiante); en cada PR</w:t>
            </w:r>
          </w:p>
        </w:tc>
        <w:tc>
          <w:tcPr>
            <w:tcW w:w="1080" w:type="dxa"/>
            <w:tcMar>
              <w:top w:w="60" w:type="dxa"/>
              <w:left w:w="100" w:type="dxa"/>
              <w:bottom w:w="60" w:type="dxa"/>
              <w:right w:w="100" w:type="dxa"/>
            </w:tcMar>
            <w:vAlign w:val="center"/>
          </w:tcPr>
          <w:p>
            <w:pPr>
              <w:spacing w:after="0" w:line="260" w:lineRule="auto"/>
            </w:pPr>
            <w:r>
              <w:rPr>
                <w:sz w:val="18"/>
              </w:rPr>
              <w:t>100 %</w:t>
            </w:r>
          </w:p>
        </w:tc>
        <w:tc>
          <w:tcPr>
            <w:tcW w:w="1050" w:type="dxa"/>
            <w:tcMar>
              <w:top w:w="60" w:type="dxa"/>
              <w:left w:w="100" w:type="dxa"/>
              <w:bottom w:w="60" w:type="dxa"/>
              <w:right w:w="100" w:type="dxa"/>
            </w:tcMar>
            <w:vAlign w:val="center"/>
          </w:tcPr>
          <w:p>
            <w:pPr>
              <w:spacing w:after="0" w:line="260" w:lineRule="auto"/>
            </w:pPr>
            <w:r>
              <w:rPr>
                <w:sz w:val="18"/>
              </w:rPr>
              <w:t>RNF-04</w:t>
            </w:r>
          </w:p>
        </w:tc>
        <w:tc>
          <w:tcPr>
            <w:tcW w:w="1150" w:type="dxa"/>
            <w:tcMar>
              <w:top w:w="60" w:type="dxa"/>
              <w:left w:w="100" w:type="dxa"/>
              <w:bottom w:w="60" w:type="dxa"/>
              <w:right w:w="100" w:type="dxa"/>
            </w:tcMar>
            <w:vAlign w:val="center"/>
          </w:tcPr>
          <w:p>
            <w:pPr>
              <w:spacing w:after="0" w:line="260" w:lineRule="auto"/>
            </w:pPr>
            <w:r>
              <w:rPr>
                <w:sz w:val="18"/>
              </w:rPr>
              <w:t>Dev (Lujan)</w:t>
            </w:r>
          </w:p>
        </w:tc>
      </w:tr>
      <w:tr>
        <w:trPr>
          <w:cantSplit/>
        </w:trPr>
        <w:tc>
          <w:tcPr>
            <w:tcW w:w="1550" w:type="dxa"/>
            <w:tcMar>
              <w:top w:w="60" w:type="dxa"/>
              <w:left w:w="100" w:type="dxa"/>
              <w:bottom w:w="60" w:type="dxa"/>
              <w:right w:w="100" w:type="dxa"/>
            </w:tcMar>
            <w:vAlign w:val="center"/>
          </w:tcPr>
          <w:p>
            <w:pPr>
              <w:spacing w:after="0" w:line="260" w:lineRule="auto"/>
            </w:pPr>
            <w:r>
              <w:rPr>
                <w:sz w:val="18"/>
              </w:rPr>
              <w:t>Seguridad (no repudio)</w:t>
            </w:r>
          </w:p>
        </w:tc>
        <w:tc>
          <w:tcPr>
            <w:tcW w:w="2700" w:type="dxa"/>
            <w:tcMar>
              <w:top w:w="60" w:type="dxa"/>
              <w:left w:w="100" w:type="dxa"/>
              <w:bottom w:w="60" w:type="dxa"/>
              <w:right w:w="100" w:type="dxa"/>
            </w:tcMar>
            <w:vAlign w:val="center"/>
          </w:tcPr>
          <w:p>
            <w:pPr>
              <w:spacing w:after="0" w:line="260" w:lineRule="auto"/>
            </w:pPr>
            <w:r>
              <w:rPr>
                <w:sz w:val="18"/>
              </w:rPr>
              <w:t>M15 · % de cambios de nota con registro de auditoría completo (quién, cuándo, valor anterior, valor nuevo, motivo, origen)</w:t>
            </w:r>
          </w:p>
        </w:tc>
        <w:tc>
          <w:tcPr>
            <w:tcW w:w="2550" w:type="dxa"/>
            <w:tcMar>
              <w:top w:w="60" w:type="dxa"/>
              <w:left w:w="100" w:type="dxa"/>
              <w:bottom w:w="60" w:type="dxa"/>
              <w:right w:w="100" w:type="dxa"/>
            </w:tcMar>
            <w:vAlign w:val="center"/>
          </w:tcPr>
          <w:p>
            <w:pPr>
              <w:spacing w:after="0" w:line="260" w:lineRule="auto"/>
            </w:pPr>
            <w:r>
              <w:rPr>
                <w:sz w:val="18"/>
              </w:rPr>
              <w:t xml:space="preserve">Jest + Supertest, suite </w:t>
            </w:r>
            <w:r>
              <w:rPr>
                <w:rFonts w:ascii="Consolas" w:hAnsi="Consolas" w:cs="Consolas"/>
                <w:sz w:val="17"/>
              </w:rPr>
              <w:t>auditoria.e2e-spec.ts</w:t>
            </w:r>
            <w:r>
              <w:rPr>
                <w:sz w:val="18"/>
              </w:rPr>
              <w:t>; en cada PR</w:t>
            </w:r>
          </w:p>
        </w:tc>
        <w:tc>
          <w:tcPr>
            <w:tcW w:w="1080" w:type="dxa"/>
            <w:tcMar>
              <w:top w:w="60" w:type="dxa"/>
              <w:left w:w="100" w:type="dxa"/>
              <w:bottom w:w="60" w:type="dxa"/>
              <w:right w:w="100" w:type="dxa"/>
            </w:tcMar>
            <w:vAlign w:val="center"/>
          </w:tcPr>
          <w:p>
            <w:pPr>
              <w:spacing w:after="0" w:line="260" w:lineRule="auto"/>
            </w:pPr>
            <w:r>
              <w:rPr>
                <w:sz w:val="18"/>
              </w:rPr>
              <w:t>100 %</w:t>
            </w:r>
          </w:p>
        </w:tc>
        <w:tc>
          <w:tcPr>
            <w:tcW w:w="1050" w:type="dxa"/>
            <w:tcMar>
              <w:top w:w="60" w:type="dxa"/>
              <w:left w:w="100" w:type="dxa"/>
              <w:bottom w:w="60" w:type="dxa"/>
              <w:right w:w="100" w:type="dxa"/>
            </w:tcMar>
            <w:vAlign w:val="center"/>
          </w:tcPr>
          <w:p>
            <w:pPr>
              <w:spacing w:after="0" w:line="260" w:lineRule="auto"/>
            </w:pPr>
            <w:r>
              <w:rPr>
                <w:sz w:val="18"/>
              </w:rPr>
              <w:t>RNF-04</w:t>
            </w:r>
          </w:p>
        </w:tc>
        <w:tc>
          <w:tcPr>
            <w:tcW w:w="1150" w:type="dxa"/>
            <w:tcMar>
              <w:top w:w="60" w:type="dxa"/>
              <w:left w:w="100" w:type="dxa"/>
              <w:bottom w:w="60" w:type="dxa"/>
              <w:right w:w="100" w:type="dxa"/>
            </w:tcMar>
            <w:vAlign w:val="center"/>
          </w:tcPr>
          <w:p>
            <w:pPr>
              <w:spacing w:after="0" w:line="260" w:lineRule="auto"/>
            </w:pPr>
            <w:r>
              <w:rPr>
                <w:sz w:val="18"/>
              </w:rPr>
              <w:t>Dev (Lujan)</w:t>
            </w:r>
          </w:p>
        </w:tc>
      </w:tr>
      <w:tr>
        <w:trPr>
          <w:cantSplit/>
        </w:trPr>
        <w:tc>
          <w:tcPr>
            <w:tcW w:w="1550" w:type="dxa"/>
            <w:tcMar>
              <w:top w:w="60" w:type="dxa"/>
              <w:left w:w="100" w:type="dxa"/>
              <w:bottom w:w="60" w:type="dxa"/>
              <w:right w:w="100" w:type="dxa"/>
            </w:tcMar>
            <w:vAlign w:val="center"/>
          </w:tcPr>
          <w:p>
            <w:pPr>
              <w:spacing w:after="0" w:line="260" w:lineRule="auto"/>
            </w:pPr>
            <w:r>
              <w:rPr>
                <w:sz w:val="18"/>
              </w:rPr>
              <w:t>Usabilidad (aprendizaje)</w:t>
            </w:r>
          </w:p>
        </w:tc>
        <w:tc>
          <w:tcPr>
            <w:tcW w:w="2700" w:type="dxa"/>
            <w:tcMar>
              <w:top w:w="60" w:type="dxa"/>
              <w:left w:w="100" w:type="dxa"/>
              <w:bottom w:w="60" w:type="dxa"/>
              <w:right w:w="100" w:type="dxa"/>
            </w:tcMar>
            <w:vAlign w:val="center"/>
          </w:tcPr>
          <w:p>
            <w:pPr>
              <w:spacing w:after="0" w:line="260" w:lineRule="auto"/>
            </w:pPr>
            <w:r>
              <w:rPr>
                <w:sz w:val="18"/>
              </w:rPr>
              <w:t>M11 · Tasa de éxito de la tarea "registrar las notas de una actividad" sin ayuda = profesores que la completan / profesores</w:t>
            </w:r>
          </w:p>
        </w:tc>
        <w:tc>
          <w:tcPr>
            <w:tcW w:w="2550" w:type="dxa"/>
            <w:tcMar>
              <w:top w:w="60" w:type="dxa"/>
              <w:left w:w="100" w:type="dxa"/>
              <w:bottom w:w="60" w:type="dxa"/>
              <w:right w:w="100" w:type="dxa"/>
            </w:tcMar>
            <w:vAlign w:val="center"/>
          </w:tcPr>
          <w:p>
            <w:pPr>
              <w:spacing w:after="0" w:line="260" w:lineRule="auto"/>
            </w:pPr>
            <w:r>
              <w:rPr>
                <w:sz w:val="18"/>
              </w:rPr>
              <w:t>Prueba con 5 profesores que nunca usaron el sistema; Semana 3, día 4</w:t>
            </w:r>
          </w:p>
        </w:tc>
        <w:tc>
          <w:tcPr>
            <w:tcW w:w="1080" w:type="dxa"/>
            <w:tcMar>
              <w:top w:w="60" w:type="dxa"/>
              <w:left w:w="100" w:type="dxa"/>
              <w:bottom w:w="60" w:type="dxa"/>
              <w:right w:w="100" w:type="dxa"/>
            </w:tcMar>
            <w:vAlign w:val="center"/>
          </w:tcPr>
          <w:p>
            <w:pPr>
              <w:spacing w:after="0" w:line="260" w:lineRule="auto"/>
            </w:pPr>
            <w:r>
              <w:rPr>
                <w:sz w:val="18"/>
              </w:rPr>
              <w:t>≥ 80 % (4 de 5)</w:t>
            </w:r>
          </w:p>
        </w:tc>
        <w:tc>
          <w:tcPr>
            <w:tcW w:w="1050" w:type="dxa"/>
            <w:tcMar>
              <w:top w:w="60" w:type="dxa"/>
              <w:left w:w="100" w:type="dxa"/>
              <w:bottom w:w="60" w:type="dxa"/>
              <w:right w:w="100" w:type="dxa"/>
            </w:tcMar>
            <w:vAlign w:val="center"/>
          </w:tcPr>
          <w:p>
            <w:pPr>
              <w:spacing w:after="0" w:line="260" w:lineRule="auto"/>
            </w:pPr>
            <w:r>
              <w:rPr>
                <w:sz w:val="18"/>
              </w:rPr>
              <w:t>RNF-06</w:t>
            </w:r>
          </w:p>
        </w:tc>
        <w:tc>
          <w:tcPr>
            <w:tcW w:w="1150" w:type="dxa"/>
            <w:tcMar>
              <w:top w:w="60" w:type="dxa"/>
              <w:left w:w="100" w:type="dxa"/>
              <w:bottom w:w="60" w:type="dxa"/>
              <w:right w:w="100" w:type="dxa"/>
            </w:tcMar>
            <w:vAlign w:val="center"/>
          </w:tcPr>
          <w:p>
            <w:pPr>
              <w:spacing w:after="0" w:line="260" w:lineRule="auto"/>
            </w:pPr>
            <w:r>
              <w:rPr>
                <w:sz w:val="18"/>
              </w:rPr>
              <w:t>Tester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Usabilidad (operabilidad)</w:t>
            </w:r>
          </w:p>
        </w:tc>
        <w:tc>
          <w:tcPr>
            <w:tcW w:w="2700" w:type="dxa"/>
            <w:tcMar>
              <w:top w:w="60" w:type="dxa"/>
              <w:left w:w="100" w:type="dxa"/>
              <w:bottom w:w="60" w:type="dxa"/>
              <w:right w:w="100" w:type="dxa"/>
            </w:tcMar>
            <w:vAlign w:val="center"/>
          </w:tcPr>
          <w:p>
            <w:pPr>
              <w:spacing w:after="0" w:line="260" w:lineRule="auto"/>
            </w:pPr>
            <w:r>
              <w:rPr>
                <w:sz w:val="18"/>
              </w:rPr>
              <w:t>M12 · Puntaje SUS promedio de los mismos 5 profesores</w:t>
            </w:r>
          </w:p>
        </w:tc>
        <w:tc>
          <w:tcPr>
            <w:tcW w:w="2550" w:type="dxa"/>
            <w:tcMar>
              <w:top w:w="60" w:type="dxa"/>
              <w:left w:w="100" w:type="dxa"/>
              <w:bottom w:w="60" w:type="dxa"/>
              <w:right w:w="100" w:type="dxa"/>
            </w:tcMar>
            <w:vAlign w:val="center"/>
          </w:tcPr>
          <w:p>
            <w:pPr>
              <w:spacing w:after="0" w:line="260" w:lineRule="auto"/>
            </w:pPr>
            <w:r>
              <w:rPr>
                <w:sz w:val="18"/>
              </w:rPr>
              <w:t>Cuestionario SUS de 10 ítems al terminar M11</w:t>
            </w:r>
          </w:p>
        </w:tc>
        <w:tc>
          <w:tcPr>
            <w:tcW w:w="1080" w:type="dxa"/>
            <w:tcMar>
              <w:top w:w="60" w:type="dxa"/>
              <w:left w:w="100" w:type="dxa"/>
              <w:bottom w:w="60" w:type="dxa"/>
              <w:right w:w="100" w:type="dxa"/>
            </w:tcMar>
            <w:vAlign w:val="center"/>
          </w:tcPr>
          <w:p>
            <w:pPr>
              <w:spacing w:after="0" w:line="260" w:lineRule="auto"/>
            </w:pPr>
            <w:r>
              <w:rPr>
                <w:sz w:val="18"/>
              </w:rPr>
              <w:t>≥ 68</w:t>
            </w:r>
          </w:p>
        </w:tc>
        <w:tc>
          <w:tcPr>
            <w:tcW w:w="1050" w:type="dxa"/>
            <w:tcMar>
              <w:top w:w="60" w:type="dxa"/>
              <w:left w:w="100" w:type="dxa"/>
              <w:bottom w:w="60" w:type="dxa"/>
              <w:right w:w="100" w:type="dxa"/>
            </w:tcMar>
            <w:vAlign w:val="center"/>
          </w:tcPr>
          <w:p>
            <w:pPr>
              <w:spacing w:after="0" w:line="260" w:lineRule="auto"/>
            </w:pPr>
            <w:r>
              <w:rPr>
                <w:sz w:val="18"/>
              </w:rPr>
              <w:t>RNF-06</w:t>
            </w:r>
          </w:p>
        </w:tc>
        <w:tc>
          <w:tcPr>
            <w:tcW w:w="1150" w:type="dxa"/>
            <w:tcMar>
              <w:top w:w="60" w:type="dxa"/>
              <w:left w:w="100" w:type="dxa"/>
              <w:bottom w:w="60" w:type="dxa"/>
              <w:right w:w="100" w:type="dxa"/>
            </w:tcMar>
            <w:vAlign w:val="center"/>
          </w:tcPr>
          <w:p>
            <w:pPr>
              <w:spacing w:after="0" w:line="260" w:lineRule="auto"/>
            </w:pPr>
            <w:r>
              <w:rPr>
                <w:sz w:val="18"/>
              </w:rPr>
              <w:t>Tester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Fiabilidad (disponibilidad)</w:t>
            </w:r>
          </w:p>
        </w:tc>
        <w:tc>
          <w:tcPr>
            <w:tcW w:w="2700" w:type="dxa"/>
            <w:tcMar>
              <w:top w:w="60" w:type="dxa"/>
              <w:left w:w="100" w:type="dxa"/>
              <w:bottom w:w="60" w:type="dxa"/>
              <w:right w:w="100" w:type="dxa"/>
            </w:tcMar>
            <w:vAlign w:val="center"/>
          </w:tcPr>
          <w:p>
            <w:pPr>
              <w:spacing w:after="0" w:line="260" w:lineRule="auto"/>
            </w:pPr>
            <w:r>
              <w:rPr>
                <w:sz w:val="18"/>
              </w:rPr>
              <w:t>M13 · Disponibilidad mensual de producción = (tiempo total − tiempo caído) / tiempo total</w:t>
            </w:r>
          </w:p>
        </w:tc>
        <w:tc>
          <w:tcPr>
            <w:tcW w:w="2550" w:type="dxa"/>
            <w:tcMar>
              <w:top w:w="60" w:type="dxa"/>
              <w:left w:w="100" w:type="dxa"/>
              <w:bottom w:w="60" w:type="dxa"/>
              <w:right w:w="100" w:type="dxa"/>
            </w:tcMar>
            <w:vAlign w:val="center"/>
          </w:tcPr>
          <w:p>
            <w:pPr>
              <w:spacing w:after="0" w:line="260" w:lineRule="auto"/>
            </w:pPr>
            <w:r>
              <w:rPr>
                <w:sz w:val="18"/>
              </w:rPr>
              <w:t>UptimeRobot cada 5 min sobre /api/salud; desde el release v1.0</w:t>
            </w:r>
            <w:r>
              <w:rPr>
                <w:rFonts w:ascii="Consolas" w:hAnsi="Consolas" w:cs="Consolas"/>
                <w:sz w:val="17"/>
              </w:rPr>
            </w:r>
            <w:r>
              <w:rPr>
                <w:sz w:val="18"/>
              </w:rPr>
            </w:r>
          </w:p>
        </w:tc>
        <w:tc>
          <w:tcPr>
            <w:tcW w:w="1080" w:type="dxa"/>
            <w:tcMar>
              <w:top w:w="60" w:type="dxa"/>
              <w:left w:w="100" w:type="dxa"/>
              <w:bottom w:w="60" w:type="dxa"/>
              <w:right w:w="100" w:type="dxa"/>
            </w:tcMar>
            <w:vAlign w:val="center"/>
          </w:tcPr>
          <w:p>
            <w:pPr>
              <w:spacing w:after="0" w:line="260" w:lineRule="auto"/>
            </w:pPr>
            <w:r>
              <w:rPr>
                <w:sz w:val="18"/>
              </w:rPr>
              <w:t>≥ 99,0 %</w:t>
            </w:r>
          </w:p>
        </w:tc>
        <w:tc>
          <w:tcPr>
            <w:tcW w:w="1050" w:type="dxa"/>
            <w:tcMar>
              <w:top w:w="60" w:type="dxa"/>
              <w:left w:w="100" w:type="dxa"/>
              <w:bottom w:w="60" w:type="dxa"/>
              <w:right w:w="100" w:type="dxa"/>
            </w:tcMar>
            <w:vAlign w:val="center"/>
          </w:tcPr>
          <w:p>
            <w:pPr>
              <w:spacing w:after="0" w:line="260" w:lineRule="auto"/>
            </w:pPr>
            <w:r>
              <w:rPr>
                <w:sz w:val="18"/>
              </w:rPr>
              <w:t>RNF-07</w:t>
            </w:r>
          </w:p>
        </w:tc>
        <w:tc>
          <w:tcPr>
            <w:tcW w:w="1150" w:type="dxa"/>
            <w:tcMar>
              <w:top w:w="60" w:type="dxa"/>
              <w:left w:w="100" w:type="dxa"/>
              <w:bottom w:w="60" w:type="dxa"/>
              <w:right w:w="100" w:type="dxa"/>
            </w:tcMar>
            <w:vAlign w:val="center"/>
          </w:tcPr>
          <w:p>
            <w:pPr>
              <w:spacing w:after="0" w:line="260" w:lineRule="auto"/>
            </w:pPr>
            <w:r>
              <w:rPr>
                <w:sz w:val="18"/>
              </w:rPr>
              <w:t>SQA (Galvan)</w:t>
            </w:r>
          </w:p>
        </w:tc>
      </w:tr>
      <w:tr>
        <w:trPr>
          <w:cantSplit/>
        </w:trPr>
        <w:tc>
          <w:tcPr>
            <w:tcW w:w="1550" w:type="dxa"/>
            <w:tcMar>
              <w:top w:w="60" w:type="dxa"/>
              <w:left w:w="100" w:type="dxa"/>
              <w:bottom w:w="60" w:type="dxa"/>
              <w:right w:w="100" w:type="dxa"/>
            </w:tcMar>
            <w:vAlign w:val="center"/>
          </w:tcPr>
          <w:p>
            <w:pPr>
              <w:spacing w:after="0" w:line="260" w:lineRule="auto"/>
            </w:pPr>
            <w:r>
              <w:rPr>
                <w:sz w:val="18"/>
              </w:rPr>
              <w:t>Fiabilidad (recuperabilidad)</w:t>
            </w:r>
          </w:p>
        </w:tc>
        <w:tc>
          <w:tcPr>
            <w:tcW w:w="2700" w:type="dxa"/>
            <w:tcMar>
              <w:top w:w="60" w:type="dxa"/>
              <w:left w:w="100" w:type="dxa"/>
              <w:bottom w:w="60" w:type="dxa"/>
              <w:right w:w="100" w:type="dxa"/>
            </w:tcMar>
            <w:vAlign w:val="center"/>
          </w:tcPr>
          <w:p>
            <w:pPr>
              <w:spacing w:after="0" w:line="260" w:lineRule="auto"/>
            </w:pPr>
            <w:r>
              <w:rPr>
                <w:sz w:val="18"/>
              </w:rPr>
              <w:t>M14 · RPO y RTO de la base de datos</w:t>
            </w:r>
          </w:p>
        </w:tc>
        <w:tc>
          <w:tcPr>
            <w:tcW w:w="2550" w:type="dxa"/>
            <w:tcMar>
              <w:top w:w="60" w:type="dxa"/>
              <w:left w:w="100" w:type="dxa"/>
              <w:bottom w:w="60" w:type="dxa"/>
              <w:right w:w="100" w:type="dxa"/>
            </w:tcMar>
            <w:vAlign w:val="center"/>
          </w:tcPr>
          <w:p>
            <w:pPr>
              <w:spacing w:after="0" w:line="260" w:lineRule="auto"/>
            </w:pPr>
            <w:r>
              <w:rPr>
                <w:sz w:val="18"/>
              </w:rPr>
              <w:t>Respaldo diario cifrado (</w:t>
            </w:r>
            <w:r>
              <w:rPr>
                <w:rFonts w:ascii="Consolas" w:hAnsi="Consolas" w:cs="Consolas"/>
                <w:sz w:val="17"/>
              </w:rPr>
              <w:t>backup.yml</w:t>
            </w:r>
            <w:r>
              <w:rPr>
                <w:sz w:val="18"/>
              </w:rPr>
              <w:t xml:space="preserve"> en GitHub Actions); prueba de restauración cada día 5</w:t>
            </w:r>
          </w:p>
        </w:tc>
        <w:tc>
          <w:tcPr>
            <w:tcW w:w="1080" w:type="dxa"/>
            <w:tcMar>
              <w:top w:w="60" w:type="dxa"/>
              <w:left w:w="100" w:type="dxa"/>
              <w:bottom w:w="60" w:type="dxa"/>
              <w:right w:w="100" w:type="dxa"/>
            </w:tcMar>
            <w:vAlign w:val="center"/>
          </w:tcPr>
          <w:p>
            <w:pPr>
              <w:spacing w:after="0" w:line="260" w:lineRule="auto"/>
            </w:pPr>
            <w:r>
              <w:rPr>
                <w:sz w:val="18"/>
              </w:rPr>
              <w:t>RPO ≤ 24 h; RTO ≤ 2 h</w:t>
            </w:r>
          </w:p>
        </w:tc>
        <w:tc>
          <w:tcPr>
            <w:tcW w:w="1050" w:type="dxa"/>
            <w:tcMar>
              <w:top w:w="60" w:type="dxa"/>
              <w:left w:w="100" w:type="dxa"/>
              <w:bottom w:w="60" w:type="dxa"/>
              <w:right w:w="100" w:type="dxa"/>
            </w:tcMar>
            <w:vAlign w:val="center"/>
          </w:tcPr>
          <w:p>
            <w:pPr>
              <w:spacing w:after="0" w:line="260" w:lineRule="auto"/>
            </w:pPr>
            <w:r>
              <w:rPr>
                <w:sz w:val="18"/>
              </w:rPr>
              <w:t>RNF-07, R10</w:t>
            </w:r>
          </w:p>
        </w:tc>
        <w:tc>
          <w:tcPr>
            <w:tcW w:w="1150" w:type="dxa"/>
            <w:tcMar>
              <w:top w:w="60" w:type="dxa"/>
              <w:left w:w="100" w:type="dxa"/>
              <w:bottom w:w="60" w:type="dxa"/>
              <w:right w:w="100" w:type="dxa"/>
            </w:tcMar>
            <w:vAlign w:val="center"/>
          </w:tcPr>
          <w:p>
            <w:pPr>
              <w:spacing w:after="0" w:line="260" w:lineRule="auto"/>
            </w:pPr>
            <w:r>
              <w:rPr>
                <w:sz w:val="18"/>
              </w:rPr>
              <w:t>Dev (Lujan)</w:t>
            </w:r>
          </w:p>
        </w:tc>
      </w:tr>
    </w:tbl>
    <w:p>
      <w:pPr>
        <w:spacing w:after="60" w:line="276" w:lineRule="auto"/>
      </w:pPr>
    </w:p>
    <w:p>
      <w:pPr>
        <w:spacing w:after="120" w:line="276" w:lineRule="auto"/>
      </w:pPr>
      <w:r>
        <w:t>Seis características de ISO/IEC 25010 con al menos dos métricas cada una. M01 a M09 conservan el número que tenían en la versión 0.2 del plan y las métricas nuevas van de M11 a M16 (M10 no se asigna); así un identificador nunca cambia de significado entre versiones.</w:t>
      </w:r>
    </w:p>
    <w:p>
      <w:pPr>
        <w:spacing w:before="120" w:after="120" w:line="276" w:lineRule="auto"/>
      </w:pPr>
      <w:r>
        <w:rPr>
          <w:b/>
        </w:rPr>
        <w:t>El mismo número en dos lugares.</w:t>
      </w:r>
      <w:r>
        <w:t xml:space="preserve"> Cada umbral de la Tabla 9 está configurado en la herramienta que lo hace cumplir. Si un número cambia, se cambia aquí, en </w:t>
      </w:r>
      <w:r>
        <w:rPr>
          <w:rFonts w:ascii="Consolas" w:hAnsi="Consolas" w:cs="Consolas"/>
          <w:sz w:val="19"/>
        </w:rPr>
        <w:t>matrices-sqap.xlsx</w:t>
      </w:r>
      <w:r>
        <w:t xml:space="preserve"> y en la configuración, en el mismo pull request (Sección 16).</w:t>
      </w:r>
    </w:p>
    <w:p>
      <w:pPr>
        <w:keepNext/>
        <w:spacing w:before="120" w:after="80" w:line="276" w:lineRule="auto"/>
      </w:pPr>
      <w:r>
        <w:rPr>
          <w:b/>
          <w:color w:val="1F4E79"/>
          <w:sz w:val="19"/>
        </w:rPr>
        <w:t xml:space="preserve">Tabla 10. </w:t>
      </w:r>
      <w:r>
        <w:rPr>
          <w:color w:val="595959"/>
          <w:sz w:val="19"/>
        </w:rPr>
        <w:t>Dónde se configura cada umbral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700"/>
        <w:gridCol w:w="2900"/>
        <w:gridCol w:w="5480"/>
      </w:tblGrid>
      <w:tr>
        <w:trPr>
          <w:cantSplit/>
          <w:tblHeader/>
        </w:trPr>
        <w:tc>
          <w:tcPr>
            <w:tcW w:w="1700" w:type="dxa"/>
            <w:shd w:val="clear" w:color="auto" w:fill="DDEBF7"/>
            <w:tcMar>
              <w:top w:w="60" w:type="dxa"/>
              <w:left w:w="100" w:type="dxa"/>
              <w:bottom w:w="60" w:type="dxa"/>
              <w:right w:w="100" w:type="dxa"/>
            </w:tcMar>
          </w:tcPr>
          <w:p>
            <w:pPr>
              <w:spacing w:after="0" w:line="260" w:lineRule="auto"/>
            </w:pPr>
            <w:r>
              <w:rPr>
                <w:b/>
                <w:sz w:val="19"/>
              </w:rPr>
              <w:t>Métrica</w:t>
            </w:r>
          </w:p>
        </w:tc>
        <w:tc>
          <w:tcPr>
            <w:tcW w:w="2900" w:type="dxa"/>
            <w:shd w:val="clear" w:color="auto" w:fill="DDEBF7"/>
            <w:tcMar>
              <w:top w:w="60" w:type="dxa"/>
              <w:left w:w="100" w:type="dxa"/>
              <w:bottom w:w="60" w:type="dxa"/>
              <w:right w:w="100" w:type="dxa"/>
            </w:tcMar>
          </w:tcPr>
          <w:p>
            <w:pPr>
              <w:spacing w:after="0" w:line="260" w:lineRule="auto"/>
            </w:pPr>
            <w:r>
              <w:rPr>
                <w:b/>
                <w:sz w:val="19"/>
              </w:rPr>
              <w:t>Dónde se hace cumplir</w:t>
            </w:r>
          </w:p>
        </w:tc>
        <w:tc>
          <w:tcPr>
            <w:tcW w:w="5480" w:type="dxa"/>
            <w:shd w:val="clear" w:color="auto" w:fill="DDEBF7"/>
            <w:tcMar>
              <w:top w:w="60" w:type="dxa"/>
              <w:left w:w="100" w:type="dxa"/>
              <w:bottom w:w="60" w:type="dxa"/>
              <w:right w:w="100" w:type="dxa"/>
            </w:tcMar>
          </w:tcPr>
          <w:p>
            <w:pPr>
              <w:spacing w:after="0" w:line="260" w:lineRule="auto"/>
            </w:pPr>
            <w:r>
              <w:rPr>
                <w:b/>
                <w:sz w:val="19"/>
              </w:rPr>
              <w:t>Configuración</w:t>
            </w:r>
          </w:p>
        </w:tc>
      </w:tr>
      <w:tr>
        <w:trPr>
          <w:cantSplit/>
        </w:trPr>
        <w:tc>
          <w:tcPr>
            <w:tcW w:w="1700" w:type="dxa"/>
            <w:tcMar>
              <w:top w:w="60" w:type="dxa"/>
              <w:left w:w="100" w:type="dxa"/>
              <w:bottom w:w="60" w:type="dxa"/>
              <w:right w:w="100" w:type="dxa"/>
            </w:tcMar>
            <w:vAlign w:val="center"/>
          </w:tcPr>
          <w:p>
            <w:pPr>
              <w:spacing w:after="0" w:line="260" w:lineRule="auto"/>
            </w:pPr>
            <w:r>
              <w:rPr>
                <w:sz w:val="19"/>
              </w:rPr>
              <w:t>M01 · 100 %</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etapa Pruebas › API</w:t>
            </w:r>
          </w:p>
        </w:tc>
        <w:tc>
          <w:tcPr>
            <w:tcW w:w="5480" w:type="dxa"/>
            <w:tcMar>
              <w:top w:w="60" w:type="dxa"/>
              <w:left w:w="100" w:type="dxa"/>
              <w:bottom w:w="60" w:type="dxa"/>
              <w:right w:w="100" w:type="dxa"/>
            </w:tcMar>
            <w:vAlign w:val="center"/>
          </w:tcPr>
          <w:p>
            <w:pPr>
              <w:spacing w:after="0" w:line="260" w:lineRule="auto"/>
            </w:pPr>
            <w:r>
              <w:rPr>
                <w:rFonts w:ascii="Consolas" w:hAnsi="Consolas" w:cs="Consolas"/>
                <w:sz w:val="18"/>
              </w:rPr>
              <w:t>npm run -w api test:cov</w:t>
            </w:r>
            <w:r>
              <w:rPr>
                <w:sz w:val="19"/>
              </w:rPr>
              <w:t xml:space="preserve"> + paso </w:t>
            </w:r>
            <w:r>
              <w:rPr>
                <w:rFonts w:ascii="Consolas" w:hAnsi="Consolas" w:cs="Consolas"/>
                <w:sz w:val="18"/>
              </w:rPr>
              <w:t>junit</w:t>
            </w:r>
            <w:r>
              <w:rPr>
                <w:sz w:val="19"/>
              </w:rPr>
              <w:t>: el build falla si un caso falla</w:t>
            </w:r>
          </w:p>
        </w:tc>
      </w:tr>
      <w:tr>
        <w:trPr>
          <w:cantSplit/>
        </w:trPr>
        <w:tc>
          <w:tcPr>
            <w:tcW w:w="1700" w:type="dxa"/>
            <w:tcMar>
              <w:top w:w="60" w:type="dxa"/>
              <w:left w:w="100" w:type="dxa"/>
              <w:bottom w:w="60" w:type="dxa"/>
              <w:right w:w="100" w:type="dxa"/>
            </w:tcMar>
            <w:vAlign w:val="center"/>
          </w:tcPr>
          <w:p>
            <w:pPr>
              <w:spacing w:after="0" w:line="260" w:lineRule="auto"/>
            </w:pPr>
            <w:r>
              <w:rPr>
                <w:sz w:val="19"/>
              </w:rPr>
              <w:t>M02 · 100 %</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etapa E2E (rama develop)</w:t>
            </w:r>
          </w:p>
        </w:tc>
        <w:tc>
          <w:tcPr>
            <w:tcW w:w="5480" w:type="dxa"/>
            <w:tcMar>
              <w:top w:w="60" w:type="dxa"/>
              <w:left w:w="100" w:type="dxa"/>
              <w:bottom w:w="60" w:type="dxa"/>
              <w:right w:w="100" w:type="dxa"/>
            </w:tcMar>
            <w:vAlign w:val="center"/>
          </w:tcPr>
          <w:p>
            <w:pPr>
              <w:spacing w:after="0" w:line="260" w:lineRule="auto"/>
            </w:pPr>
            <w:r>
              <w:rPr>
                <w:rFonts w:ascii="Consolas" w:hAnsi="Consolas" w:cs="Consolas"/>
                <w:sz w:val="18"/>
              </w:rPr>
              <w:t>npx cypress run</w:t>
            </w:r>
            <w:r>
              <w:rPr>
                <w:sz w:val="19"/>
              </w:rPr>
              <w:t>: código de salida distinto de 0 si falla un escenario</w:t>
            </w:r>
          </w:p>
        </w:tc>
      </w:tr>
      <w:tr>
        <w:trPr>
          <w:cantSplit/>
        </w:trPr>
        <w:tc>
          <w:tcPr>
            <w:tcW w:w="1700" w:type="dxa"/>
            <w:tcMar>
              <w:top w:w="60" w:type="dxa"/>
              <w:left w:w="100" w:type="dxa"/>
              <w:bottom w:w="60" w:type="dxa"/>
              <w:right w:w="100" w:type="dxa"/>
            </w:tcMar>
            <w:vAlign w:val="center"/>
          </w:tcPr>
          <w:p>
            <w:pPr>
              <w:spacing w:after="0" w:line="260" w:lineRule="auto"/>
            </w:pPr>
            <w:r>
              <w:rPr>
                <w:sz w:val="19"/>
              </w:rPr>
              <w:t>M03 · ≤ 2000 ms</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xml:space="preserve">, etapa Rendimiento (etiquetas </w:t>
            </w:r>
            <w:r>
              <w:rPr>
                <w:rFonts w:ascii="Consolas" w:hAnsi="Consolas" w:cs="Consolas"/>
                <w:sz w:val="18"/>
              </w:rPr>
              <w:t>v*-rc.*</w:t>
            </w:r>
            <w:r>
              <w:rPr>
                <w:sz w:val="19"/>
              </w:rPr>
              <w:t>)</w:t>
            </w:r>
          </w:p>
        </w:tc>
        <w:tc>
          <w:tcPr>
            <w:tcW w:w="5480" w:type="dxa"/>
            <w:tcMar>
              <w:top w:w="60" w:type="dxa"/>
              <w:left w:w="100" w:type="dxa"/>
              <w:bottom w:w="60" w:type="dxa"/>
              <w:right w:w="100" w:type="dxa"/>
            </w:tcMar>
            <w:vAlign w:val="center"/>
          </w:tcPr>
          <w:p>
            <w:pPr>
              <w:spacing w:after="0" w:line="260" w:lineRule="auto"/>
            </w:pPr>
            <w:r>
              <w:rPr>
                <w:rFonts w:ascii="Consolas" w:hAnsi="Consolas" w:cs="Consolas"/>
                <w:sz w:val="18"/>
              </w:rPr>
              <w:t>jq -e ".Total.pct2ResTime &lt;= 2000" perf/boletin/statistics.json</w:t>
            </w:r>
          </w:p>
        </w:tc>
      </w:tr>
      <w:tr>
        <w:trPr>
          <w:cantSplit/>
        </w:trPr>
        <w:tc>
          <w:tcPr>
            <w:tcW w:w="1700" w:type="dxa"/>
            <w:tcMar>
              <w:top w:w="60" w:type="dxa"/>
              <w:left w:w="100" w:type="dxa"/>
              <w:bottom w:w="60" w:type="dxa"/>
              <w:right w:w="100" w:type="dxa"/>
            </w:tcMar>
            <w:vAlign w:val="center"/>
          </w:tcPr>
          <w:p>
            <w:pPr>
              <w:spacing w:after="0" w:line="260" w:lineRule="auto"/>
            </w:pPr>
            <w:r>
              <w:rPr>
                <w:sz w:val="19"/>
              </w:rPr>
              <w:t>M04 · &lt; 1 %</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etapa Rendimiento</w:t>
            </w:r>
          </w:p>
        </w:tc>
        <w:tc>
          <w:tcPr>
            <w:tcW w:w="5480" w:type="dxa"/>
            <w:tcMar>
              <w:top w:w="60" w:type="dxa"/>
              <w:left w:w="100" w:type="dxa"/>
              <w:bottom w:w="60" w:type="dxa"/>
              <w:right w:w="100" w:type="dxa"/>
            </w:tcMar>
            <w:vAlign w:val="center"/>
          </w:tcPr>
          <w:p>
            <w:pPr>
              <w:spacing w:after="0" w:line="260" w:lineRule="auto"/>
            </w:pPr>
            <w:r>
              <w:rPr>
                <w:rFonts w:ascii="Consolas" w:hAnsi="Consolas" w:cs="Consolas"/>
                <w:sz w:val="18"/>
              </w:rPr>
              <w:t>jq -e ".Total.errorPct &lt; 1"</w:t>
            </w:r>
            <w:r>
              <w:rPr>
                <w:sz w:val="19"/>
              </w:rPr>
              <w:t xml:space="preserve"> sobre </w:t>
            </w:r>
            <w:r>
              <w:rPr>
                <w:rFonts w:ascii="Consolas" w:hAnsi="Consolas" w:cs="Consolas"/>
                <w:sz w:val="18"/>
              </w:rPr>
              <w:t>perf/boletin/</w:t>
            </w:r>
            <w:r>
              <w:rPr>
                <w:sz w:val="19"/>
              </w:rPr>
              <w:t xml:space="preserve"> y </w:t>
            </w:r>
            <w:r>
              <w:rPr>
                <w:rFonts w:ascii="Consolas" w:hAnsi="Consolas" w:cs="Consolas"/>
                <w:sz w:val="18"/>
              </w:rPr>
              <w:t>perf/planilla/</w:t>
            </w:r>
          </w:p>
        </w:tc>
      </w:tr>
      <w:tr>
        <w:trPr>
          <w:cantSplit/>
        </w:trPr>
        <w:tc>
          <w:tcPr>
            <w:tcW w:w="1700" w:type="dxa"/>
            <w:tcMar>
              <w:top w:w="60" w:type="dxa"/>
              <w:left w:w="100" w:type="dxa"/>
              <w:bottom w:w="60" w:type="dxa"/>
              <w:right w:w="100" w:type="dxa"/>
            </w:tcMar>
            <w:vAlign w:val="center"/>
          </w:tcPr>
          <w:p>
            <w:pPr>
              <w:spacing w:after="0" w:line="260" w:lineRule="auto"/>
            </w:pPr>
            <w:r>
              <w:rPr>
                <w:sz w:val="19"/>
              </w:rPr>
              <w:t>M05 · ≥ 80 %</w:t>
            </w:r>
          </w:p>
        </w:tc>
        <w:tc>
          <w:tcPr>
            <w:tcW w:w="2900" w:type="dxa"/>
            <w:tcMar>
              <w:top w:w="60" w:type="dxa"/>
              <w:left w:w="100" w:type="dxa"/>
              <w:bottom w:w="60" w:type="dxa"/>
              <w:right w:w="100" w:type="dxa"/>
            </w:tcMar>
            <w:vAlign w:val="center"/>
          </w:tcPr>
          <w:p>
            <w:pPr>
              <w:spacing w:after="0" w:line="260" w:lineRule="auto"/>
            </w:pPr>
            <w:r>
              <w:rPr>
                <w:sz w:val="19"/>
              </w:rPr>
              <w:t>Quality Gate "Sonar way" de SonarQube Cloud</w:t>
            </w:r>
          </w:p>
        </w:tc>
        <w:tc>
          <w:tcPr>
            <w:tcW w:w="5480" w:type="dxa"/>
            <w:tcMar>
              <w:top w:w="60" w:type="dxa"/>
              <w:left w:w="100" w:type="dxa"/>
              <w:bottom w:w="60" w:type="dxa"/>
              <w:right w:w="100" w:type="dxa"/>
            </w:tcMar>
            <w:vAlign w:val="center"/>
          </w:tcPr>
          <w:p>
            <w:pPr>
              <w:spacing w:after="0" w:line="260" w:lineRule="auto"/>
            </w:pPr>
            <w:r>
              <w:rPr>
                <w:sz w:val="19"/>
              </w:rPr>
              <w:t>Coverage on New Code is less than 80.0</w:t>
            </w:r>
          </w:p>
        </w:tc>
      </w:tr>
      <w:tr>
        <w:trPr>
          <w:cantSplit/>
        </w:trPr>
        <w:tc>
          <w:tcPr>
            <w:tcW w:w="1700" w:type="dxa"/>
            <w:tcMar>
              <w:top w:w="60" w:type="dxa"/>
              <w:left w:w="100" w:type="dxa"/>
              <w:bottom w:w="60" w:type="dxa"/>
              <w:right w:w="100" w:type="dxa"/>
            </w:tcMar>
            <w:vAlign w:val="center"/>
          </w:tcPr>
          <w:p>
            <w:pPr>
              <w:spacing w:after="0" w:line="260" w:lineRule="auto"/>
            </w:pPr>
            <w:r>
              <w:rPr>
                <w:sz w:val="19"/>
              </w:rPr>
              <w:t>M06 · ≥ 90 %</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api/jest.config.ts</w:t>
            </w:r>
          </w:p>
        </w:tc>
        <w:tc>
          <w:tcPr>
            <w:tcW w:w="5480" w:type="dxa"/>
            <w:tcMar>
              <w:top w:w="60" w:type="dxa"/>
              <w:left w:w="100" w:type="dxa"/>
              <w:bottom w:w="60" w:type="dxa"/>
              <w:right w:w="100" w:type="dxa"/>
            </w:tcMar>
            <w:vAlign w:val="center"/>
          </w:tcPr>
          <w:p>
            <w:pPr>
              <w:spacing w:after="0" w:line="260" w:lineRule="auto"/>
            </w:pPr>
            <w:r>
              <w:rPr>
                <w:rFonts w:ascii="Consolas" w:hAnsi="Consolas" w:cs="Consolas"/>
                <w:sz w:val="18"/>
              </w:rPr>
              <w:t>coverageThreshold</w:t>
            </w:r>
            <w:r>
              <w:rPr>
                <w:sz w:val="19"/>
              </w:rPr>
              <w:t xml:space="preserve"> con </w:t>
            </w:r>
            <w:r>
              <w:rPr>
                <w:rFonts w:ascii="Consolas" w:hAnsi="Consolas" w:cs="Consolas"/>
                <w:sz w:val="18"/>
              </w:rPr>
              <w:t>lines: 90</w:t>
            </w:r>
            <w:r>
              <w:rPr>
                <w:sz w:val="19"/>
              </w:rPr>
              <w:t xml:space="preserve"> para cada ruta de la Tabla 4</w:t>
            </w:r>
          </w:p>
        </w:tc>
      </w:tr>
      <w:tr>
        <w:trPr>
          <w:cantSplit/>
        </w:trPr>
        <w:tc>
          <w:tcPr>
            <w:tcW w:w="1700" w:type="dxa"/>
            <w:tcMar>
              <w:top w:w="60" w:type="dxa"/>
              <w:left w:w="100" w:type="dxa"/>
              <w:bottom w:w="60" w:type="dxa"/>
              <w:right w:w="100" w:type="dxa"/>
            </w:tcMar>
            <w:vAlign w:val="center"/>
          </w:tcPr>
          <w:p>
            <w:pPr>
              <w:spacing w:after="0" w:line="260" w:lineRule="auto"/>
            </w:pPr>
            <w:r>
              <w:rPr>
                <w:sz w:val="19"/>
              </w:rPr>
              <w:t>M07 · ≤ 3 %</w:t>
            </w:r>
          </w:p>
        </w:tc>
        <w:tc>
          <w:tcPr>
            <w:tcW w:w="2900" w:type="dxa"/>
            <w:tcMar>
              <w:top w:w="60" w:type="dxa"/>
              <w:left w:w="100" w:type="dxa"/>
              <w:bottom w:w="60" w:type="dxa"/>
              <w:right w:w="100" w:type="dxa"/>
            </w:tcMar>
            <w:vAlign w:val="center"/>
          </w:tcPr>
          <w:p>
            <w:pPr>
              <w:spacing w:after="0" w:line="260" w:lineRule="auto"/>
            </w:pPr>
            <w:r>
              <w:rPr>
                <w:sz w:val="19"/>
              </w:rPr>
              <w:t>Quality Gate "Sonar way"</w:t>
            </w:r>
          </w:p>
        </w:tc>
        <w:tc>
          <w:tcPr>
            <w:tcW w:w="5480" w:type="dxa"/>
            <w:tcMar>
              <w:top w:w="60" w:type="dxa"/>
              <w:left w:w="100" w:type="dxa"/>
              <w:bottom w:w="60" w:type="dxa"/>
              <w:right w:w="100" w:type="dxa"/>
            </w:tcMar>
            <w:vAlign w:val="center"/>
          </w:tcPr>
          <w:p>
            <w:pPr>
              <w:spacing w:after="0" w:line="260" w:lineRule="auto"/>
            </w:pPr>
            <w:r>
              <w:rPr>
                <w:sz w:val="19"/>
              </w:rPr>
              <w:t>Duplicated Lines (%) on New Code is greater than 3.0</w:t>
            </w:r>
          </w:p>
        </w:tc>
      </w:tr>
      <w:tr>
        <w:trPr>
          <w:cantSplit/>
        </w:trPr>
        <w:tc>
          <w:tcPr>
            <w:tcW w:w="1700" w:type="dxa"/>
            <w:tcMar>
              <w:top w:w="60" w:type="dxa"/>
              <w:left w:w="100" w:type="dxa"/>
              <w:bottom w:w="60" w:type="dxa"/>
              <w:right w:w="100" w:type="dxa"/>
            </w:tcMar>
            <w:vAlign w:val="center"/>
          </w:tcPr>
          <w:p>
            <w:pPr>
              <w:spacing w:after="0" w:line="260" w:lineRule="auto"/>
            </w:pPr>
            <w:r>
              <w:rPr>
                <w:sz w:val="19"/>
              </w:rPr>
              <w:t>M08 · 0</w:t>
            </w:r>
          </w:p>
        </w:tc>
        <w:tc>
          <w:tcPr>
            <w:tcW w:w="2900" w:type="dxa"/>
            <w:tcMar>
              <w:top w:w="60" w:type="dxa"/>
              <w:left w:w="100" w:type="dxa"/>
              <w:bottom w:w="60" w:type="dxa"/>
              <w:right w:w="100" w:type="dxa"/>
            </w:tcMar>
            <w:vAlign w:val="center"/>
          </w:tcPr>
          <w:p>
            <w:pPr>
              <w:spacing w:after="0" w:line="260" w:lineRule="auto"/>
            </w:pPr>
            <w:r>
              <w:rPr>
                <w:sz w:val="19"/>
              </w:rPr>
              <w:t>Quality Gate + etapa Dependencias</w:t>
            </w:r>
          </w:p>
        </w:tc>
        <w:tc>
          <w:tcPr>
            <w:tcW w:w="5480" w:type="dxa"/>
            <w:tcMar>
              <w:top w:w="60" w:type="dxa"/>
              <w:left w:w="100" w:type="dxa"/>
              <w:bottom w:w="60" w:type="dxa"/>
              <w:right w:w="100" w:type="dxa"/>
            </w:tcMar>
            <w:vAlign w:val="center"/>
          </w:tcPr>
          <w:p>
            <w:pPr>
              <w:spacing w:after="0" w:line="260" w:lineRule="auto"/>
            </w:pPr>
            <w:r>
              <w:rPr>
                <w:sz w:val="19"/>
              </w:rPr>
              <w:t xml:space="preserve">Security Rating on New Code is worse than A · </w:t>
            </w:r>
            <w:r>
              <w:rPr>
                <w:rFonts w:ascii="Consolas" w:hAnsi="Consolas" w:cs="Consolas"/>
                <w:sz w:val="18"/>
              </w:rPr>
              <w:t>npm audit --audit-level=high</w:t>
            </w:r>
          </w:p>
        </w:tc>
      </w:tr>
      <w:tr>
        <w:trPr>
          <w:cantSplit/>
        </w:trPr>
        <w:tc>
          <w:tcPr>
            <w:tcW w:w="1700" w:type="dxa"/>
            <w:tcMar>
              <w:top w:w="60" w:type="dxa"/>
              <w:left w:w="100" w:type="dxa"/>
              <w:bottom w:w="60" w:type="dxa"/>
              <w:right w:w="100" w:type="dxa"/>
            </w:tcMar>
            <w:vAlign w:val="center"/>
          </w:tcPr>
          <w:p>
            <w:pPr>
              <w:spacing w:after="0" w:line="260" w:lineRule="auto"/>
            </w:pPr>
            <w:r>
              <w:rPr>
                <w:sz w:val="19"/>
              </w:rPr>
              <w:t>M09 · 100 %</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etapa Pruebas › API</w:t>
            </w:r>
          </w:p>
        </w:tc>
        <w:tc>
          <w:tcPr>
            <w:tcW w:w="5480" w:type="dxa"/>
            <w:tcMar>
              <w:top w:w="60" w:type="dxa"/>
              <w:left w:w="100" w:type="dxa"/>
              <w:bottom w:w="60" w:type="dxa"/>
              <w:right w:w="100" w:type="dxa"/>
            </w:tcMar>
            <w:vAlign w:val="center"/>
          </w:tcPr>
          <w:p>
            <w:pPr>
              <w:spacing w:after="0" w:line="260" w:lineRule="auto"/>
            </w:pPr>
            <w:r>
              <w:rPr>
                <w:sz w:val="19"/>
              </w:rPr>
              <w:t xml:space="preserve">Suite </w:t>
            </w:r>
            <w:r>
              <w:rPr>
                <w:rFonts w:ascii="Consolas" w:hAnsi="Consolas" w:cs="Consolas"/>
                <w:sz w:val="18"/>
              </w:rPr>
              <w:t>autorizacion.e2e-spec.ts</w:t>
            </w:r>
            <w:r>
              <w:rPr>
                <w:sz w:val="19"/>
              </w:rPr>
              <w:t xml:space="preserve"> dentro de </w:t>
            </w:r>
            <w:r>
              <w:rPr>
                <w:rFonts w:ascii="Consolas" w:hAnsi="Consolas" w:cs="Consolas"/>
                <w:sz w:val="18"/>
              </w:rPr>
              <w:t>npm run -w api test:cov</w:t>
            </w:r>
          </w:p>
        </w:tc>
      </w:tr>
      <w:tr>
        <w:trPr>
          <w:cantSplit/>
        </w:trPr>
        <w:tc>
          <w:tcPr>
            <w:tcW w:w="1700" w:type="dxa"/>
            <w:tcMar>
              <w:top w:w="60" w:type="dxa"/>
              <w:left w:w="100" w:type="dxa"/>
              <w:bottom w:w="60" w:type="dxa"/>
              <w:right w:w="100" w:type="dxa"/>
            </w:tcMar>
            <w:vAlign w:val="center"/>
          </w:tcPr>
          <w:p>
            <w:pPr>
              <w:spacing w:after="0" w:line="260" w:lineRule="auto"/>
            </w:pPr>
            <w:r>
              <w:rPr>
                <w:sz w:val="19"/>
              </w:rPr>
              <w:t>M11, M12</w:t>
            </w:r>
          </w:p>
        </w:tc>
        <w:tc>
          <w:tcPr>
            <w:tcW w:w="2900" w:type="dxa"/>
            <w:tcMar>
              <w:top w:w="60" w:type="dxa"/>
              <w:left w:w="100" w:type="dxa"/>
              <w:bottom w:w="60" w:type="dxa"/>
              <w:right w:w="100" w:type="dxa"/>
            </w:tcMar>
            <w:vAlign w:val="center"/>
          </w:tcPr>
          <w:p>
            <w:pPr>
              <w:spacing w:after="0" w:line="260" w:lineRule="auto"/>
            </w:pPr>
            <w:r>
              <w:rPr>
                <w:sz w:val="19"/>
              </w:rPr>
              <w:t>Acta de la prueba de usabilidad</w:t>
            </w:r>
          </w:p>
        </w:tc>
        <w:tc>
          <w:tcPr>
            <w:tcW w:w="5480" w:type="dxa"/>
            <w:tcMar>
              <w:top w:w="60" w:type="dxa"/>
              <w:left w:w="100" w:type="dxa"/>
              <w:bottom w:w="60" w:type="dxa"/>
              <w:right w:w="100" w:type="dxa"/>
            </w:tcMar>
            <w:vAlign w:val="center"/>
          </w:tcPr>
          <w:p>
            <w:pPr>
              <w:spacing w:after="0" w:line="260" w:lineRule="auto"/>
            </w:pPr>
            <w:r>
              <w:rPr>
                <w:sz w:val="19"/>
              </w:rPr>
              <w:t xml:space="preserve">Planilla de resultados en </w:t>
            </w:r>
            <w:r>
              <w:rPr>
                <w:rFonts w:ascii="Consolas" w:hAnsi="Consolas" w:cs="Consolas"/>
                <w:sz w:val="18"/>
              </w:rPr>
              <w:t>docs/evidencias/usabilidad/</w:t>
            </w:r>
          </w:p>
        </w:tc>
      </w:tr>
      <w:tr>
        <w:trPr>
          <w:cantSplit/>
        </w:trPr>
        <w:tc>
          <w:tcPr>
            <w:tcW w:w="1700" w:type="dxa"/>
            <w:tcMar>
              <w:top w:w="60" w:type="dxa"/>
              <w:left w:w="100" w:type="dxa"/>
              <w:bottom w:w="60" w:type="dxa"/>
              <w:right w:w="100" w:type="dxa"/>
            </w:tcMar>
            <w:vAlign w:val="center"/>
          </w:tcPr>
          <w:p>
            <w:pPr>
              <w:spacing w:after="0" w:line="260" w:lineRule="auto"/>
            </w:pPr>
            <w:r>
              <w:rPr>
                <w:sz w:val="19"/>
              </w:rPr>
              <w:t>M13 · ≥ 99,0 %</w:t>
            </w:r>
          </w:p>
        </w:tc>
        <w:tc>
          <w:tcPr>
            <w:tcW w:w="2900" w:type="dxa"/>
            <w:tcMar>
              <w:top w:w="60" w:type="dxa"/>
              <w:left w:w="100" w:type="dxa"/>
              <w:bottom w:w="60" w:type="dxa"/>
              <w:right w:w="100" w:type="dxa"/>
            </w:tcMar>
            <w:vAlign w:val="center"/>
          </w:tcPr>
          <w:p>
            <w:pPr>
              <w:spacing w:after="0" w:line="260" w:lineRule="auto"/>
            </w:pPr>
            <w:r>
              <w:rPr>
                <w:sz w:val="19"/>
              </w:rPr>
              <w:t>UptimeRobot</w:t>
            </w:r>
          </w:p>
        </w:tc>
        <w:tc>
          <w:tcPr>
            <w:tcW w:w="5480" w:type="dxa"/>
            <w:tcMar>
              <w:top w:w="60" w:type="dxa"/>
              <w:left w:w="100" w:type="dxa"/>
              <w:bottom w:w="60" w:type="dxa"/>
              <w:right w:w="100" w:type="dxa"/>
            </w:tcMar>
            <w:vAlign w:val="center"/>
          </w:tcPr>
          <w:p>
            <w:pPr>
              <w:spacing w:after="0" w:line="260" w:lineRule="auto"/>
            </w:pPr>
            <w:r>
              <w:rPr>
                <w:sz w:val="19"/>
              </w:rPr>
              <w:t xml:space="preserve">Intervalo de 5 minutos sobre </w:t>
            </w:r>
            <w:r>
              <w:rPr>
                <w:rFonts w:ascii="Consolas" w:hAnsi="Consolas" w:cs="Consolas"/>
                <w:sz w:val="18"/>
              </w:rPr>
              <w:t>/api/salud</w:t>
            </w:r>
            <w:r>
              <w:rPr>
                <w:sz w:val="19"/>
              </w:rPr>
              <w:t>; alerta por correo a ambos integrantes</w:t>
            </w:r>
          </w:p>
        </w:tc>
      </w:tr>
      <w:tr>
        <w:trPr>
          <w:cantSplit/>
        </w:trPr>
        <w:tc>
          <w:tcPr>
            <w:tcW w:w="1700" w:type="dxa"/>
            <w:tcMar>
              <w:top w:w="60" w:type="dxa"/>
              <w:left w:w="100" w:type="dxa"/>
              <w:bottom w:w="60" w:type="dxa"/>
              <w:right w:w="100" w:type="dxa"/>
            </w:tcMar>
            <w:vAlign w:val="center"/>
          </w:tcPr>
          <w:p>
            <w:pPr>
              <w:spacing w:after="0" w:line="260" w:lineRule="auto"/>
            </w:pPr>
            <w:r>
              <w:rPr>
                <w:sz w:val="19"/>
              </w:rPr>
              <w:t>M14 · 24 h / 2 h</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backup.yml</w:t>
            </w:r>
            <w:r>
              <w:rPr>
                <w:sz w:val="19"/>
              </w:rPr>
              <w:t xml:space="preserve"> (GitHub Actions)</w:t>
            </w:r>
          </w:p>
        </w:tc>
        <w:tc>
          <w:tcPr>
            <w:tcW w:w="5480" w:type="dxa"/>
            <w:tcMar>
              <w:top w:w="60" w:type="dxa"/>
              <w:left w:w="100" w:type="dxa"/>
              <w:bottom w:w="60" w:type="dxa"/>
              <w:right w:w="100" w:type="dxa"/>
            </w:tcMar>
            <w:vAlign w:val="center"/>
          </w:tcPr>
          <w:p>
            <w:pPr>
              <w:spacing w:after="0" w:line="260" w:lineRule="auto"/>
            </w:pPr>
            <w:r>
              <w:rPr>
                <w:sz w:val="19"/>
              </w:rPr>
              <w:t xml:space="preserve">cron </w:t>
            </w:r>
            <w:r>
              <w:rPr>
                <w:rFonts w:ascii="Consolas" w:hAnsi="Consolas" w:cs="Consolas"/>
                <w:sz w:val="18"/>
              </w:rPr>
              <w:t>0 7 * * *</w:t>
            </w:r>
            <w:r>
              <w:rPr>
                <w:sz w:val="19"/>
              </w:rPr>
              <w:t xml:space="preserve"> (03:00 en Bolivia) y job </w:t>
            </w:r>
            <w:r>
              <w:rPr>
                <w:rFonts w:ascii="Consolas" w:hAnsi="Consolas" w:cs="Consolas"/>
                <w:sz w:val="18"/>
              </w:rPr>
              <w:t>restaurar</w:t>
            </w:r>
            <w:r>
              <w:rPr>
                <w:sz w:val="19"/>
              </w:rPr>
              <w:t xml:space="preserve"> cada día 5</w:t>
            </w:r>
          </w:p>
        </w:tc>
      </w:tr>
      <w:tr>
        <w:trPr>
          <w:cantSplit/>
        </w:trPr>
        <w:tc>
          <w:tcPr>
            <w:tcW w:w="1700" w:type="dxa"/>
            <w:tcMar>
              <w:top w:w="60" w:type="dxa"/>
              <w:left w:w="100" w:type="dxa"/>
              <w:bottom w:w="60" w:type="dxa"/>
              <w:right w:w="100" w:type="dxa"/>
            </w:tcMar>
            <w:vAlign w:val="center"/>
          </w:tcPr>
          <w:p>
            <w:pPr>
              <w:spacing w:after="0" w:line="260" w:lineRule="auto"/>
            </w:pPr>
            <w:r>
              <w:rPr>
                <w:sz w:val="19"/>
              </w:rPr>
              <w:t>M15 · 100 %</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etapa Pruebas › API</w:t>
            </w:r>
          </w:p>
        </w:tc>
        <w:tc>
          <w:tcPr>
            <w:tcW w:w="5480" w:type="dxa"/>
            <w:tcMar>
              <w:top w:w="60" w:type="dxa"/>
              <w:left w:w="100" w:type="dxa"/>
              <w:bottom w:w="60" w:type="dxa"/>
              <w:right w:w="100" w:type="dxa"/>
            </w:tcMar>
            <w:vAlign w:val="center"/>
          </w:tcPr>
          <w:p>
            <w:pPr>
              <w:spacing w:after="0" w:line="260" w:lineRule="auto"/>
            </w:pPr>
            <w:r>
              <w:rPr>
                <w:sz w:val="19"/>
              </w:rPr>
              <w:t xml:space="preserve">Suite </w:t>
            </w:r>
            <w:r>
              <w:rPr>
                <w:rFonts w:ascii="Consolas" w:hAnsi="Consolas" w:cs="Consolas"/>
                <w:sz w:val="18"/>
              </w:rPr>
              <w:t>auditoria.e2e-spec.ts</w:t>
            </w:r>
            <w:r>
              <w:rPr>
                <w:sz w:val="19"/>
              </w:rPr>
              <w:t xml:space="preserve"> dentro de </w:t>
            </w:r>
            <w:r>
              <w:rPr>
                <w:rFonts w:ascii="Consolas" w:hAnsi="Consolas" w:cs="Consolas"/>
                <w:sz w:val="18"/>
              </w:rPr>
              <w:t>npm run -w api test:cov</w:t>
            </w:r>
          </w:p>
        </w:tc>
      </w:tr>
      <w:tr>
        <w:trPr>
          <w:cantSplit/>
        </w:trPr>
        <w:tc>
          <w:tcPr>
            <w:tcW w:w="1700" w:type="dxa"/>
            <w:tcMar>
              <w:top w:w="60" w:type="dxa"/>
              <w:left w:w="100" w:type="dxa"/>
              <w:bottom w:w="60" w:type="dxa"/>
              <w:right w:w="100" w:type="dxa"/>
            </w:tcMar>
            <w:vAlign w:val="center"/>
          </w:tcPr>
          <w:p>
            <w:pPr>
              <w:spacing w:after="0" w:line="260" w:lineRule="auto"/>
            </w:pPr>
            <w:r>
              <w:rPr>
                <w:sz w:val="19"/>
              </w:rPr>
              <w:t>M16 · 0</w:t>
            </w:r>
          </w:p>
        </w:tc>
        <w:tc>
          <w:tcPr>
            <w:tcW w:w="2900" w:type="dxa"/>
            <w:tcMar>
              <w:top w:w="60" w:type="dxa"/>
              <w:left w:w="100" w:type="dxa"/>
              <w:bottom w:w="60" w:type="dxa"/>
              <w:right w:w="100" w:type="dxa"/>
            </w:tcMar>
            <w:vAlign w:val="center"/>
          </w:tcPr>
          <w:p>
            <w:pPr>
              <w:spacing w:after="0" w:line="260" w:lineRule="auto"/>
            </w:pPr>
            <w:r>
              <w:rPr>
                <w:rFonts w:ascii="Consolas" w:hAnsi="Consolas" w:cs="Consolas"/>
                <w:sz w:val="18"/>
              </w:rPr>
              <w:t>Jenkinsfile</w:t>
            </w:r>
            <w:r>
              <w:rPr>
                <w:sz w:val="19"/>
              </w:rPr>
              <w:t>, etapa Lint + pre-commit</w:t>
            </w:r>
          </w:p>
        </w:tc>
        <w:tc>
          <w:tcPr>
            <w:tcW w:w="5480" w:type="dxa"/>
            <w:tcMar>
              <w:top w:w="60" w:type="dxa"/>
              <w:left w:w="100" w:type="dxa"/>
              <w:bottom w:w="60" w:type="dxa"/>
              <w:right w:w="100" w:type="dxa"/>
            </w:tcMar>
            <w:vAlign w:val="center"/>
          </w:tcPr>
          <w:p>
            <w:pPr>
              <w:spacing w:after="0" w:line="260" w:lineRule="auto"/>
            </w:pPr>
            <w:r>
              <w:rPr>
                <w:rFonts w:ascii="Consolas" w:hAnsi="Consolas" w:cs="Consolas"/>
                <w:sz w:val="18"/>
              </w:rPr>
              <w:t>eslint . --max-warnings=0</w:t>
            </w:r>
            <w:r>
              <w:rPr>
                <w:sz w:val="19"/>
              </w:rPr>
              <w:t xml:space="preserve"> y </w:t>
            </w:r>
            <w:r>
              <w:rPr>
                <w:rFonts w:ascii="Consolas" w:hAnsi="Consolas" w:cs="Consolas"/>
                <w:sz w:val="18"/>
              </w:rPr>
              <w:t>prettier --check .</w:t>
            </w:r>
          </w:p>
        </w:tc>
      </w:tr>
    </w:tbl>
    <w:p>
      <w:pPr>
        <w:spacing w:after="60" w:line="276" w:lineRule="auto"/>
      </w:pPr>
    </w:p>
    <w:p>
      <w:pPr>
        <w:keepNext/>
        <w:spacing w:before="120" w:after="60" w:line="276" w:lineRule="auto"/>
      </w:pPr>
      <w:r>
        <w:rPr>
          <w:b/>
        </w:rPr>
        <w:t>Fragmentos de configuración</w:t>
      </w:r>
      <w:r>
        <w:t xml:space="preserve"> (archivos completos en el Anexo C):</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api/jest.config.ts (fragmento): M06, cobertura de los módulos críticos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coverageThreshold: {</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'./src/modules/notas/':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'./src/modules/calculo/':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'./src/modules/auditoria/':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'./src/modules/auth/':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'./src/modules/familias/':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Jenkinsfile, etapa Rendimiento (fragmento): M03 y M04</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jq -e ".Total.pct2ResTime &lt;= 2000" perf/boletin/statistics.json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jq -e ".Total.errorPct &lt; 1"         perf/boletin/statistics.json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jq -e ".Total.errorPct &lt; 1"         perf/planilla/statistics.json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Quality Gate "Sonar way" (SonarQube Cloud):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Coverage on New Code is less than 80.0          -&gt; falla (M05)</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Duplicated Lines (%) on New Code is greater than 3.0 -&gt; falla (M07)</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Security Rating on New Code is worse than A     -&gt; falla (M08)</w:t>
      </w:r>
    </w:p>
    <w:p>
      <w:pPr>
        <w:spacing w:after="60" w:line="276" w:lineRule="auto"/>
      </w:pPr>
    </w:p>
    <w:p>
      <w:pPr>
        <w:spacing w:after="120" w:line="276" w:lineRule="auto"/>
      </w:pPr>
      <w:r>
        <w:t xml:space="preserve">El percentil 95 corresponde a </w:t>
      </w:r>
      <w:r>
        <w:rPr>
          <w:rFonts w:ascii="Consolas" w:hAnsi="Consolas" w:cs="Consolas"/>
          <w:sz w:val="19"/>
        </w:rPr>
        <w:t>pct2ResTime</w:t>
      </w:r>
      <w:r>
        <w:t xml:space="preserve"> porque el dashboard de JMeter calcula por defecto los percentiles 90, 95 y 99; </w:t>
      </w:r>
      <w:r>
        <w:rPr>
          <w:rFonts w:ascii="Consolas" w:hAnsi="Consolas" w:cs="Consolas"/>
          <w:sz w:val="19"/>
        </w:rPr>
        <w:t>jq -e</w:t>
      </w:r>
      <w:r>
        <w:t xml:space="preserve"> termina con error, y la etapa falla, si la condición es falsa. Los planes </w:t>
      </w:r>
      <w:r>
        <w:rPr>
          <w:rFonts w:ascii="Consolas" w:hAnsi="Consolas" w:cs="Consolas"/>
          <w:sz w:val="19"/>
        </w:rPr>
        <w:t>.jmx</w:t>
      </w:r>
      <w:r>
        <w:t xml:space="preserve"> leen la carga con </w:t>
      </w:r>
      <w:r>
        <w:rPr>
          <w:rFonts w:ascii="Consolas" w:hAnsi="Consolas" w:cs="Consolas"/>
          <w:sz w:val="19"/>
        </w:rPr>
        <w:t>${__P(usuarios)}</w:t>
      </w:r>
      <w:r>
        <w:t xml:space="preserve"> y </w:t>
      </w:r>
      <w:r>
        <w:rPr>
          <w:rFonts w:ascii="Consolas" w:hAnsi="Consolas" w:cs="Consolas"/>
          <w:sz w:val="19"/>
        </w:rPr>
        <w:t>${__P(duracion)}</w:t>
      </w:r>
      <w:r>
        <w:t>. A diferencia de la versión 0.2, la tasa de error se exige también en el boletín: una respuesta 500 rápida no debe contar como una respuesta rápida.</w:t>
      </w:r>
    </w:p>
    <w:p>
      <w:pPr>
        <w:pStyle w:val="Ttulo1"/>
      </w:pPr>
      <w:r>
        <w:t>6. Revisiones de software</w:t>
      </w:r>
    </w:p>
    <w:p>
      <w:pPr>
        <w:spacing w:after="120" w:line="276" w:lineRule="auto"/>
      </w:pPr>
      <w:r>
        <w:t>Calendario de revisiones en el ciclo de vida. "Día" es el día hábil dentro de cada sprint de una semana (día 1 = lunes).</w:t>
      </w:r>
    </w:p>
    <w:p>
      <w:pPr>
        <w:keepNext/>
        <w:spacing w:before="120" w:after="80" w:line="276" w:lineRule="auto"/>
      </w:pPr>
      <w:r>
        <w:rPr>
          <w:b/>
          <w:color w:val="1F4E79"/>
          <w:sz w:val="19"/>
        </w:rPr>
        <w:t xml:space="preserve">Tabla 11. </w:t>
      </w:r>
      <w:r>
        <w:rPr>
          <w:color w:val="595959"/>
          <w:sz w:val="19"/>
        </w:rPr>
        <w:t>Calendario de revisiones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1350"/>
        <w:gridCol w:w="1050"/>
        <w:gridCol w:w="2050"/>
        <w:gridCol w:w="2380"/>
        <w:gridCol w:w="1750"/>
      </w:tblGrid>
      <w:tr>
        <w:trPr>
          <w:cantSplit/>
          <w:tblHeader/>
        </w:trPr>
        <w:tc>
          <w:tcPr>
            <w:tcW w:w="1500" w:type="dxa"/>
            <w:shd w:val="clear" w:color="auto" w:fill="DDEBF7"/>
            <w:tcMar>
              <w:top w:w="60" w:type="dxa"/>
              <w:left w:w="100" w:type="dxa"/>
              <w:bottom w:w="60" w:type="dxa"/>
              <w:right w:w="100" w:type="dxa"/>
            </w:tcMar>
          </w:tcPr>
          <w:p>
            <w:pPr>
              <w:spacing w:after="0" w:line="260" w:lineRule="auto"/>
            </w:pPr>
            <w:r>
              <w:rPr>
                <w:b/>
                <w:sz w:val="17"/>
              </w:rPr>
              <w:t>Revisión</w:t>
            </w:r>
          </w:p>
        </w:tc>
        <w:tc>
          <w:tcPr>
            <w:tcW w:w="1350" w:type="dxa"/>
            <w:shd w:val="clear" w:color="auto" w:fill="DDEBF7"/>
            <w:tcMar>
              <w:top w:w="60" w:type="dxa"/>
              <w:left w:w="100" w:type="dxa"/>
              <w:bottom w:w="60" w:type="dxa"/>
              <w:right w:w="100" w:type="dxa"/>
            </w:tcMar>
          </w:tcPr>
          <w:p>
            <w:pPr>
              <w:spacing w:after="0" w:line="260" w:lineRule="auto"/>
            </w:pPr>
            <w:r>
              <w:rPr>
                <w:b/>
                <w:sz w:val="17"/>
              </w:rPr>
              <w:t>Artefacto</w:t>
            </w:r>
          </w:p>
        </w:tc>
        <w:tc>
          <w:tcPr>
            <w:tcW w:w="1050" w:type="dxa"/>
            <w:shd w:val="clear" w:color="auto" w:fill="DDEBF7"/>
            <w:tcMar>
              <w:top w:w="60" w:type="dxa"/>
              <w:left w:w="100" w:type="dxa"/>
              <w:bottom w:w="60" w:type="dxa"/>
              <w:right w:w="100" w:type="dxa"/>
            </w:tcMar>
          </w:tcPr>
          <w:p>
            <w:pPr>
              <w:spacing w:after="0" w:line="260" w:lineRule="auto"/>
            </w:pPr>
            <w:r>
              <w:rPr>
                <w:b/>
                <w:sz w:val="17"/>
              </w:rPr>
              <w:t>Cuándo</w:t>
            </w:r>
          </w:p>
        </w:tc>
        <w:tc>
          <w:tcPr>
            <w:tcW w:w="2050" w:type="dxa"/>
            <w:shd w:val="clear" w:color="auto" w:fill="DDEBF7"/>
            <w:tcMar>
              <w:top w:w="60" w:type="dxa"/>
              <w:left w:w="100" w:type="dxa"/>
              <w:bottom w:w="60" w:type="dxa"/>
              <w:right w:w="100" w:type="dxa"/>
            </w:tcMar>
          </w:tcPr>
          <w:p>
            <w:pPr>
              <w:spacing w:after="0" w:line="260" w:lineRule="auto"/>
            </w:pPr>
            <w:r>
              <w:rPr>
                <w:b/>
                <w:sz w:val="17"/>
              </w:rPr>
              <w:t>Quién revisa</w:t>
            </w:r>
          </w:p>
        </w:tc>
        <w:tc>
          <w:tcPr>
            <w:tcW w:w="2380" w:type="dxa"/>
            <w:shd w:val="clear" w:color="auto" w:fill="DDEBF7"/>
            <w:tcMar>
              <w:top w:w="60" w:type="dxa"/>
              <w:left w:w="100" w:type="dxa"/>
              <w:bottom w:w="60" w:type="dxa"/>
              <w:right w:w="100" w:type="dxa"/>
            </w:tcMar>
          </w:tcPr>
          <w:p>
            <w:pPr>
              <w:spacing w:after="0" w:line="260" w:lineRule="auto"/>
            </w:pPr>
            <w:r>
              <w:rPr>
                <w:b/>
                <w:sz w:val="17"/>
              </w:rPr>
              <w:t>Lista de verificación</w:t>
            </w:r>
          </w:p>
        </w:tc>
        <w:tc>
          <w:tcPr>
            <w:tcW w:w="1750" w:type="dxa"/>
            <w:shd w:val="clear" w:color="auto" w:fill="DDEBF7"/>
            <w:tcMar>
              <w:top w:w="60" w:type="dxa"/>
              <w:left w:w="100" w:type="dxa"/>
              <w:bottom w:w="60" w:type="dxa"/>
              <w:right w:w="100" w:type="dxa"/>
            </w:tcMar>
          </w:tcPr>
          <w:p>
            <w:pPr>
              <w:spacing w:after="0" w:line="260" w:lineRule="auto"/>
            </w:pPr>
            <w:r>
              <w:rPr>
                <w:b/>
                <w:sz w:val="17"/>
              </w:rPr>
              <w:t>Criterio de aceptación</w:t>
            </w:r>
          </w:p>
        </w:tc>
      </w:tr>
      <w:tr>
        <w:trPr>
          <w:cantSplit/>
        </w:trPr>
        <w:tc>
          <w:tcPr>
            <w:tcW w:w="1500" w:type="dxa"/>
            <w:tcMar>
              <w:top w:w="60" w:type="dxa"/>
              <w:left w:w="100" w:type="dxa"/>
              <w:bottom w:w="60" w:type="dxa"/>
              <w:right w:w="100" w:type="dxa"/>
            </w:tcMar>
            <w:vAlign w:val="center"/>
          </w:tcPr>
          <w:p>
            <w:pPr>
              <w:spacing w:after="0" w:line="260" w:lineRule="auto"/>
            </w:pPr>
            <w:r>
              <w:rPr>
                <w:sz w:val="17"/>
              </w:rPr>
              <w:t>Revisión de requerimientos e inspección Fagan del SRS</w:t>
            </w:r>
          </w:p>
        </w:tc>
        <w:tc>
          <w:tcPr>
            <w:tcW w:w="1350" w:type="dxa"/>
            <w:tcMar>
              <w:top w:w="60" w:type="dxa"/>
              <w:left w:w="100" w:type="dxa"/>
              <w:bottom w:w="60" w:type="dxa"/>
              <w:right w:w="100" w:type="dxa"/>
            </w:tcMar>
            <w:vAlign w:val="center"/>
          </w:tcPr>
          <w:p>
            <w:pPr>
              <w:spacing w:after="0" w:line="260" w:lineRule="auto"/>
            </w:pPr>
            <w:r>
              <w:rPr>
                <w:sz w:val="17"/>
              </w:rPr>
              <w:t>SRS, backlog y tabla de casos de cálculo</w:t>
            </w:r>
          </w:p>
        </w:tc>
        <w:tc>
          <w:tcPr>
            <w:tcW w:w="1050" w:type="dxa"/>
            <w:tcMar>
              <w:top w:w="60" w:type="dxa"/>
              <w:left w:w="100" w:type="dxa"/>
              <w:bottom w:w="60" w:type="dxa"/>
              <w:right w:w="100" w:type="dxa"/>
            </w:tcMar>
            <w:vAlign w:val="center"/>
          </w:tcPr>
          <w:p>
            <w:pPr>
              <w:spacing w:after="0" w:line="260" w:lineRule="auto"/>
            </w:pPr>
            <w:r>
              <w:rPr>
                <w:sz w:val="17"/>
              </w:rPr>
              <w:t>Semana 1, días 1 y 2</w:t>
            </w:r>
          </w:p>
        </w:tc>
        <w:tc>
          <w:tcPr>
            <w:tcW w:w="2050" w:type="dxa"/>
            <w:tcMar>
              <w:top w:w="60" w:type="dxa"/>
              <w:left w:w="100" w:type="dxa"/>
              <w:bottom w:w="60" w:type="dxa"/>
              <w:right w:w="100" w:type="dxa"/>
            </w:tcMar>
            <w:vAlign w:val="center"/>
          </w:tcPr>
          <w:p>
            <w:pPr>
              <w:spacing w:after="0" w:line="260" w:lineRule="auto"/>
            </w:pPr>
            <w:r>
              <w:rPr>
                <w:sz w:val="17"/>
              </w:rPr>
              <w:t>Moderador y escriba: Galvan. Inspectores: profesor del cliente y un integrante de otro equipo. Autor: Lujan (responde, no aprueba).</w:t>
            </w:r>
          </w:p>
        </w:tc>
        <w:tc>
          <w:tcPr>
            <w:tcW w:w="2380" w:type="dxa"/>
            <w:tcMar>
              <w:top w:w="60" w:type="dxa"/>
              <w:left w:w="100" w:type="dxa"/>
              <w:bottom w:w="60" w:type="dxa"/>
              <w:right w:w="100" w:type="dxa"/>
            </w:tcMar>
            <w:vAlign w:val="center"/>
          </w:tcPr>
          <w:p>
            <w:pPr>
              <w:spacing w:after="0" w:line="260" w:lineRule="auto"/>
            </w:pPr>
            <w:r>
              <w:rPr>
                <w:sz w:val="17"/>
              </w:rPr>
              <w:t>Cada historia con criterios Dado/Cuando/Entonces; cada RNF con métrica y valor; reglas de la RM 001/2026 con casos de ejemplo; términos del glosario; 0 ❓ abiertos.</w:t>
            </w:r>
          </w:p>
        </w:tc>
        <w:tc>
          <w:tcPr>
            <w:tcW w:w="1750" w:type="dxa"/>
            <w:tcMar>
              <w:top w:w="60" w:type="dxa"/>
              <w:left w:w="100" w:type="dxa"/>
              <w:bottom w:w="60" w:type="dxa"/>
              <w:right w:w="100" w:type="dxa"/>
            </w:tcMar>
            <w:vAlign w:val="center"/>
          </w:tcPr>
          <w:p>
            <w:pPr>
              <w:spacing w:after="0" w:line="260" w:lineRule="auto"/>
            </w:pPr>
            <w:r>
              <w:rPr>
                <w:sz w:val="17"/>
              </w:rPr>
              <w:t>Acta firmada por el cliente; 0 defectos mayores abiertos; tabla de casos firmada.</w:t>
            </w:r>
          </w:p>
        </w:tc>
      </w:tr>
      <w:tr>
        <w:trPr>
          <w:cantSplit/>
        </w:trPr>
        <w:tc>
          <w:tcPr>
            <w:tcW w:w="1500" w:type="dxa"/>
            <w:tcMar>
              <w:top w:w="60" w:type="dxa"/>
              <w:left w:w="100" w:type="dxa"/>
              <w:bottom w:w="60" w:type="dxa"/>
              <w:right w:w="100" w:type="dxa"/>
            </w:tcMar>
            <w:vAlign w:val="center"/>
          </w:tcPr>
          <w:p>
            <w:pPr>
              <w:spacing w:after="0" w:line="260" w:lineRule="auto"/>
            </w:pPr>
            <w:r>
              <w:rPr>
                <w:sz w:val="17"/>
              </w:rPr>
              <w:t>Inspección Fagan del SAD</w:t>
            </w:r>
          </w:p>
        </w:tc>
        <w:tc>
          <w:tcPr>
            <w:tcW w:w="1350" w:type="dxa"/>
            <w:tcMar>
              <w:top w:w="60" w:type="dxa"/>
              <w:left w:w="100" w:type="dxa"/>
              <w:bottom w:w="60" w:type="dxa"/>
              <w:right w:w="100" w:type="dxa"/>
            </w:tcMar>
            <w:vAlign w:val="center"/>
          </w:tcPr>
          <w:p>
            <w:pPr>
              <w:spacing w:after="0" w:line="260" w:lineRule="auto"/>
            </w:pPr>
            <w:r>
              <w:rPr>
                <w:sz w:val="17"/>
              </w:rPr>
              <w:t>SAD y ADR</w:t>
            </w:r>
          </w:p>
        </w:tc>
        <w:tc>
          <w:tcPr>
            <w:tcW w:w="1050" w:type="dxa"/>
            <w:tcMar>
              <w:top w:w="60" w:type="dxa"/>
              <w:left w:w="100" w:type="dxa"/>
              <w:bottom w:w="60" w:type="dxa"/>
              <w:right w:w="100" w:type="dxa"/>
            </w:tcMar>
            <w:vAlign w:val="center"/>
          </w:tcPr>
          <w:p>
            <w:pPr>
              <w:spacing w:after="0" w:line="260" w:lineRule="auto"/>
            </w:pPr>
            <w:r>
              <w:rPr>
                <w:sz w:val="17"/>
              </w:rPr>
              <w:t>Semana 1, día 2</w:t>
            </w:r>
          </w:p>
        </w:tc>
        <w:tc>
          <w:tcPr>
            <w:tcW w:w="2050" w:type="dxa"/>
            <w:tcMar>
              <w:top w:w="60" w:type="dxa"/>
              <w:left w:w="100" w:type="dxa"/>
              <w:bottom w:w="60" w:type="dxa"/>
              <w:right w:w="100" w:type="dxa"/>
            </w:tcMar>
            <w:vAlign w:val="center"/>
          </w:tcPr>
          <w:p>
            <w:pPr>
              <w:spacing w:after="0" w:line="260" w:lineRule="auto"/>
            </w:pPr>
            <w:r>
              <w:rPr>
                <w:sz w:val="17"/>
              </w:rPr>
              <w:t>Moderador y escriba: Galvan. Lector e inspector: integrante de otro equipo. Autor: Lujan.</w:t>
            </w:r>
          </w:p>
        </w:tc>
        <w:tc>
          <w:tcPr>
            <w:tcW w:w="2380" w:type="dxa"/>
            <w:tcMar>
              <w:top w:w="60" w:type="dxa"/>
              <w:left w:w="100" w:type="dxa"/>
              <w:bottom w:w="60" w:type="dxa"/>
              <w:right w:w="100" w:type="dxa"/>
            </w:tcMar>
            <w:vAlign w:val="center"/>
          </w:tcPr>
          <w:p>
            <w:pPr>
              <w:spacing w:after="0" w:line="260" w:lineRule="auto"/>
            </w:pPr>
            <w:r>
              <w:rPr>
                <w:sz w:val="17"/>
              </w:rPr>
              <w:t>Modelo de datos normalizado con índices para notas y boletines; módulos críticos aislados; cola para PDF; guards de autorización; respaldos; secretos fuera del código.</w:t>
            </w:r>
          </w:p>
        </w:tc>
        <w:tc>
          <w:tcPr>
            <w:tcW w:w="1750" w:type="dxa"/>
            <w:tcMar>
              <w:top w:w="60" w:type="dxa"/>
              <w:left w:w="100" w:type="dxa"/>
              <w:bottom w:w="60" w:type="dxa"/>
              <w:right w:w="100" w:type="dxa"/>
            </w:tcMar>
            <w:vAlign w:val="center"/>
          </w:tcPr>
          <w:p>
            <w:pPr>
              <w:spacing w:after="0" w:line="260" w:lineRule="auto"/>
            </w:pPr>
            <w:r>
              <w:rPr>
                <w:sz w:val="17"/>
              </w:rPr>
              <w:t xml:space="preserve">0 defectos mayores abiertos; acta en </w:t>
            </w:r>
            <w:r>
              <w:rPr>
                <w:rFonts w:ascii="Consolas" w:hAnsi="Consolas" w:cs="Consolas"/>
                <w:sz w:val="16"/>
              </w:rPr>
              <w:t>docs/actas/</w:t>
            </w:r>
            <w:r>
              <w:rPr>
                <w:sz w:val="17"/>
              </w:rPr>
              <w:t>.</w:t>
            </w:r>
          </w:p>
        </w:tc>
      </w:tr>
      <w:tr>
        <w:trPr>
          <w:cantSplit/>
        </w:trPr>
        <w:tc>
          <w:tcPr>
            <w:tcW w:w="1500" w:type="dxa"/>
            <w:tcMar>
              <w:top w:w="60" w:type="dxa"/>
              <w:left w:w="100" w:type="dxa"/>
              <w:bottom w:w="60" w:type="dxa"/>
              <w:right w:w="100" w:type="dxa"/>
            </w:tcMar>
            <w:vAlign w:val="center"/>
          </w:tcPr>
          <w:p>
            <w:pPr>
              <w:spacing w:after="0" w:line="260" w:lineRule="auto"/>
            </w:pPr>
            <w:r>
              <w:rPr>
                <w:sz w:val="17"/>
              </w:rPr>
              <w:t>Revisión de diseño detallado</w:t>
            </w:r>
          </w:p>
        </w:tc>
        <w:tc>
          <w:tcPr>
            <w:tcW w:w="1350" w:type="dxa"/>
            <w:tcMar>
              <w:top w:w="60" w:type="dxa"/>
              <w:left w:w="100" w:type="dxa"/>
              <w:bottom w:w="60" w:type="dxa"/>
              <w:right w:w="100" w:type="dxa"/>
            </w:tcMar>
            <w:vAlign w:val="center"/>
          </w:tcPr>
          <w:p>
            <w:pPr>
              <w:spacing w:after="0" w:line="260" w:lineRule="auto"/>
            </w:pPr>
            <w:r>
              <w:rPr>
                <w:sz w:val="17"/>
              </w:rPr>
              <w:t>Diseño de US-04 y US-05 (semana 2); de la cola de boletines de US-07 (semana 3)</w:t>
            </w:r>
          </w:p>
        </w:tc>
        <w:tc>
          <w:tcPr>
            <w:tcW w:w="1050" w:type="dxa"/>
            <w:tcMar>
              <w:top w:w="60" w:type="dxa"/>
              <w:left w:w="100" w:type="dxa"/>
              <w:bottom w:w="60" w:type="dxa"/>
              <w:right w:w="100" w:type="dxa"/>
            </w:tcMar>
            <w:vAlign w:val="center"/>
          </w:tcPr>
          <w:p>
            <w:pPr>
              <w:spacing w:after="0" w:line="260" w:lineRule="auto"/>
            </w:pPr>
            <w:r>
              <w:rPr>
                <w:sz w:val="17"/>
              </w:rPr>
              <w:t>Día 1 del sprint</w:t>
            </w:r>
          </w:p>
        </w:tc>
        <w:tc>
          <w:tcPr>
            <w:tcW w:w="2050" w:type="dxa"/>
            <w:tcMar>
              <w:top w:w="60" w:type="dxa"/>
              <w:left w:w="100" w:type="dxa"/>
              <w:bottom w:w="60" w:type="dxa"/>
              <w:right w:w="100" w:type="dxa"/>
            </w:tcMar>
            <w:vAlign w:val="center"/>
          </w:tcPr>
          <w:p>
            <w:pPr>
              <w:spacing w:after="0" w:line="260" w:lineRule="auto"/>
            </w:pPr>
            <w:r>
              <w:rPr>
                <w:sz w:val="17"/>
              </w:rPr>
              <w:t>Galvan (autor: Lujan)</w:t>
            </w:r>
          </w:p>
        </w:tc>
        <w:tc>
          <w:tcPr>
            <w:tcW w:w="2380" w:type="dxa"/>
            <w:tcMar>
              <w:top w:w="60" w:type="dxa"/>
              <w:left w:w="100" w:type="dxa"/>
              <w:bottom w:w="60" w:type="dxa"/>
              <w:right w:w="100" w:type="dxa"/>
            </w:tcMar>
            <w:vAlign w:val="center"/>
          </w:tcPr>
          <w:p>
            <w:pPr>
              <w:spacing w:after="0" w:line="260" w:lineRule="auto"/>
            </w:pPr>
            <w:r>
              <w:rPr>
                <w:sz w:val="17"/>
              </w:rPr>
              <w:t>Transacciones y auditoría de solo inserción; validación por fila de la importación; reintentos y aviso de la cola; pruebas previstas por criterio.</w:t>
            </w:r>
          </w:p>
        </w:tc>
        <w:tc>
          <w:tcPr>
            <w:tcW w:w="1750" w:type="dxa"/>
            <w:tcMar>
              <w:top w:w="60" w:type="dxa"/>
              <w:left w:w="100" w:type="dxa"/>
              <w:bottom w:w="60" w:type="dxa"/>
              <w:right w:w="100" w:type="dxa"/>
            </w:tcMar>
            <w:vAlign w:val="center"/>
          </w:tcPr>
          <w:p>
            <w:pPr>
              <w:spacing w:after="0" w:line="260" w:lineRule="auto"/>
            </w:pPr>
            <w:r>
              <w:rPr>
                <w:sz w:val="17"/>
              </w:rPr>
              <w:t>Acta con decisiones; ningún hallazgo mayor abierto al iniciar la construcción.</w:t>
            </w:r>
          </w:p>
        </w:tc>
      </w:tr>
      <w:tr>
        <w:trPr>
          <w:cantSplit/>
        </w:trPr>
        <w:tc>
          <w:tcPr>
            <w:tcW w:w="1500" w:type="dxa"/>
            <w:tcMar>
              <w:top w:w="60" w:type="dxa"/>
              <w:left w:w="100" w:type="dxa"/>
              <w:bottom w:w="60" w:type="dxa"/>
              <w:right w:w="100" w:type="dxa"/>
            </w:tcMar>
            <w:vAlign w:val="center"/>
          </w:tcPr>
          <w:p>
            <w:pPr>
              <w:spacing w:after="0" w:line="260" w:lineRule="auto"/>
            </w:pPr>
            <w:r>
              <w:rPr>
                <w:sz w:val="17"/>
              </w:rPr>
              <w:t>Revisión de código</w:t>
            </w:r>
          </w:p>
        </w:tc>
        <w:tc>
          <w:tcPr>
            <w:tcW w:w="1350" w:type="dxa"/>
            <w:tcMar>
              <w:top w:w="60" w:type="dxa"/>
              <w:left w:w="100" w:type="dxa"/>
              <w:bottom w:w="60" w:type="dxa"/>
              <w:right w:w="100" w:type="dxa"/>
            </w:tcMar>
            <w:vAlign w:val="center"/>
          </w:tcPr>
          <w:p>
            <w:pPr>
              <w:spacing w:after="0" w:line="260" w:lineRule="auto"/>
            </w:pPr>
            <w:r>
              <w:rPr>
                <w:sz w:val="17"/>
              </w:rPr>
              <w:t>Todo commit en develop; el PR de release develop → main</w:t>
            </w:r>
          </w:p>
        </w:tc>
        <w:tc>
          <w:tcPr>
            <w:tcW w:w="1050" w:type="dxa"/>
            <w:tcMar>
              <w:top w:w="60" w:type="dxa"/>
              <w:left w:w="100" w:type="dxa"/>
              <w:bottom w:w="60" w:type="dxa"/>
              <w:right w:w="100" w:type="dxa"/>
            </w:tcMar>
            <w:vAlign w:val="center"/>
          </w:tcPr>
          <w:p>
            <w:pPr>
              <w:spacing w:after="0" w:line="260" w:lineRule="auto"/>
            </w:pPr>
            <w:r>
              <w:rPr>
                <w:sz w:val="17"/>
              </w:rPr>
              <w:t>1 día hábil después del push; en cada PR de release</w:t>
            </w:r>
          </w:p>
        </w:tc>
        <w:tc>
          <w:tcPr>
            <w:tcW w:w="2050" w:type="dxa"/>
            <w:tcMar>
              <w:top w:w="60" w:type="dxa"/>
              <w:left w:w="100" w:type="dxa"/>
              <w:bottom w:w="60" w:type="dxa"/>
              <w:right w:w="100" w:type="dxa"/>
            </w:tcMar>
            <w:vAlign w:val="center"/>
          </w:tcPr>
          <w:p>
            <w:pPr>
              <w:spacing w:after="0" w:line="260" w:lineRule="auto"/>
            </w:pPr>
            <w:r>
              <w:rPr>
                <w:sz w:val="17"/>
              </w:rPr>
              <w:t>Módulos críticos y API: Galvan. Interfaz, CI y scripts de prueba: Lujan. Nadie aprueba su propio código.</w:t>
            </w:r>
          </w:p>
        </w:tc>
        <w:tc>
          <w:tcPr>
            <w:tcW w:w="2380" w:type="dxa"/>
            <w:tcMar>
              <w:top w:w="60" w:type="dxa"/>
              <w:left w:w="100" w:type="dxa"/>
              <w:bottom w:w="60" w:type="dxa"/>
              <w:right w:w="100" w:type="dxa"/>
            </w:tcMar>
            <w:vAlign w:val="center"/>
          </w:tcPr>
          <w:p>
            <w:pPr>
              <w:spacing w:after="0" w:line="260" w:lineRule="auto"/>
            </w:pPr>
            <w:r>
              <w:rPr>
                <w:sz w:val="17"/>
              </w:rPr>
              <w:t>Build de Jenkins en verde; DoD; pruebas nuevas para cada criterio tocado; sin secretos; nombres según la Sección 5.</w:t>
            </w:r>
          </w:p>
        </w:tc>
        <w:tc>
          <w:tcPr>
            <w:tcW w:w="1750" w:type="dxa"/>
            <w:tcMar>
              <w:top w:w="60" w:type="dxa"/>
              <w:left w:w="100" w:type="dxa"/>
              <w:bottom w:w="60" w:type="dxa"/>
              <w:right w:w="100" w:type="dxa"/>
            </w:tcMar>
            <w:vAlign w:val="center"/>
          </w:tcPr>
          <w:p>
            <w:pPr>
              <w:spacing w:after="0" w:line="260" w:lineRule="auto"/>
            </w:pPr>
            <w:r>
              <w:rPr>
                <w:sz w:val="17"/>
              </w:rPr>
              <w:t>Comentario de revisión en el commit; PR de release aprobado (ADR-0008).</w:t>
            </w:r>
          </w:p>
        </w:tc>
      </w:tr>
      <w:tr>
        <w:trPr>
          <w:cantSplit/>
        </w:trPr>
        <w:tc>
          <w:tcPr>
            <w:tcW w:w="1500" w:type="dxa"/>
            <w:tcMar>
              <w:top w:w="60" w:type="dxa"/>
              <w:left w:w="100" w:type="dxa"/>
              <w:bottom w:w="60" w:type="dxa"/>
              <w:right w:w="100" w:type="dxa"/>
            </w:tcMar>
            <w:vAlign w:val="center"/>
          </w:tcPr>
          <w:p>
            <w:pPr>
              <w:spacing w:after="0" w:line="260" w:lineRule="auto"/>
            </w:pPr>
            <w:r>
              <w:rPr>
                <w:sz w:val="17"/>
              </w:rPr>
              <w:t>Revisión del sprint (demo)</w:t>
            </w:r>
          </w:p>
        </w:tc>
        <w:tc>
          <w:tcPr>
            <w:tcW w:w="1350" w:type="dxa"/>
            <w:tcMar>
              <w:top w:w="60" w:type="dxa"/>
              <w:left w:w="100" w:type="dxa"/>
              <w:bottom w:w="60" w:type="dxa"/>
              <w:right w:w="100" w:type="dxa"/>
            </w:tcMar>
            <w:vAlign w:val="center"/>
          </w:tcPr>
          <w:p>
            <w:pPr>
              <w:spacing w:after="0" w:line="260" w:lineRule="auto"/>
            </w:pPr>
            <w:r>
              <w:rPr>
                <w:sz w:val="17"/>
              </w:rPr>
              <w:t>Incremento en staging</w:t>
            </w:r>
          </w:p>
        </w:tc>
        <w:tc>
          <w:tcPr>
            <w:tcW w:w="1050" w:type="dxa"/>
            <w:tcMar>
              <w:top w:w="60" w:type="dxa"/>
              <w:left w:w="100" w:type="dxa"/>
              <w:bottom w:w="60" w:type="dxa"/>
              <w:right w:w="100" w:type="dxa"/>
            </w:tcMar>
            <w:vAlign w:val="center"/>
          </w:tcPr>
          <w:p>
            <w:pPr>
              <w:spacing w:after="0" w:line="260" w:lineRule="auto"/>
            </w:pPr>
            <w:r>
              <w:rPr>
                <w:sz w:val="17"/>
              </w:rPr>
              <w:t>Día 5 de cada sprint</w:t>
            </w:r>
          </w:p>
        </w:tc>
        <w:tc>
          <w:tcPr>
            <w:tcW w:w="2050" w:type="dxa"/>
            <w:tcMar>
              <w:top w:w="60" w:type="dxa"/>
              <w:left w:w="100" w:type="dxa"/>
              <w:bottom w:w="60" w:type="dxa"/>
              <w:right w:w="100" w:type="dxa"/>
            </w:tcMar>
            <w:vAlign w:val="center"/>
          </w:tcPr>
          <w:p>
            <w:pPr>
              <w:spacing w:after="0" w:line="260" w:lineRule="auto"/>
            </w:pPr>
            <w:r>
              <w:rPr>
                <w:sz w:val="17"/>
              </w:rPr>
              <w:t>Cliente (directora y profesora) con el equipo</w:t>
            </w:r>
          </w:p>
        </w:tc>
        <w:tc>
          <w:tcPr>
            <w:tcW w:w="2380" w:type="dxa"/>
            <w:tcMar>
              <w:top w:w="60" w:type="dxa"/>
              <w:left w:w="100" w:type="dxa"/>
              <w:bottom w:w="60" w:type="dxa"/>
              <w:right w:w="100" w:type="dxa"/>
            </w:tcMar>
            <w:vAlign w:val="center"/>
          </w:tcPr>
          <w:p>
            <w:pPr>
              <w:spacing w:after="0" w:line="260" w:lineRule="auto"/>
            </w:pPr>
            <w:r>
              <w:rPr>
                <w:sz w:val="17"/>
              </w:rPr>
              <w:t>Cada historia del sprint contra sus criterios de aceptación.</w:t>
            </w:r>
          </w:p>
        </w:tc>
        <w:tc>
          <w:tcPr>
            <w:tcW w:w="1750" w:type="dxa"/>
            <w:tcMar>
              <w:top w:w="60" w:type="dxa"/>
              <w:left w:w="100" w:type="dxa"/>
              <w:bottom w:w="60" w:type="dxa"/>
              <w:right w:w="100" w:type="dxa"/>
            </w:tcMar>
            <w:vAlign w:val="center"/>
          </w:tcPr>
          <w:p>
            <w:pPr>
              <w:spacing w:after="0" w:line="260" w:lineRule="auto"/>
            </w:pPr>
            <w:r>
              <w:rPr>
                <w:sz w:val="17"/>
              </w:rPr>
              <w:t>Acta con las historias aceptadas y los cambios solicitados.</w:t>
            </w:r>
          </w:p>
        </w:tc>
      </w:tr>
      <w:tr>
        <w:trPr>
          <w:cantSplit/>
        </w:trPr>
        <w:tc>
          <w:tcPr>
            <w:tcW w:w="1500" w:type="dxa"/>
            <w:tcMar>
              <w:top w:w="60" w:type="dxa"/>
              <w:left w:w="100" w:type="dxa"/>
              <w:bottom w:w="60" w:type="dxa"/>
              <w:right w:w="100" w:type="dxa"/>
            </w:tcMar>
            <w:vAlign w:val="center"/>
          </w:tcPr>
          <w:p>
            <w:pPr>
              <w:spacing w:after="0" w:line="260" w:lineRule="auto"/>
            </w:pPr>
            <w:r>
              <w:rPr>
                <w:sz w:val="17"/>
              </w:rPr>
              <w:t>Auditoría de cierre de sprint</w:t>
            </w:r>
          </w:p>
        </w:tc>
        <w:tc>
          <w:tcPr>
            <w:tcW w:w="1350" w:type="dxa"/>
            <w:tcMar>
              <w:top w:w="60" w:type="dxa"/>
              <w:left w:w="100" w:type="dxa"/>
              <w:bottom w:w="60" w:type="dxa"/>
              <w:right w:w="100" w:type="dxa"/>
            </w:tcMar>
            <w:vAlign w:val="center"/>
          </w:tcPr>
          <w:p>
            <w:pPr>
              <w:spacing w:after="0" w:line="260" w:lineRule="auto"/>
            </w:pPr>
            <w:r>
              <w:rPr>
                <w:sz w:val="17"/>
              </w:rPr>
              <w:t>Informe de pruebas, evidencias y SQAP</w:t>
            </w:r>
          </w:p>
        </w:tc>
        <w:tc>
          <w:tcPr>
            <w:tcW w:w="1050" w:type="dxa"/>
            <w:tcMar>
              <w:top w:w="60" w:type="dxa"/>
              <w:left w:w="100" w:type="dxa"/>
              <w:bottom w:w="60" w:type="dxa"/>
              <w:right w:w="100" w:type="dxa"/>
            </w:tcMar>
            <w:vAlign w:val="center"/>
          </w:tcPr>
          <w:p>
            <w:pPr>
              <w:spacing w:after="0" w:line="260" w:lineRule="auto"/>
            </w:pPr>
            <w:r>
              <w:rPr>
                <w:sz w:val="17"/>
              </w:rPr>
              <w:t>Día 5 de cada sprint</w:t>
            </w:r>
          </w:p>
        </w:tc>
        <w:tc>
          <w:tcPr>
            <w:tcW w:w="2050" w:type="dxa"/>
            <w:tcMar>
              <w:top w:w="60" w:type="dxa"/>
              <w:left w:w="100" w:type="dxa"/>
              <w:bottom w:w="60" w:type="dxa"/>
              <w:right w:w="100" w:type="dxa"/>
            </w:tcMar>
            <w:vAlign w:val="center"/>
          </w:tcPr>
          <w:p>
            <w:pPr>
              <w:spacing w:after="0" w:line="260" w:lineRule="auto"/>
            </w:pPr>
            <w:r>
              <w:rPr>
                <w:sz w:val="17"/>
              </w:rPr>
              <w:t>Galvan audita los artefactos de desarrollo; Lujan audita las evidencias de prueba que produjo Galvan.</w:t>
            </w:r>
          </w:p>
        </w:tc>
        <w:tc>
          <w:tcPr>
            <w:tcW w:w="2380" w:type="dxa"/>
            <w:tcMar>
              <w:top w:w="60" w:type="dxa"/>
              <w:left w:w="100" w:type="dxa"/>
              <w:bottom w:w="60" w:type="dxa"/>
              <w:right w:w="100" w:type="dxa"/>
            </w:tcMar>
            <w:vAlign w:val="center"/>
          </w:tcPr>
          <w:p>
            <w:pPr>
              <w:spacing w:after="0" w:line="260" w:lineRule="auto"/>
            </w:pPr>
            <w:r>
              <w:rPr>
                <w:sz w:val="17"/>
              </w:rPr>
              <w:t>Siete indicadores del plan verificable y doce del build sano (Tabla 14); M01 a M16 con evidencia.</w:t>
            </w:r>
          </w:p>
        </w:tc>
        <w:tc>
          <w:tcPr>
            <w:tcW w:w="1750" w:type="dxa"/>
            <w:tcMar>
              <w:top w:w="60" w:type="dxa"/>
              <w:left w:w="100" w:type="dxa"/>
              <w:bottom w:w="60" w:type="dxa"/>
              <w:right w:w="100" w:type="dxa"/>
            </w:tcMar>
            <w:vAlign w:val="center"/>
          </w:tcPr>
          <w:p>
            <w:pPr>
              <w:spacing w:after="0" w:line="260" w:lineRule="auto"/>
            </w:pPr>
            <w:r>
              <w:rPr>
                <w:sz w:val="17"/>
              </w:rPr>
              <w:t>Acta firmada por ambos; hallazgos como issues con responsable.</w:t>
            </w:r>
          </w:p>
        </w:tc>
      </w:tr>
      <w:tr>
        <w:trPr>
          <w:cantSplit/>
        </w:trPr>
        <w:tc>
          <w:tcPr>
            <w:tcW w:w="1500" w:type="dxa"/>
            <w:tcMar>
              <w:top w:w="60" w:type="dxa"/>
              <w:left w:w="100" w:type="dxa"/>
              <w:bottom w:w="60" w:type="dxa"/>
              <w:right w:w="100" w:type="dxa"/>
            </w:tcMar>
            <w:vAlign w:val="center"/>
          </w:tcPr>
          <w:p>
            <w:pPr>
              <w:spacing w:after="0" w:line="260" w:lineRule="auto"/>
            </w:pPr>
            <w:r>
              <w:rPr>
                <w:sz w:val="17"/>
              </w:rPr>
              <w:t>Auditoría final</w:t>
            </w:r>
          </w:p>
        </w:tc>
        <w:tc>
          <w:tcPr>
            <w:tcW w:w="1350" w:type="dxa"/>
            <w:tcMar>
              <w:top w:w="60" w:type="dxa"/>
              <w:left w:w="100" w:type="dxa"/>
              <w:bottom w:w="60" w:type="dxa"/>
              <w:right w:w="100" w:type="dxa"/>
            </w:tcMar>
            <w:vAlign w:val="center"/>
          </w:tcPr>
          <w:p>
            <w:pPr>
              <w:spacing w:after="0" w:line="260" w:lineRule="auto"/>
            </w:pPr>
            <w:r>
              <w:rPr>
                <w:sz w:val="17"/>
              </w:rPr>
              <w:t>SQAP, evidencias y release candidate RC2</w:t>
            </w:r>
          </w:p>
        </w:tc>
        <w:tc>
          <w:tcPr>
            <w:tcW w:w="1050" w:type="dxa"/>
            <w:tcMar>
              <w:top w:w="60" w:type="dxa"/>
              <w:left w:w="100" w:type="dxa"/>
              <w:bottom w:w="60" w:type="dxa"/>
              <w:right w:w="100" w:type="dxa"/>
            </w:tcMar>
            <w:vAlign w:val="center"/>
          </w:tcPr>
          <w:p>
            <w:pPr>
              <w:spacing w:after="0" w:line="260" w:lineRule="auto"/>
            </w:pPr>
            <w:r>
              <w:rPr>
                <w:sz w:val="17"/>
              </w:rPr>
              <w:t>Semana 4, día 5</w:t>
            </w:r>
          </w:p>
        </w:tc>
        <w:tc>
          <w:tcPr>
            <w:tcW w:w="2050" w:type="dxa"/>
            <w:tcMar>
              <w:top w:w="60" w:type="dxa"/>
              <w:left w:w="100" w:type="dxa"/>
              <w:bottom w:w="60" w:type="dxa"/>
              <w:right w:w="100" w:type="dxa"/>
            </w:tcMar>
            <w:vAlign w:val="center"/>
          </w:tcPr>
          <w:p>
            <w:pPr>
              <w:spacing w:after="0" w:line="260" w:lineRule="auto"/>
            </w:pPr>
            <w:r>
              <w:rPr>
                <w:sz w:val="17"/>
              </w:rPr>
              <w:t>Igual que la auditoría de cierre, más el docente como observador</w:t>
            </w:r>
          </w:p>
        </w:tc>
        <w:tc>
          <w:tcPr>
            <w:tcW w:w="2380" w:type="dxa"/>
            <w:tcMar>
              <w:top w:w="60" w:type="dxa"/>
              <w:left w:w="100" w:type="dxa"/>
              <w:bottom w:w="60" w:type="dxa"/>
              <w:right w:w="100" w:type="dxa"/>
            </w:tcMar>
            <w:vAlign w:val="center"/>
          </w:tcPr>
          <w:p>
            <w:pPr>
              <w:spacing w:after="0" w:line="260" w:lineRule="auto"/>
            </w:pPr>
            <w:r>
              <w:rPr>
                <w:sz w:val="17"/>
              </w:rPr>
              <w:t>Igual que la auditoría de cierre, más la autoevaluación del Anexo E.</w:t>
            </w:r>
          </w:p>
        </w:tc>
        <w:tc>
          <w:tcPr>
            <w:tcW w:w="1750" w:type="dxa"/>
            <w:tcMar>
              <w:top w:w="60" w:type="dxa"/>
              <w:left w:w="100" w:type="dxa"/>
              <w:bottom w:w="60" w:type="dxa"/>
              <w:right w:w="100" w:type="dxa"/>
            </w:tcMar>
            <w:vAlign w:val="center"/>
          </w:tcPr>
          <w:p>
            <w:pPr>
              <w:spacing w:after="0" w:line="260" w:lineRule="auto"/>
            </w:pPr>
            <w:r>
              <w:rPr>
                <w:sz w:val="17"/>
              </w:rPr>
              <w:t>Release v1.0 aprobado según la RACI.</w:t>
            </w:r>
          </w:p>
        </w:tc>
      </w:tr>
    </w:tbl>
    <w:p>
      <w:pPr>
        <w:spacing w:after="60" w:line="276" w:lineRule="auto"/>
      </w:pPr>
    </w:p>
    <w:p>
      <w:pPr>
        <w:pStyle w:val="Ttulo2"/>
      </w:pPr>
      <w:r>
        <w:t>6.1 Inspección formal tipo Fagan (IEEE 1028)</w:t>
      </w:r>
    </w:p>
    <w:p>
      <w:pPr>
        <w:keepNext/>
        <w:spacing w:before="120" w:after="80" w:line="276" w:lineRule="auto"/>
      </w:pPr>
      <w:r>
        <w:rPr>
          <w:b/>
          <w:color w:val="1F4E79"/>
          <w:sz w:val="19"/>
        </w:rPr>
        <w:t xml:space="preserve">Tabla 12. </w:t>
      </w:r>
      <w:r>
        <w:rPr>
          <w:color w:val="595959"/>
          <w:sz w:val="19"/>
        </w:rPr>
        <w:t>Roles de la inspección Fagan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00"/>
        <w:gridCol w:w="3400"/>
        <w:gridCol w:w="5080"/>
      </w:tblGrid>
      <w:tr>
        <w:trPr>
          <w:cantSplit/>
          <w:tblHeader/>
        </w:trPr>
        <w:tc>
          <w:tcPr>
            <w:tcW w:w="1600" w:type="dxa"/>
            <w:shd w:val="clear" w:color="auto" w:fill="DDEBF7"/>
            <w:tcMar>
              <w:top w:w="60" w:type="dxa"/>
              <w:left w:w="100" w:type="dxa"/>
              <w:bottom w:w="60" w:type="dxa"/>
              <w:right w:w="100" w:type="dxa"/>
            </w:tcMar>
          </w:tcPr>
          <w:p>
            <w:pPr>
              <w:spacing w:after="0" w:line="260" w:lineRule="auto"/>
            </w:pPr>
            <w:r>
              <w:rPr>
                <w:b/>
                <w:sz w:val="20"/>
              </w:rPr>
              <w:t>Rol</w:t>
            </w:r>
          </w:p>
        </w:tc>
        <w:tc>
          <w:tcPr>
            <w:tcW w:w="3400" w:type="dxa"/>
            <w:shd w:val="clear" w:color="auto" w:fill="DDEBF7"/>
            <w:tcMar>
              <w:top w:w="60" w:type="dxa"/>
              <w:left w:w="100" w:type="dxa"/>
              <w:bottom w:w="60" w:type="dxa"/>
              <w:right w:w="100" w:type="dxa"/>
            </w:tcMar>
          </w:tcPr>
          <w:p>
            <w:pPr>
              <w:spacing w:after="0" w:line="260" w:lineRule="auto"/>
            </w:pPr>
            <w:r>
              <w:rPr>
                <w:b/>
                <w:sz w:val="20"/>
              </w:rPr>
              <w:t>Quién</w:t>
            </w:r>
          </w:p>
        </w:tc>
        <w:tc>
          <w:tcPr>
            <w:tcW w:w="5080" w:type="dxa"/>
            <w:shd w:val="clear" w:color="auto" w:fill="DDEBF7"/>
            <w:tcMar>
              <w:top w:w="60" w:type="dxa"/>
              <w:left w:w="100" w:type="dxa"/>
              <w:bottom w:w="60" w:type="dxa"/>
              <w:right w:w="100" w:type="dxa"/>
            </w:tcMar>
          </w:tcPr>
          <w:p>
            <w:pPr>
              <w:spacing w:after="0" w:line="260" w:lineRule="auto"/>
            </w:pPr>
            <w:r>
              <w:rPr>
                <w:b/>
                <w:sz w:val="20"/>
              </w:rPr>
              <w:t>Responsabilidad</w:t>
            </w:r>
          </w:p>
        </w:tc>
      </w:tr>
      <w:tr>
        <w:trPr>
          <w:cantSplit/>
        </w:trPr>
        <w:tc>
          <w:tcPr>
            <w:tcW w:w="1600" w:type="dxa"/>
            <w:tcMar>
              <w:top w:w="60" w:type="dxa"/>
              <w:left w:w="100" w:type="dxa"/>
              <w:bottom w:w="60" w:type="dxa"/>
              <w:right w:w="100" w:type="dxa"/>
            </w:tcMar>
            <w:vAlign w:val="center"/>
          </w:tcPr>
          <w:p>
            <w:pPr>
              <w:spacing w:after="0" w:line="260" w:lineRule="auto"/>
            </w:pPr>
            <w:r>
              <w:rPr>
                <w:sz w:val="20"/>
              </w:rPr>
              <w:t>Moderador</w:t>
            </w:r>
          </w:p>
        </w:tc>
        <w:tc>
          <w:tcPr>
            <w:tcW w:w="3400" w:type="dxa"/>
            <w:tcMar>
              <w:top w:w="60" w:type="dxa"/>
              <w:left w:w="100" w:type="dxa"/>
              <w:bottom w:w="60" w:type="dxa"/>
              <w:right w:w="100" w:type="dxa"/>
            </w:tcMar>
            <w:vAlign w:val="center"/>
          </w:tcPr>
          <w:p>
            <w:pPr>
              <w:spacing w:after="0" w:line="260" w:lineRule="auto"/>
            </w:pPr>
            <w:r>
              <w:rPr>
                <w:sz w:val="20"/>
              </w:rPr>
              <w:t>Galvan (SQA)</w:t>
            </w:r>
          </w:p>
        </w:tc>
        <w:tc>
          <w:tcPr>
            <w:tcW w:w="5080" w:type="dxa"/>
            <w:tcMar>
              <w:top w:w="60" w:type="dxa"/>
              <w:left w:w="100" w:type="dxa"/>
              <w:bottom w:w="60" w:type="dxa"/>
              <w:right w:w="100" w:type="dxa"/>
            </w:tcMar>
            <w:vAlign w:val="center"/>
          </w:tcPr>
          <w:p>
            <w:pPr>
              <w:spacing w:after="0" w:line="260" w:lineRule="auto"/>
            </w:pPr>
            <w:r>
              <w:rPr>
                <w:sz w:val="20"/>
              </w:rPr>
              <w:t>Planifica, verifica criterios de entrada, conduce la reunión y decide el seguimiento.</w:t>
            </w:r>
          </w:p>
        </w:tc>
      </w:tr>
      <w:tr>
        <w:trPr>
          <w:cantSplit/>
        </w:trPr>
        <w:tc>
          <w:tcPr>
            <w:tcW w:w="1600" w:type="dxa"/>
            <w:tcMar>
              <w:top w:w="60" w:type="dxa"/>
              <w:left w:w="100" w:type="dxa"/>
              <w:bottom w:w="60" w:type="dxa"/>
              <w:right w:w="100" w:type="dxa"/>
            </w:tcMar>
            <w:vAlign w:val="center"/>
          </w:tcPr>
          <w:p>
            <w:pPr>
              <w:spacing w:after="0" w:line="260" w:lineRule="auto"/>
            </w:pPr>
            <w:r>
              <w:rPr>
                <w:sz w:val="20"/>
              </w:rPr>
              <w:t>Autor</w:t>
            </w:r>
          </w:p>
        </w:tc>
        <w:tc>
          <w:tcPr>
            <w:tcW w:w="3400" w:type="dxa"/>
            <w:tcMar>
              <w:top w:w="60" w:type="dxa"/>
              <w:left w:w="100" w:type="dxa"/>
              <w:bottom w:w="60" w:type="dxa"/>
              <w:right w:w="100" w:type="dxa"/>
            </w:tcMar>
            <w:vAlign w:val="center"/>
          </w:tcPr>
          <w:p>
            <w:pPr>
              <w:spacing w:after="0" w:line="260" w:lineRule="auto"/>
            </w:pPr>
            <w:r>
              <w:rPr>
                <w:sz w:val="20"/>
              </w:rPr>
              <w:t>Lujan</w:t>
            </w:r>
          </w:p>
        </w:tc>
        <w:tc>
          <w:tcPr>
            <w:tcW w:w="5080" w:type="dxa"/>
            <w:tcMar>
              <w:top w:w="60" w:type="dxa"/>
              <w:left w:w="100" w:type="dxa"/>
              <w:bottom w:w="60" w:type="dxa"/>
              <w:right w:w="100" w:type="dxa"/>
            </w:tcMar>
            <w:vAlign w:val="center"/>
          </w:tcPr>
          <w:p>
            <w:pPr>
              <w:spacing w:after="0" w:line="260" w:lineRule="auto"/>
            </w:pPr>
            <w:r>
              <w:rPr>
                <w:sz w:val="20"/>
              </w:rPr>
              <w:t>Entrega el artefacto, aclara dudas en la reunión y hace el retrabajo. No inspecciona su propio artefacto.</w:t>
            </w:r>
          </w:p>
        </w:tc>
      </w:tr>
      <w:tr>
        <w:trPr>
          <w:cantSplit/>
        </w:trPr>
        <w:tc>
          <w:tcPr>
            <w:tcW w:w="1600" w:type="dxa"/>
            <w:tcMar>
              <w:top w:w="60" w:type="dxa"/>
              <w:left w:w="100" w:type="dxa"/>
              <w:bottom w:w="60" w:type="dxa"/>
              <w:right w:w="100" w:type="dxa"/>
            </w:tcMar>
            <w:vAlign w:val="center"/>
          </w:tcPr>
          <w:p>
            <w:pPr>
              <w:spacing w:after="0" w:line="260" w:lineRule="auto"/>
            </w:pPr>
            <w:r>
              <w:rPr>
                <w:sz w:val="20"/>
              </w:rPr>
              <w:t>Lector</w:t>
            </w:r>
          </w:p>
        </w:tc>
        <w:tc>
          <w:tcPr>
            <w:tcW w:w="3400" w:type="dxa"/>
            <w:tcMar>
              <w:top w:w="60" w:type="dxa"/>
              <w:left w:w="100" w:type="dxa"/>
              <w:bottom w:w="60" w:type="dxa"/>
              <w:right w:w="100" w:type="dxa"/>
            </w:tcMar>
            <w:vAlign w:val="center"/>
          </w:tcPr>
          <w:p>
            <w:pPr>
              <w:spacing w:after="0" w:line="260" w:lineRule="auto"/>
            </w:pPr>
            <w:r>
              <w:rPr>
                <w:sz w:val="20"/>
              </w:rPr>
              <w:t>Integrante de otro equipo</w:t>
            </w:r>
          </w:p>
        </w:tc>
        <w:tc>
          <w:tcPr>
            <w:tcW w:w="5080" w:type="dxa"/>
            <w:tcMar>
              <w:top w:w="60" w:type="dxa"/>
              <w:left w:w="100" w:type="dxa"/>
              <w:bottom w:w="60" w:type="dxa"/>
              <w:right w:w="100" w:type="dxa"/>
            </w:tcMar>
            <w:vAlign w:val="center"/>
          </w:tcPr>
          <w:p>
            <w:pPr>
              <w:spacing w:after="0" w:line="260" w:lineRule="auto"/>
            </w:pPr>
            <w:r>
              <w:rPr>
                <w:sz w:val="20"/>
              </w:rPr>
              <w:t>Parafrasea el artefacto sección por sección durante la reunión.</w:t>
            </w:r>
          </w:p>
        </w:tc>
      </w:tr>
      <w:tr>
        <w:trPr>
          <w:cantSplit/>
        </w:trPr>
        <w:tc>
          <w:tcPr>
            <w:tcW w:w="1600" w:type="dxa"/>
            <w:tcMar>
              <w:top w:w="60" w:type="dxa"/>
              <w:left w:w="100" w:type="dxa"/>
              <w:bottom w:w="60" w:type="dxa"/>
              <w:right w:w="100" w:type="dxa"/>
            </w:tcMar>
            <w:vAlign w:val="center"/>
          </w:tcPr>
          <w:p>
            <w:pPr>
              <w:spacing w:after="0" w:line="260" w:lineRule="auto"/>
            </w:pPr>
            <w:r>
              <w:rPr>
                <w:sz w:val="20"/>
              </w:rPr>
              <w:t>Inspectores</w:t>
            </w:r>
          </w:p>
        </w:tc>
        <w:tc>
          <w:tcPr>
            <w:tcW w:w="3400" w:type="dxa"/>
            <w:tcMar>
              <w:top w:w="60" w:type="dxa"/>
              <w:left w:w="100" w:type="dxa"/>
              <w:bottom w:w="60" w:type="dxa"/>
              <w:right w:w="100" w:type="dxa"/>
            </w:tcMar>
            <w:vAlign w:val="center"/>
          </w:tcPr>
          <w:p>
            <w:pPr>
              <w:spacing w:after="0" w:line="260" w:lineRule="auto"/>
            </w:pPr>
            <w:r>
              <w:rPr>
                <w:sz w:val="20"/>
              </w:rPr>
              <w:t>Integrante de otro equipo; profesor del cliente (solo en el SRS); Galvan</w:t>
            </w:r>
          </w:p>
        </w:tc>
        <w:tc>
          <w:tcPr>
            <w:tcW w:w="5080" w:type="dxa"/>
            <w:tcMar>
              <w:top w:w="60" w:type="dxa"/>
              <w:left w:w="100" w:type="dxa"/>
              <w:bottom w:w="60" w:type="dxa"/>
              <w:right w:w="100" w:type="dxa"/>
            </w:tcMar>
            <w:vAlign w:val="center"/>
          </w:tcPr>
          <w:p>
            <w:pPr>
              <w:spacing w:after="0" w:line="260" w:lineRule="auto"/>
            </w:pPr>
            <w:r>
              <w:rPr>
                <w:sz w:val="20"/>
              </w:rPr>
              <w:t>Preparan individualmente y registran defectos en la planilla de inspección.</w:t>
            </w:r>
          </w:p>
        </w:tc>
      </w:tr>
      <w:tr>
        <w:trPr>
          <w:cantSplit/>
        </w:trPr>
        <w:tc>
          <w:tcPr>
            <w:tcW w:w="1600" w:type="dxa"/>
            <w:tcMar>
              <w:top w:w="60" w:type="dxa"/>
              <w:left w:w="100" w:type="dxa"/>
              <w:bottom w:w="60" w:type="dxa"/>
              <w:right w:w="100" w:type="dxa"/>
            </w:tcMar>
            <w:vAlign w:val="center"/>
          </w:tcPr>
          <w:p>
            <w:pPr>
              <w:spacing w:after="0" w:line="260" w:lineRule="auto"/>
            </w:pPr>
            <w:r>
              <w:rPr>
                <w:sz w:val="20"/>
              </w:rPr>
              <w:t>Escriba</w:t>
            </w:r>
          </w:p>
        </w:tc>
        <w:tc>
          <w:tcPr>
            <w:tcW w:w="3400" w:type="dxa"/>
            <w:tcMar>
              <w:top w:w="60" w:type="dxa"/>
              <w:left w:w="100" w:type="dxa"/>
              <w:bottom w:w="60" w:type="dxa"/>
              <w:right w:w="100" w:type="dxa"/>
            </w:tcMar>
            <w:vAlign w:val="center"/>
          </w:tcPr>
          <w:p>
            <w:pPr>
              <w:spacing w:after="0" w:line="260" w:lineRule="auto"/>
            </w:pPr>
            <w:r>
              <w:rPr>
                <w:sz w:val="20"/>
              </w:rPr>
              <w:t>Galvan</w:t>
            </w:r>
          </w:p>
        </w:tc>
        <w:tc>
          <w:tcPr>
            <w:tcW w:w="5080" w:type="dxa"/>
            <w:tcMar>
              <w:top w:w="60" w:type="dxa"/>
              <w:left w:w="100" w:type="dxa"/>
              <w:bottom w:w="60" w:type="dxa"/>
              <w:right w:w="100" w:type="dxa"/>
            </w:tcMar>
            <w:vAlign w:val="center"/>
          </w:tcPr>
          <w:p>
            <w:pPr>
              <w:spacing w:after="0" w:line="260" w:lineRule="auto"/>
            </w:pPr>
            <w:r>
              <w:rPr>
                <w:sz w:val="20"/>
              </w:rPr>
              <w:t>Registra cada defecto con ubicación, severidad (mayor o menor) y decisión.</w:t>
            </w:r>
          </w:p>
        </w:tc>
      </w:tr>
    </w:tbl>
    <w:p>
      <w:pPr>
        <w:spacing w:after="60" w:line="276" w:lineRule="auto"/>
      </w:pPr>
    </w:p>
    <w:p>
      <w:pPr>
        <w:keepNext/>
        <w:spacing w:before="120" w:after="80" w:line="276" w:lineRule="auto"/>
      </w:pPr>
      <w:r>
        <w:rPr>
          <w:b/>
          <w:color w:val="1F4E79"/>
          <w:sz w:val="19"/>
        </w:rPr>
        <w:t xml:space="preserve">Tabla 13. </w:t>
      </w:r>
      <w:r>
        <w:rPr>
          <w:color w:val="595959"/>
          <w:sz w:val="19"/>
        </w:rPr>
        <w:t>Etapas de la inspección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6080"/>
        <w:gridCol w:w="1800"/>
      </w:tblGrid>
      <w:tr>
        <w:trPr>
          <w:cantSplit/>
          <w:tblHeader/>
        </w:trPr>
        <w:tc>
          <w:tcPr>
            <w:tcW w:w="2200" w:type="dxa"/>
            <w:shd w:val="clear" w:color="auto" w:fill="DDEBF7"/>
            <w:tcMar>
              <w:top w:w="60" w:type="dxa"/>
              <w:left w:w="100" w:type="dxa"/>
              <w:bottom w:w="60" w:type="dxa"/>
              <w:right w:w="100" w:type="dxa"/>
            </w:tcMar>
          </w:tcPr>
          <w:p>
            <w:pPr>
              <w:spacing w:after="0" w:line="260" w:lineRule="auto"/>
            </w:pPr>
            <w:r>
              <w:rPr>
                <w:b/>
                <w:sz w:val="20"/>
              </w:rPr>
              <w:t>Etapa</w:t>
            </w:r>
          </w:p>
        </w:tc>
        <w:tc>
          <w:tcPr>
            <w:tcW w:w="6080" w:type="dxa"/>
            <w:shd w:val="clear" w:color="auto" w:fill="DDEBF7"/>
            <w:tcMar>
              <w:top w:w="60" w:type="dxa"/>
              <w:left w:w="100" w:type="dxa"/>
              <w:bottom w:w="60" w:type="dxa"/>
              <w:right w:w="100" w:type="dxa"/>
            </w:tcMar>
          </w:tcPr>
          <w:p>
            <w:pPr>
              <w:spacing w:after="0" w:line="260" w:lineRule="auto"/>
            </w:pPr>
            <w:r>
              <w:rPr>
                <w:b/>
                <w:sz w:val="20"/>
              </w:rPr>
              <w:t>Qué se hace</w:t>
            </w:r>
          </w:p>
        </w:tc>
        <w:tc>
          <w:tcPr>
            <w:tcW w:w="1800" w:type="dxa"/>
            <w:shd w:val="clear" w:color="auto" w:fill="DDEBF7"/>
            <w:tcMar>
              <w:top w:w="60" w:type="dxa"/>
              <w:left w:w="100" w:type="dxa"/>
              <w:bottom w:w="60" w:type="dxa"/>
              <w:right w:w="100" w:type="dxa"/>
            </w:tcMar>
          </w:tcPr>
          <w:p>
            <w:pPr>
              <w:spacing w:after="0" w:line="260" w:lineRule="auto"/>
            </w:pPr>
            <w:r>
              <w:rPr>
                <w:b/>
                <w:sz w:val="20"/>
              </w:rPr>
              <w:t>Duración máxima</w:t>
            </w:r>
          </w:p>
        </w:tc>
      </w:tr>
      <w:tr>
        <w:trPr>
          <w:cantSplit/>
        </w:trPr>
        <w:tc>
          <w:tcPr>
            <w:tcW w:w="2200" w:type="dxa"/>
            <w:tcMar>
              <w:top w:w="60" w:type="dxa"/>
              <w:left w:w="100" w:type="dxa"/>
              <w:bottom w:w="60" w:type="dxa"/>
              <w:right w:w="100" w:type="dxa"/>
            </w:tcMar>
            <w:vAlign w:val="center"/>
          </w:tcPr>
          <w:p>
            <w:pPr>
              <w:spacing w:after="0" w:line="260" w:lineRule="auto"/>
            </w:pPr>
            <w:r>
              <w:rPr>
                <w:sz w:val="20"/>
              </w:rPr>
              <w:t>Planificación</w:t>
            </w:r>
          </w:p>
        </w:tc>
        <w:tc>
          <w:tcPr>
            <w:tcW w:w="6080" w:type="dxa"/>
            <w:tcMar>
              <w:top w:w="60" w:type="dxa"/>
              <w:left w:w="100" w:type="dxa"/>
              <w:bottom w:w="60" w:type="dxa"/>
              <w:right w:w="100" w:type="dxa"/>
            </w:tcMar>
            <w:vAlign w:val="center"/>
          </w:tcPr>
          <w:p>
            <w:pPr>
              <w:spacing w:after="0" w:line="260" w:lineRule="auto"/>
            </w:pPr>
            <w:r>
              <w:rPr>
                <w:sz w:val="20"/>
              </w:rPr>
              <w:t>El moderador verifica que el artefacto esté completo, arma la planilla y convoca.</w:t>
            </w:r>
          </w:p>
        </w:tc>
        <w:tc>
          <w:tcPr>
            <w:tcW w:w="1800" w:type="dxa"/>
            <w:tcMar>
              <w:top w:w="60" w:type="dxa"/>
              <w:left w:w="100" w:type="dxa"/>
              <w:bottom w:w="60" w:type="dxa"/>
              <w:right w:w="100" w:type="dxa"/>
            </w:tcMar>
            <w:vAlign w:val="center"/>
          </w:tcPr>
          <w:p>
            <w:pPr>
              <w:spacing w:after="0" w:line="260" w:lineRule="auto"/>
            </w:pPr>
            <w:r>
              <w:rPr>
                <w:sz w:val="20"/>
              </w:rPr>
              <w:t>30 min</w:t>
            </w:r>
          </w:p>
        </w:tc>
      </w:tr>
      <w:tr>
        <w:trPr>
          <w:cantSplit/>
        </w:trPr>
        <w:tc>
          <w:tcPr>
            <w:tcW w:w="2200" w:type="dxa"/>
            <w:tcMar>
              <w:top w:w="60" w:type="dxa"/>
              <w:left w:w="100" w:type="dxa"/>
              <w:bottom w:w="60" w:type="dxa"/>
              <w:right w:w="100" w:type="dxa"/>
            </w:tcMar>
            <w:vAlign w:val="center"/>
          </w:tcPr>
          <w:p>
            <w:pPr>
              <w:spacing w:after="0" w:line="260" w:lineRule="auto"/>
            </w:pPr>
            <w:r>
              <w:rPr>
                <w:sz w:val="20"/>
              </w:rPr>
              <w:t>Visión general</w:t>
            </w:r>
          </w:p>
        </w:tc>
        <w:tc>
          <w:tcPr>
            <w:tcW w:w="6080" w:type="dxa"/>
            <w:tcMar>
              <w:top w:w="60" w:type="dxa"/>
              <w:left w:w="100" w:type="dxa"/>
              <w:bottom w:w="60" w:type="dxa"/>
              <w:right w:w="100" w:type="dxa"/>
            </w:tcMar>
            <w:vAlign w:val="center"/>
          </w:tcPr>
          <w:p>
            <w:pPr>
              <w:spacing w:after="0" w:line="260" w:lineRule="auto"/>
            </w:pPr>
            <w:r>
              <w:rPr>
                <w:sz w:val="20"/>
              </w:rPr>
              <w:t>El autor explica el contexto del artefacto.</w:t>
            </w:r>
          </w:p>
        </w:tc>
        <w:tc>
          <w:tcPr>
            <w:tcW w:w="1800" w:type="dxa"/>
            <w:tcMar>
              <w:top w:w="60" w:type="dxa"/>
              <w:left w:w="100" w:type="dxa"/>
              <w:bottom w:w="60" w:type="dxa"/>
              <w:right w:w="100" w:type="dxa"/>
            </w:tcMar>
            <w:vAlign w:val="center"/>
          </w:tcPr>
          <w:p>
            <w:pPr>
              <w:spacing w:after="0" w:line="260" w:lineRule="auto"/>
            </w:pPr>
            <w:r>
              <w:rPr>
                <w:sz w:val="20"/>
              </w:rPr>
              <w:t>20 min</w:t>
            </w:r>
          </w:p>
        </w:tc>
      </w:tr>
      <w:tr>
        <w:trPr>
          <w:cantSplit/>
        </w:trPr>
        <w:tc>
          <w:tcPr>
            <w:tcW w:w="2200" w:type="dxa"/>
            <w:tcMar>
              <w:top w:w="60" w:type="dxa"/>
              <w:left w:w="100" w:type="dxa"/>
              <w:bottom w:w="60" w:type="dxa"/>
              <w:right w:w="100" w:type="dxa"/>
            </w:tcMar>
            <w:vAlign w:val="center"/>
          </w:tcPr>
          <w:p>
            <w:pPr>
              <w:spacing w:after="0" w:line="260" w:lineRule="auto"/>
            </w:pPr>
            <w:r>
              <w:rPr>
                <w:sz w:val="20"/>
              </w:rPr>
              <w:t>Preparación individual</w:t>
            </w:r>
          </w:p>
        </w:tc>
        <w:tc>
          <w:tcPr>
            <w:tcW w:w="6080" w:type="dxa"/>
            <w:tcMar>
              <w:top w:w="60" w:type="dxa"/>
              <w:left w:w="100" w:type="dxa"/>
              <w:bottom w:w="60" w:type="dxa"/>
              <w:right w:w="100" w:type="dxa"/>
            </w:tcMar>
            <w:vAlign w:val="center"/>
          </w:tcPr>
          <w:p>
            <w:pPr>
              <w:spacing w:after="0" w:line="260" w:lineRule="auto"/>
            </w:pPr>
            <w:r>
              <w:rPr>
                <w:sz w:val="20"/>
              </w:rPr>
              <w:t>Cada inspector revisa con la lista de verificación de la Tabla 11 a un ritmo de 10 páginas por hora o menos.</w:t>
            </w:r>
          </w:p>
        </w:tc>
        <w:tc>
          <w:tcPr>
            <w:tcW w:w="1800" w:type="dxa"/>
            <w:tcMar>
              <w:top w:w="60" w:type="dxa"/>
              <w:left w:w="100" w:type="dxa"/>
              <w:bottom w:w="60" w:type="dxa"/>
              <w:right w:w="100" w:type="dxa"/>
            </w:tcMar>
            <w:vAlign w:val="center"/>
          </w:tcPr>
          <w:p>
            <w:pPr>
              <w:spacing w:after="0" w:line="260" w:lineRule="auto"/>
            </w:pPr>
            <w:r>
              <w:rPr>
                <w:sz w:val="20"/>
              </w:rPr>
              <w:t>1 h por inspector</w:t>
            </w:r>
          </w:p>
        </w:tc>
      </w:tr>
      <w:tr>
        <w:trPr>
          <w:cantSplit/>
        </w:trPr>
        <w:tc>
          <w:tcPr>
            <w:tcW w:w="2200" w:type="dxa"/>
            <w:tcMar>
              <w:top w:w="60" w:type="dxa"/>
              <w:left w:w="100" w:type="dxa"/>
              <w:bottom w:w="60" w:type="dxa"/>
              <w:right w:w="100" w:type="dxa"/>
            </w:tcMar>
            <w:vAlign w:val="center"/>
          </w:tcPr>
          <w:p>
            <w:pPr>
              <w:spacing w:after="0" w:line="260" w:lineRule="auto"/>
            </w:pPr>
            <w:r>
              <w:rPr>
                <w:sz w:val="20"/>
              </w:rPr>
              <w:t>Reunión de inspección</w:t>
            </w:r>
          </w:p>
        </w:tc>
        <w:tc>
          <w:tcPr>
            <w:tcW w:w="6080" w:type="dxa"/>
            <w:tcMar>
              <w:top w:w="60" w:type="dxa"/>
              <w:left w:w="100" w:type="dxa"/>
              <w:bottom w:w="60" w:type="dxa"/>
              <w:right w:w="100" w:type="dxa"/>
            </w:tcMar>
            <w:vAlign w:val="center"/>
          </w:tcPr>
          <w:p>
            <w:pPr>
              <w:spacing w:after="0" w:line="260" w:lineRule="auto"/>
            </w:pPr>
            <w:r>
              <w:rPr>
                <w:sz w:val="20"/>
              </w:rPr>
              <w:t>El lector parafrasea; se registran defectos; no se discuten soluciones.</w:t>
            </w:r>
          </w:p>
        </w:tc>
        <w:tc>
          <w:tcPr>
            <w:tcW w:w="1800" w:type="dxa"/>
            <w:tcMar>
              <w:top w:w="60" w:type="dxa"/>
              <w:left w:w="100" w:type="dxa"/>
              <w:bottom w:w="60" w:type="dxa"/>
              <w:right w:w="100" w:type="dxa"/>
            </w:tcMar>
            <w:vAlign w:val="center"/>
          </w:tcPr>
          <w:p>
            <w:pPr>
              <w:spacing w:after="0" w:line="260" w:lineRule="auto"/>
            </w:pPr>
            <w:r>
              <w:rPr>
                <w:sz w:val="20"/>
              </w:rPr>
              <w:t>2 h</w:t>
            </w:r>
          </w:p>
        </w:tc>
      </w:tr>
      <w:tr>
        <w:trPr>
          <w:cantSplit/>
        </w:trPr>
        <w:tc>
          <w:tcPr>
            <w:tcW w:w="2200" w:type="dxa"/>
            <w:tcMar>
              <w:top w:w="60" w:type="dxa"/>
              <w:left w:w="100" w:type="dxa"/>
              <w:bottom w:w="60" w:type="dxa"/>
              <w:right w:w="100" w:type="dxa"/>
            </w:tcMar>
            <w:vAlign w:val="center"/>
          </w:tcPr>
          <w:p>
            <w:pPr>
              <w:spacing w:after="0" w:line="260" w:lineRule="auto"/>
            </w:pPr>
            <w:r>
              <w:rPr>
                <w:sz w:val="20"/>
              </w:rPr>
              <w:t>Retrabajo</w:t>
            </w:r>
          </w:p>
        </w:tc>
        <w:tc>
          <w:tcPr>
            <w:tcW w:w="6080" w:type="dxa"/>
            <w:tcMar>
              <w:top w:w="60" w:type="dxa"/>
              <w:left w:w="100" w:type="dxa"/>
              <w:bottom w:w="60" w:type="dxa"/>
              <w:right w:w="100" w:type="dxa"/>
            </w:tcMar>
            <w:vAlign w:val="center"/>
          </w:tcPr>
          <w:p>
            <w:pPr>
              <w:spacing w:after="0" w:line="260" w:lineRule="auto"/>
            </w:pPr>
            <w:r>
              <w:rPr>
                <w:sz w:val="20"/>
              </w:rPr>
              <w:t>El autor corrige cada defecto registrado.</w:t>
            </w:r>
          </w:p>
        </w:tc>
        <w:tc>
          <w:tcPr>
            <w:tcW w:w="1800" w:type="dxa"/>
            <w:tcMar>
              <w:top w:w="60" w:type="dxa"/>
              <w:left w:w="100" w:type="dxa"/>
              <w:bottom w:w="60" w:type="dxa"/>
              <w:right w:w="100" w:type="dxa"/>
            </w:tcMar>
            <w:vAlign w:val="center"/>
          </w:tcPr>
          <w:p>
            <w:pPr>
              <w:spacing w:after="0" w:line="260" w:lineRule="auto"/>
            </w:pPr>
            <w:r>
              <w:rPr>
                <w:sz w:val="20"/>
              </w:rPr>
              <w:t>1 día hábil</w:t>
            </w:r>
          </w:p>
        </w:tc>
      </w:tr>
      <w:tr>
        <w:trPr>
          <w:cantSplit/>
        </w:trPr>
        <w:tc>
          <w:tcPr>
            <w:tcW w:w="2200" w:type="dxa"/>
            <w:tcMar>
              <w:top w:w="60" w:type="dxa"/>
              <w:left w:w="100" w:type="dxa"/>
              <w:bottom w:w="60" w:type="dxa"/>
              <w:right w:w="100" w:type="dxa"/>
            </w:tcMar>
            <w:vAlign w:val="center"/>
          </w:tcPr>
          <w:p>
            <w:pPr>
              <w:spacing w:after="0" w:line="260" w:lineRule="auto"/>
            </w:pPr>
            <w:r>
              <w:rPr>
                <w:sz w:val="20"/>
              </w:rPr>
              <w:t>Seguimiento</w:t>
            </w:r>
          </w:p>
        </w:tc>
        <w:tc>
          <w:tcPr>
            <w:tcW w:w="6080" w:type="dxa"/>
            <w:tcMar>
              <w:top w:w="60" w:type="dxa"/>
              <w:left w:w="100" w:type="dxa"/>
              <w:bottom w:w="60" w:type="dxa"/>
              <w:right w:w="100" w:type="dxa"/>
            </w:tcMar>
            <w:vAlign w:val="center"/>
          </w:tcPr>
          <w:p>
            <w:pPr>
              <w:spacing w:after="0" w:line="260" w:lineRule="auto"/>
            </w:pPr>
            <w:r>
              <w:rPr>
                <w:sz w:val="20"/>
              </w:rPr>
              <w:t>El moderador verifica cada corrección y cierra el acta.</w:t>
            </w:r>
          </w:p>
        </w:tc>
        <w:tc>
          <w:tcPr>
            <w:tcW w:w="1800" w:type="dxa"/>
            <w:tcMar>
              <w:top w:w="60" w:type="dxa"/>
              <w:left w:w="100" w:type="dxa"/>
              <w:bottom w:w="60" w:type="dxa"/>
              <w:right w:w="100" w:type="dxa"/>
            </w:tcMar>
            <w:vAlign w:val="center"/>
          </w:tcPr>
          <w:p>
            <w:pPr>
              <w:spacing w:after="0" w:line="260" w:lineRule="auto"/>
            </w:pPr>
            <w:r>
              <w:rPr>
                <w:sz w:val="20"/>
              </w:rPr>
              <w:t>30 min</w:t>
            </w:r>
          </w:p>
        </w:tc>
      </w:tr>
    </w:tbl>
    <w:p>
      <w:pPr>
        <w:spacing w:after="60" w:line="276" w:lineRule="auto"/>
      </w:pPr>
    </w:p>
    <w:p>
      <w:pPr>
        <w:spacing w:after="120" w:line="276" w:lineRule="auto"/>
      </w:pPr>
      <w:r>
        <w:rPr>
          <w:b/>
        </w:rPr>
        <w:t>Métricas de la inspección</w:t>
      </w:r>
      <w:r>
        <w:t xml:space="preserve"> (se registran en el acta): tiempo de preparación por inspector; ritmo de preparación (páginas / hora, objetivo ≤ 10); densidad de defectos (defectos / página); defectos mayores y menores; eficacia de la inspección = defectos encontrados en la inspección / (defectos encontrados en la inspección + defectos del mismo artefacto encontrados después). Criterio de salida: 0 defectos mayores abiertos.</w:t>
      </w:r>
    </w:p>
    <w:p>
      <w:pPr>
        <w:pStyle w:val="Ttulo2"/>
      </w:pPr>
      <w:r>
        <w:t>6.2 Lista de verificación de la auditoría</w:t>
      </w:r>
    </w:p>
    <w:p>
      <w:pPr>
        <w:keepNext/>
        <w:spacing w:before="120" w:after="80" w:line="276" w:lineRule="auto"/>
      </w:pPr>
      <w:r>
        <w:rPr>
          <w:b/>
          <w:color w:val="1F4E79"/>
          <w:sz w:val="19"/>
        </w:rPr>
        <w:t xml:space="preserve">Tabla 14. </w:t>
      </w:r>
      <w:r>
        <w:rPr>
          <w:color w:val="595959"/>
          <w:sz w:val="19"/>
        </w:rPr>
        <w:t>Indicadores que verifica cada auditoría</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00"/>
        <w:gridCol w:w="2200"/>
        <w:gridCol w:w="5780"/>
      </w:tblGrid>
      <w:tr>
        <w:trPr>
          <w:cantSplit/>
          <w:tblHeader/>
        </w:trPr>
        <w:tc>
          <w:tcPr>
            <w:tcW w:w="2100" w:type="dxa"/>
            <w:shd w:val="clear" w:color="auto" w:fill="DDEBF7"/>
            <w:tcMar>
              <w:top w:w="60" w:type="dxa"/>
              <w:left w:w="100" w:type="dxa"/>
              <w:bottom w:w="60" w:type="dxa"/>
              <w:right w:w="100" w:type="dxa"/>
            </w:tcMar>
          </w:tcPr>
          <w:p>
            <w:pPr>
              <w:spacing w:after="0" w:line="260" w:lineRule="auto"/>
            </w:pPr>
            <w:r>
              <w:rPr>
                <w:b/>
                <w:sz w:val="19"/>
              </w:rPr>
              <w:t>Regla</w:t>
            </w:r>
          </w:p>
        </w:tc>
        <w:tc>
          <w:tcPr>
            <w:tcW w:w="2200" w:type="dxa"/>
            <w:shd w:val="clear" w:color="auto" w:fill="DDEBF7"/>
            <w:tcMar>
              <w:top w:w="60" w:type="dxa"/>
              <w:left w:w="100" w:type="dxa"/>
              <w:bottom w:w="60" w:type="dxa"/>
              <w:right w:w="100" w:type="dxa"/>
            </w:tcMar>
          </w:tcPr>
          <w:p>
            <w:pPr>
              <w:spacing w:after="0" w:line="260" w:lineRule="auto"/>
            </w:pPr>
            <w:r>
              <w:rPr>
                <w:b/>
                <w:sz w:val="19"/>
              </w:rPr>
              <w:t>Indicador</w:t>
            </w:r>
          </w:p>
        </w:tc>
        <w:tc>
          <w:tcPr>
            <w:tcW w:w="5780" w:type="dxa"/>
            <w:shd w:val="clear" w:color="auto" w:fill="DDEBF7"/>
            <w:tcMar>
              <w:top w:w="60" w:type="dxa"/>
              <w:left w:w="100" w:type="dxa"/>
              <w:bottom w:w="60" w:type="dxa"/>
              <w:right w:w="100" w:type="dxa"/>
            </w:tcMar>
          </w:tcPr>
          <w:p>
            <w:pPr>
              <w:spacing w:after="0" w:line="260" w:lineRule="auto"/>
            </w:pPr>
            <w:r>
              <w:rPr>
                <w:b/>
                <w:sz w:val="19"/>
              </w:rPr>
              <w:t>Se cumple si…</w:t>
            </w:r>
          </w:p>
        </w:tc>
      </w:tr>
      <w:tr>
        <w:trPr>
          <w:cantSplit/>
        </w:trPr>
        <w:tc>
          <w:tcPr>
            <w:tcW w:w="2100" w:type="dxa"/>
            <w:tcMar>
              <w:top w:w="60" w:type="dxa"/>
              <w:left w:w="100" w:type="dxa"/>
              <w:bottom w:w="60" w:type="dxa"/>
              <w:right w:w="100" w:type="dxa"/>
            </w:tcMar>
            <w:vAlign w:val="center"/>
          </w:tcPr>
          <w:p>
            <w:pPr>
              <w:spacing w:after="0" w:line="260" w:lineRule="auto"/>
            </w:pPr>
            <w:r>
              <w:rPr>
                <w:sz w:val="19"/>
              </w:rPr>
              <w:t>Plan verificable (P7)</w:t>
            </w:r>
          </w:p>
        </w:tc>
        <w:tc>
          <w:tcPr>
            <w:tcW w:w="2200" w:type="dxa"/>
            <w:tcMar>
              <w:top w:w="60" w:type="dxa"/>
              <w:left w:w="100" w:type="dxa"/>
              <w:bottom w:w="60" w:type="dxa"/>
              <w:right w:w="100" w:type="dxa"/>
            </w:tcMar>
            <w:vAlign w:val="center"/>
          </w:tcPr>
          <w:p>
            <w:pPr>
              <w:spacing w:after="0" w:line="260" w:lineRule="auto"/>
            </w:pPr>
            <w:r>
              <w:rPr>
                <w:sz w:val="19"/>
              </w:rPr>
              <w:t>Completo</w:t>
            </w:r>
          </w:p>
        </w:tc>
        <w:tc>
          <w:tcPr>
            <w:tcW w:w="5780" w:type="dxa"/>
            <w:tcMar>
              <w:top w:w="60" w:type="dxa"/>
              <w:left w:w="100" w:type="dxa"/>
              <w:bottom w:w="60" w:type="dxa"/>
              <w:right w:w="100" w:type="dxa"/>
            </w:tcMar>
            <w:vAlign w:val="center"/>
          </w:tcPr>
          <w:p>
            <w:pPr>
              <w:spacing w:after="0" w:line="260" w:lineRule="auto"/>
            </w:pPr>
            <w:r>
              <w:rPr>
                <w:sz w:val="19"/>
              </w:rPr>
              <w:t>Están las 16 secciones; las que no aplican lo justifican.</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Medible</w:t>
            </w:r>
          </w:p>
        </w:tc>
        <w:tc>
          <w:tcPr>
            <w:tcW w:w="5780" w:type="dxa"/>
            <w:tcMar>
              <w:top w:w="60" w:type="dxa"/>
              <w:left w:w="100" w:type="dxa"/>
              <w:bottom w:w="60" w:type="dxa"/>
              <w:right w:w="100" w:type="dxa"/>
            </w:tcMar>
            <w:vAlign w:val="center"/>
          </w:tcPr>
          <w:p>
            <w:pPr>
              <w:spacing w:after="0" w:line="260" w:lineRule="auto"/>
            </w:pPr>
            <w:r>
              <w:rPr>
                <w:sz w:val="19"/>
              </w:rPr>
              <w:t>M01 a M16 tienen fórmula y valor numérico.</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Instrumentado</w:t>
            </w:r>
          </w:p>
        </w:tc>
        <w:tc>
          <w:tcPr>
            <w:tcW w:w="5780" w:type="dxa"/>
            <w:tcMar>
              <w:top w:w="60" w:type="dxa"/>
              <w:left w:w="100" w:type="dxa"/>
              <w:bottom w:w="60" w:type="dxa"/>
              <w:right w:w="100" w:type="dxa"/>
            </w:tcMar>
            <w:vAlign w:val="center"/>
          </w:tcPr>
          <w:p>
            <w:pPr>
              <w:spacing w:after="0" w:line="260" w:lineRule="auto"/>
            </w:pPr>
            <w:r>
              <w:rPr>
                <w:sz w:val="19"/>
              </w:rPr>
              <w:t>Cada métrica nombra herramienta, condiciones y momento.</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Asignado e independiente</w:t>
            </w:r>
          </w:p>
        </w:tc>
        <w:tc>
          <w:tcPr>
            <w:tcW w:w="5780" w:type="dxa"/>
            <w:tcMar>
              <w:top w:w="60" w:type="dxa"/>
              <w:left w:w="100" w:type="dxa"/>
              <w:bottom w:w="60" w:type="dxa"/>
              <w:right w:w="100" w:type="dxa"/>
            </w:tcMar>
            <w:vAlign w:val="center"/>
          </w:tcPr>
          <w:p>
            <w:pPr>
              <w:spacing w:after="0" w:line="260" w:lineRule="auto"/>
            </w:pPr>
            <w:r>
              <w:rPr>
                <w:sz w:val="19"/>
              </w:rPr>
              <w:t>Ningún autor aprobó su propio artefacto (historial de PR y actas).</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Consistente</w:t>
            </w:r>
          </w:p>
        </w:tc>
        <w:tc>
          <w:tcPr>
            <w:tcW w:w="5780" w:type="dxa"/>
            <w:tcMar>
              <w:top w:w="60" w:type="dxa"/>
              <w:left w:w="100" w:type="dxa"/>
              <w:bottom w:w="60" w:type="dxa"/>
              <w:right w:w="100" w:type="dxa"/>
            </w:tcMar>
            <w:vAlign w:val="center"/>
          </w:tcPr>
          <w:p>
            <w:pPr>
              <w:spacing w:after="0" w:line="260" w:lineRule="auto"/>
            </w:pPr>
            <w:r>
              <w:rPr>
                <w:sz w:val="19"/>
              </w:rPr>
              <w:t xml:space="preserve">Cada umbral de la Tabla 9 aparece igual en la Tabla 10, en </w:t>
            </w:r>
            <w:r>
              <w:rPr>
                <w:rFonts w:ascii="Consolas" w:hAnsi="Consolas" w:cs="Consolas"/>
                <w:sz w:val="18"/>
              </w:rPr>
              <w:t>matrices-sqap.xlsx</w:t>
            </w:r>
            <w:r>
              <w:rPr>
                <w:sz w:val="19"/>
              </w:rPr>
              <w:t xml:space="preserve"> y en la configuración.</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Trazable</w:t>
            </w:r>
          </w:p>
        </w:tc>
        <w:tc>
          <w:tcPr>
            <w:tcW w:w="5780" w:type="dxa"/>
            <w:tcMar>
              <w:top w:w="60" w:type="dxa"/>
              <w:left w:w="100" w:type="dxa"/>
              <w:bottom w:w="60" w:type="dxa"/>
              <w:right w:w="100" w:type="dxa"/>
            </w:tcMar>
            <w:vAlign w:val="center"/>
          </w:tcPr>
          <w:p>
            <w:pPr>
              <w:spacing w:after="0" w:line="260" w:lineRule="auto"/>
            </w:pPr>
            <w:r>
              <w:rPr>
                <w:sz w:val="19"/>
              </w:rPr>
              <w:t>Cada métrica cita un RNF o riesgo; cada riesgo alto tiene mitigación con responsable.</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Evidenciable</w:t>
            </w:r>
          </w:p>
        </w:tc>
        <w:tc>
          <w:tcPr>
            <w:tcW w:w="5780" w:type="dxa"/>
            <w:tcMar>
              <w:top w:w="60" w:type="dxa"/>
              <w:left w:w="100" w:type="dxa"/>
              <w:bottom w:w="60" w:type="dxa"/>
              <w:right w:w="100" w:type="dxa"/>
            </w:tcMar>
            <w:vAlign w:val="center"/>
          </w:tcPr>
          <w:p>
            <w:pPr>
              <w:spacing w:after="0" w:line="260" w:lineRule="auto"/>
            </w:pPr>
            <w:r>
              <w:rPr>
                <w:sz w:val="19"/>
              </w:rPr>
              <w:t>Cada evidencia de la Sección 12 existe en su ubicación.</w:t>
            </w:r>
          </w:p>
        </w:tc>
      </w:tr>
      <w:tr>
        <w:trPr>
          <w:cantSplit/>
        </w:trPr>
        <w:tc>
          <w:tcPr>
            <w:tcW w:w="2100" w:type="dxa"/>
            <w:tcMar>
              <w:top w:w="60" w:type="dxa"/>
              <w:left w:w="100" w:type="dxa"/>
              <w:bottom w:w="60" w:type="dxa"/>
              <w:right w:w="100" w:type="dxa"/>
            </w:tcMar>
            <w:vAlign w:val="center"/>
          </w:tcPr>
          <w:p>
            <w:pPr>
              <w:spacing w:after="0" w:line="260" w:lineRule="auto"/>
            </w:pPr>
            <w:r>
              <w:rPr>
                <w:sz w:val="19"/>
              </w:rPr>
              <w:t>Build sano (P6) y pipeline sano (P8)</w:t>
            </w:r>
          </w:p>
        </w:tc>
        <w:tc>
          <w:tcPr>
            <w:tcW w:w="2200" w:type="dxa"/>
            <w:tcMar>
              <w:top w:w="60" w:type="dxa"/>
              <w:left w:w="100" w:type="dxa"/>
              <w:bottom w:w="60" w:type="dxa"/>
              <w:right w:w="100" w:type="dxa"/>
            </w:tcMar>
            <w:vAlign w:val="center"/>
          </w:tcPr>
          <w:p>
            <w:pPr>
              <w:spacing w:after="0" w:line="260" w:lineRule="auto"/>
            </w:pPr>
            <w:r>
              <w:rPr>
                <w:sz w:val="19"/>
              </w:rPr>
              <w:t>Resultado</w:t>
            </w:r>
          </w:p>
        </w:tc>
        <w:tc>
          <w:tcPr>
            <w:tcW w:w="5780" w:type="dxa"/>
            <w:tcMar>
              <w:top w:w="60" w:type="dxa"/>
              <w:left w:w="100" w:type="dxa"/>
              <w:bottom w:w="60" w:type="dxa"/>
              <w:right w:w="100" w:type="dxa"/>
            </w:tcMar>
            <w:vAlign w:val="center"/>
          </w:tcPr>
          <w:p>
            <w:pPr>
              <w:spacing w:after="0" w:line="260" w:lineRule="auto"/>
            </w:pPr>
            <w:r>
              <w:rPr>
                <w:sz w:val="19"/>
              </w:rPr>
              <w:t>SUCCESS en el último build de main, en la Stage View.</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Pruebas ejecutadas</w:t>
            </w:r>
          </w:p>
        </w:tc>
        <w:tc>
          <w:tcPr>
            <w:tcW w:w="5780" w:type="dxa"/>
            <w:tcMar>
              <w:top w:w="60" w:type="dxa"/>
              <w:left w:w="100" w:type="dxa"/>
              <w:bottom w:w="60" w:type="dxa"/>
              <w:right w:w="100" w:type="dxa"/>
            </w:tcMar>
            <w:vAlign w:val="center"/>
          </w:tcPr>
          <w:p>
            <w:pPr>
              <w:spacing w:after="0" w:line="260" w:lineRule="auto"/>
            </w:pPr>
            <w:r>
              <w:rPr>
                <w:sz w:val="19"/>
              </w:rPr>
              <w:t>Más de cero y las mismas que corren en local (Test Result del build).</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Pruebas fallidas</w:t>
            </w:r>
          </w:p>
        </w:tc>
        <w:tc>
          <w:tcPr>
            <w:tcW w:w="5780" w:type="dxa"/>
            <w:tcMar>
              <w:top w:w="60" w:type="dxa"/>
              <w:left w:w="100" w:type="dxa"/>
              <w:bottom w:w="60" w:type="dxa"/>
              <w:right w:w="100" w:type="dxa"/>
            </w:tcMar>
            <w:vAlign w:val="center"/>
          </w:tcPr>
          <w:p>
            <w:pPr>
              <w:spacing w:after="0" w:line="260" w:lineRule="auto"/>
            </w:pPr>
            <w:r>
              <w:rPr>
                <w:sz w:val="19"/>
              </w:rPr>
              <w:t>0 fallos y 0 errores; el informe JUnit está publicado (Test Result Trend).</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Artefacto</w:t>
            </w:r>
          </w:p>
        </w:tc>
        <w:tc>
          <w:tcPr>
            <w:tcW w:w="5780" w:type="dxa"/>
            <w:tcMar>
              <w:top w:w="60" w:type="dxa"/>
              <w:left w:w="100" w:type="dxa"/>
              <w:bottom w:w="60" w:type="dxa"/>
              <w:right w:w="100" w:type="dxa"/>
            </w:tcMar>
            <w:vAlign w:val="center"/>
          </w:tcPr>
          <w:p>
            <w:pPr>
              <w:spacing w:after="0" w:line="260" w:lineRule="auto"/>
            </w:pPr>
            <w:r>
              <w:rPr>
                <w:sz w:val="19"/>
              </w:rPr>
              <w:t>El paquete del build está archivado y asociado al build (Build Artifacts).</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Reproducibilidad</w:t>
            </w:r>
          </w:p>
        </w:tc>
        <w:tc>
          <w:tcPr>
            <w:tcW w:w="5780" w:type="dxa"/>
            <w:tcMar>
              <w:top w:w="60" w:type="dxa"/>
              <w:left w:w="100" w:type="dxa"/>
              <w:bottom w:w="60" w:type="dxa"/>
              <w:right w:w="100" w:type="dxa"/>
            </w:tcMar>
            <w:vAlign w:val="center"/>
          </w:tcPr>
          <w:p>
            <w:pPr>
              <w:spacing w:after="0" w:line="260" w:lineRule="auto"/>
            </w:pPr>
            <w:r>
              <w:rPr>
                <w:sz w:val="19"/>
              </w:rPr>
              <w:t xml:space="preserve">Todo el pipeline está en el </w:t>
            </w:r>
            <w:r>
              <w:rPr>
                <w:rFonts w:ascii="Consolas" w:hAnsi="Consolas" w:cs="Consolas"/>
                <w:sz w:val="18"/>
              </w:rPr>
              <w:t>Jenkinsfile</w:t>
            </w:r>
            <w:r>
              <w:rPr>
                <w:sz w:val="19"/>
              </w:rPr>
              <w:t>; el job solo tiene la URL del repositorio.</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Cobertura</w:t>
            </w:r>
          </w:p>
        </w:tc>
        <w:tc>
          <w:tcPr>
            <w:tcW w:w="5780" w:type="dxa"/>
            <w:tcMar>
              <w:top w:w="60" w:type="dxa"/>
              <w:left w:w="100" w:type="dxa"/>
              <w:bottom w:w="60" w:type="dxa"/>
              <w:right w:w="100" w:type="dxa"/>
            </w:tcMar>
            <w:vAlign w:val="center"/>
          </w:tcPr>
          <w:p>
            <w:pPr>
              <w:spacing w:after="0" w:line="260" w:lineRule="auto"/>
            </w:pPr>
            <w:r>
              <w:rPr>
                <w:sz w:val="19"/>
              </w:rPr>
              <w:t>Exigida por la herramienta (M05, M06), no solo medida.</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E2E</w:t>
            </w:r>
          </w:p>
        </w:tc>
        <w:tc>
          <w:tcPr>
            <w:tcW w:w="5780" w:type="dxa"/>
            <w:tcMar>
              <w:top w:w="60" w:type="dxa"/>
              <w:left w:w="100" w:type="dxa"/>
              <w:bottom w:w="60" w:type="dxa"/>
              <w:right w:w="100" w:type="dxa"/>
            </w:tcMar>
            <w:vAlign w:val="center"/>
          </w:tcPr>
          <w:p>
            <w:pPr>
              <w:spacing w:after="0" w:line="260" w:lineRule="auto"/>
            </w:pPr>
            <w:r>
              <w:rPr>
                <w:sz w:val="19"/>
              </w:rPr>
              <w:t>Cypress ejecutó todos sus escenarios y pasaron (M02).</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Orden</w:t>
            </w:r>
          </w:p>
        </w:tc>
        <w:tc>
          <w:tcPr>
            <w:tcW w:w="5780" w:type="dxa"/>
            <w:tcMar>
              <w:top w:w="60" w:type="dxa"/>
              <w:left w:w="100" w:type="dxa"/>
              <w:bottom w:w="60" w:type="dxa"/>
              <w:right w:w="100" w:type="dxa"/>
            </w:tcMar>
            <w:vAlign w:val="center"/>
          </w:tcPr>
          <w:p>
            <w:pPr>
              <w:spacing w:after="0" w:line="260" w:lineRule="auto"/>
            </w:pPr>
            <w:r>
              <w:rPr>
                <w:sz w:val="19"/>
              </w:rPr>
              <w:t>Las etapas de despliegue están después de las de prueba y solo corren si estas pasan.</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Disparo automático</w:t>
            </w:r>
          </w:p>
        </w:tc>
        <w:tc>
          <w:tcPr>
            <w:tcW w:w="5780" w:type="dxa"/>
            <w:tcMar>
              <w:top w:w="60" w:type="dxa"/>
              <w:left w:w="100" w:type="dxa"/>
              <w:bottom w:w="60" w:type="dxa"/>
              <w:right w:w="100" w:type="dxa"/>
            </w:tcMar>
            <w:vAlign w:val="center"/>
          </w:tcPr>
          <w:p>
            <w:pPr>
              <w:spacing w:after="0" w:line="260" w:lineRule="auto"/>
            </w:pPr>
            <w:r>
              <w:rPr>
                <w:sz w:val="19"/>
              </w:rPr>
              <w:t>Un push o un PR inicia el build sin clic en 3 minutos o menos (escaneo del Multibranch).</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Verificación posterior</w:t>
            </w:r>
          </w:p>
        </w:tc>
        <w:tc>
          <w:tcPr>
            <w:tcW w:w="5780" w:type="dxa"/>
            <w:tcMar>
              <w:top w:w="60" w:type="dxa"/>
              <w:left w:w="100" w:type="dxa"/>
              <w:bottom w:w="60" w:type="dxa"/>
              <w:right w:w="100" w:type="dxa"/>
            </w:tcMar>
            <w:vAlign w:val="center"/>
          </w:tcPr>
          <w:p>
            <w:pPr>
              <w:spacing w:after="0" w:line="260" w:lineRule="auto"/>
            </w:pPr>
            <w:r>
              <w:rPr>
                <w:sz w:val="19"/>
              </w:rPr>
              <w:t>El smoke test pasa y el commit desplegado es el del build.</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Secretos</w:t>
            </w:r>
          </w:p>
        </w:tc>
        <w:tc>
          <w:tcPr>
            <w:tcW w:w="5780" w:type="dxa"/>
            <w:tcMar>
              <w:top w:w="60" w:type="dxa"/>
              <w:left w:w="100" w:type="dxa"/>
              <w:bottom w:w="60" w:type="dxa"/>
              <w:right w:w="100" w:type="dxa"/>
            </w:tcMar>
            <w:vAlign w:val="center"/>
          </w:tcPr>
          <w:p>
            <w:pPr>
              <w:spacing w:after="0" w:line="260" w:lineRule="auto"/>
            </w:pPr>
            <w:r>
              <w:rPr>
                <w:sz w:val="19"/>
              </w:rPr>
              <w:t>Ninguno en el repositorio ni impreso en la consola de Jenkins.</w:t>
            </w:r>
          </w:p>
        </w:tc>
      </w:tr>
      <w:tr>
        <w:trPr>
          <w:cantSplit/>
        </w:trPr>
        <w:tc>
          <w:tcPr>
            <w:tcW w:w="2100" w:type="dxa"/>
            <w:tcMar>
              <w:top w:w="60" w:type="dxa"/>
              <w:left w:w="100" w:type="dxa"/>
              <w:bottom w:w="60" w:type="dxa"/>
              <w:right w:w="100" w:type="dxa"/>
            </w:tcMar>
            <w:vAlign w:val="center"/>
          </w:tcPr>
          <w:p>
            <w:pPr>
              <w:spacing w:after="0" w:line="260" w:lineRule="auto"/>
            </w:pPr>
          </w:p>
        </w:tc>
        <w:tc>
          <w:tcPr>
            <w:tcW w:w="2200" w:type="dxa"/>
            <w:tcMar>
              <w:top w:w="60" w:type="dxa"/>
              <w:left w:w="100" w:type="dxa"/>
              <w:bottom w:w="60" w:type="dxa"/>
              <w:right w:w="100" w:type="dxa"/>
            </w:tcMar>
            <w:vAlign w:val="center"/>
          </w:tcPr>
          <w:p>
            <w:pPr>
              <w:spacing w:after="0" w:line="260" w:lineRule="auto"/>
            </w:pPr>
            <w:r>
              <w:rPr>
                <w:sz w:val="19"/>
              </w:rPr>
              <w:t>Hooks</w:t>
            </w:r>
          </w:p>
        </w:tc>
        <w:tc>
          <w:tcPr>
            <w:tcW w:w="5780" w:type="dxa"/>
            <w:tcMar>
              <w:top w:w="60" w:type="dxa"/>
              <w:left w:w="100" w:type="dxa"/>
              <w:bottom w:w="60" w:type="dxa"/>
              <w:right w:w="100" w:type="dxa"/>
            </w:tcMar>
            <w:vAlign w:val="center"/>
          </w:tcPr>
          <w:p>
            <w:pPr>
              <w:spacing w:after="0" w:line="260" w:lineRule="auto"/>
            </w:pPr>
            <w:r>
              <w:rPr>
                <w:sz w:val="19"/>
              </w:rPr>
              <w:t>Husky activo: un mensaje fuera de Conventional Commits se rechaza en local.</w:t>
            </w:r>
          </w:p>
        </w:tc>
      </w:tr>
    </w:tbl>
    <w:p>
      <w:pPr>
        <w:spacing w:after="60" w:line="276" w:lineRule="auto"/>
      </w:pPr>
    </w:p>
    <w:p>
      <w:pPr>
        <w:pStyle w:val="Ttulo1"/>
      </w:pPr>
      <w:r>
        <w:t>7. Pruebas</w:t>
      </w:r>
    </w:p>
    <w:p>
      <w:pPr>
        <w:spacing w:after="120" w:line="276" w:lineRule="auto"/>
      </w:pPr>
      <w:r>
        <w:t>Estrategia por nivel. Cada criterio de aceptación de la hoja Criterios de aceptación indica la prueba que lo verifica; la trazabilidad completa está en el Anexo B.</w:t>
      </w:r>
    </w:p>
    <w:p>
      <w:pPr>
        <w:keepNext/>
        <w:spacing w:before="120" w:after="80" w:line="276" w:lineRule="auto"/>
      </w:pPr>
      <w:r>
        <w:rPr>
          <w:b/>
          <w:color w:val="1F4E79"/>
          <w:sz w:val="19"/>
        </w:rPr>
        <w:t xml:space="preserve">Tabla 15. </w:t>
      </w:r>
      <w:r>
        <w:rPr>
          <w:color w:val="595959"/>
          <w:sz w:val="19"/>
        </w:rPr>
        <w:t>Estrategia de pruebas por nivel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200"/>
        <w:gridCol w:w="3000"/>
        <w:gridCol w:w="1500"/>
        <w:gridCol w:w="1700"/>
        <w:gridCol w:w="2680"/>
      </w:tblGrid>
      <w:tr>
        <w:trPr>
          <w:cantSplit/>
          <w:tblHeader/>
        </w:trPr>
        <w:tc>
          <w:tcPr>
            <w:tcW w:w="1200" w:type="dxa"/>
            <w:shd w:val="clear" w:color="auto" w:fill="DDEBF7"/>
            <w:tcMar>
              <w:top w:w="60" w:type="dxa"/>
              <w:left w:w="100" w:type="dxa"/>
              <w:bottom w:w="60" w:type="dxa"/>
              <w:right w:w="100" w:type="dxa"/>
            </w:tcMar>
          </w:tcPr>
          <w:p>
            <w:pPr>
              <w:spacing w:after="0" w:line="260" w:lineRule="auto"/>
            </w:pPr>
            <w:r>
              <w:rPr>
                <w:b/>
                <w:sz w:val="18"/>
              </w:rPr>
              <w:t>Nivel</w:t>
            </w:r>
          </w:p>
        </w:tc>
        <w:tc>
          <w:tcPr>
            <w:tcW w:w="3000" w:type="dxa"/>
            <w:shd w:val="clear" w:color="auto" w:fill="DDEBF7"/>
            <w:tcMar>
              <w:top w:w="60" w:type="dxa"/>
              <w:left w:w="100" w:type="dxa"/>
              <w:bottom w:w="60" w:type="dxa"/>
              <w:right w:w="100" w:type="dxa"/>
            </w:tcMar>
          </w:tcPr>
          <w:p>
            <w:pPr>
              <w:spacing w:after="0" w:line="260" w:lineRule="auto"/>
            </w:pPr>
            <w:r>
              <w:rPr>
                <w:b/>
                <w:sz w:val="18"/>
              </w:rPr>
              <w:t>Técnica y herramienta</w:t>
            </w:r>
          </w:p>
        </w:tc>
        <w:tc>
          <w:tcPr>
            <w:tcW w:w="1500" w:type="dxa"/>
            <w:shd w:val="clear" w:color="auto" w:fill="DDEBF7"/>
            <w:tcMar>
              <w:top w:w="60" w:type="dxa"/>
              <w:left w:w="100" w:type="dxa"/>
              <w:bottom w:w="60" w:type="dxa"/>
              <w:right w:w="100" w:type="dxa"/>
            </w:tcMar>
          </w:tcPr>
          <w:p>
            <w:pPr>
              <w:spacing w:after="0" w:line="260" w:lineRule="auto"/>
            </w:pPr>
            <w:r>
              <w:rPr>
                <w:b/>
                <w:sz w:val="18"/>
              </w:rPr>
              <w:t>Responsable</w:t>
            </w:r>
          </w:p>
        </w:tc>
        <w:tc>
          <w:tcPr>
            <w:tcW w:w="1700" w:type="dxa"/>
            <w:shd w:val="clear" w:color="auto" w:fill="DDEBF7"/>
            <w:tcMar>
              <w:top w:w="60" w:type="dxa"/>
              <w:left w:w="100" w:type="dxa"/>
              <w:bottom w:w="60" w:type="dxa"/>
              <w:right w:w="100" w:type="dxa"/>
            </w:tcMar>
          </w:tcPr>
          <w:p>
            <w:pPr>
              <w:spacing w:after="0" w:line="260" w:lineRule="auto"/>
            </w:pPr>
            <w:r>
              <w:rPr>
                <w:b/>
                <w:sz w:val="18"/>
              </w:rPr>
              <w:t>Criterio de entrada</w:t>
            </w:r>
          </w:p>
        </w:tc>
        <w:tc>
          <w:tcPr>
            <w:tcW w:w="2680" w:type="dxa"/>
            <w:shd w:val="clear" w:color="auto" w:fill="DDEBF7"/>
            <w:tcMar>
              <w:top w:w="60" w:type="dxa"/>
              <w:left w:w="100" w:type="dxa"/>
              <w:bottom w:w="60" w:type="dxa"/>
              <w:right w:w="100" w:type="dxa"/>
            </w:tcMar>
          </w:tcPr>
          <w:p>
            <w:pPr>
              <w:spacing w:after="0" w:line="260" w:lineRule="auto"/>
            </w:pPr>
            <w:r>
              <w:rPr>
                <w:b/>
                <w:sz w:val="18"/>
              </w:rPr>
              <w:t>Criterio de salida</w:t>
            </w:r>
          </w:p>
        </w:tc>
      </w:tr>
      <w:tr>
        <w:trPr>
          <w:cantSplit/>
        </w:trPr>
        <w:tc>
          <w:tcPr>
            <w:tcW w:w="1200" w:type="dxa"/>
            <w:tcMar>
              <w:top w:w="60" w:type="dxa"/>
              <w:left w:w="100" w:type="dxa"/>
              <w:bottom w:w="60" w:type="dxa"/>
              <w:right w:w="100" w:type="dxa"/>
            </w:tcMar>
            <w:vAlign w:val="center"/>
          </w:tcPr>
          <w:p>
            <w:pPr>
              <w:spacing w:after="0" w:line="260" w:lineRule="auto"/>
            </w:pPr>
            <w:r>
              <w:rPr>
                <w:sz w:val="18"/>
              </w:rPr>
              <w:t>Unitario</w:t>
            </w:r>
          </w:p>
        </w:tc>
        <w:tc>
          <w:tcPr>
            <w:tcW w:w="3000" w:type="dxa"/>
            <w:tcMar>
              <w:top w:w="60" w:type="dxa"/>
              <w:left w:w="100" w:type="dxa"/>
              <w:bottom w:w="60" w:type="dxa"/>
              <w:right w:w="100" w:type="dxa"/>
            </w:tcMar>
            <w:vAlign w:val="center"/>
          </w:tcPr>
          <w:p>
            <w:pPr>
              <w:spacing w:after="0" w:line="260" w:lineRule="auto"/>
            </w:pPr>
            <w:r>
              <w:rPr>
                <w:sz w:val="18"/>
              </w:rPr>
              <w:t>TDD obligatorio en los cinco módulos críticos; Jest. Aritmética decimal (decimal.js) en el cálculo.</w:t>
            </w:r>
          </w:p>
        </w:tc>
        <w:tc>
          <w:tcPr>
            <w:tcW w:w="1500" w:type="dxa"/>
            <w:tcMar>
              <w:top w:w="60" w:type="dxa"/>
              <w:left w:w="100" w:type="dxa"/>
              <w:bottom w:w="60" w:type="dxa"/>
              <w:right w:w="100" w:type="dxa"/>
            </w:tcMar>
            <w:vAlign w:val="center"/>
          </w:tcPr>
          <w:p>
            <w:pPr>
              <w:spacing w:after="0" w:line="260" w:lineRule="auto"/>
            </w:pPr>
            <w:r>
              <w:rPr>
                <w:sz w:val="18"/>
              </w:rPr>
              <w:t>Dev (Lujan); API no crítica: Galvan</w:t>
            </w:r>
          </w:p>
        </w:tc>
        <w:tc>
          <w:tcPr>
            <w:tcW w:w="1700" w:type="dxa"/>
            <w:tcMar>
              <w:top w:w="60" w:type="dxa"/>
              <w:left w:w="100" w:type="dxa"/>
              <w:bottom w:w="60" w:type="dxa"/>
              <w:right w:w="100" w:type="dxa"/>
            </w:tcMar>
            <w:vAlign w:val="center"/>
          </w:tcPr>
          <w:p>
            <w:pPr>
              <w:spacing w:after="0" w:line="260" w:lineRule="auto"/>
            </w:pPr>
            <w:r>
              <w:rPr>
                <w:sz w:val="18"/>
              </w:rPr>
              <w:t>Historia que cumple la Definition of Ready</w:t>
            </w:r>
          </w:p>
        </w:tc>
        <w:tc>
          <w:tcPr>
            <w:tcW w:w="2680" w:type="dxa"/>
            <w:tcMar>
              <w:top w:w="60" w:type="dxa"/>
              <w:left w:w="100" w:type="dxa"/>
              <w:bottom w:w="60" w:type="dxa"/>
              <w:right w:w="100" w:type="dxa"/>
            </w:tcMar>
            <w:vAlign w:val="center"/>
          </w:tcPr>
          <w:p>
            <w:pPr>
              <w:spacing w:after="0" w:line="260" w:lineRule="auto"/>
            </w:pPr>
            <w:r>
              <w:rPr>
                <w:sz w:val="18"/>
              </w:rPr>
              <w:t>100 % de casos en verde (M01); cobertura ≥ 90 % por módulo crítico (M06) y ≥ 80 % en código nuevo (M05)</w:t>
            </w:r>
          </w:p>
        </w:tc>
      </w:tr>
      <w:tr>
        <w:trPr>
          <w:cantSplit/>
        </w:trPr>
        <w:tc>
          <w:tcPr>
            <w:tcW w:w="1200" w:type="dxa"/>
            <w:tcMar>
              <w:top w:w="60" w:type="dxa"/>
              <w:left w:w="100" w:type="dxa"/>
              <w:bottom w:w="60" w:type="dxa"/>
              <w:right w:w="100" w:type="dxa"/>
            </w:tcMar>
            <w:vAlign w:val="center"/>
          </w:tcPr>
          <w:p>
            <w:pPr>
              <w:spacing w:after="0" w:line="260" w:lineRule="auto"/>
            </w:pPr>
            <w:r>
              <w:rPr>
                <w:sz w:val="18"/>
              </w:rPr>
              <w:t>Integración</w:t>
            </w:r>
          </w:p>
        </w:tc>
        <w:tc>
          <w:tcPr>
            <w:tcW w:w="3000" w:type="dxa"/>
            <w:tcMar>
              <w:top w:w="60" w:type="dxa"/>
              <w:left w:w="100" w:type="dxa"/>
              <w:bottom w:w="60" w:type="dxa"/>
              <w:right w:w="100" w:type="dxa"/>
            </w:tcMar>
            <w:vAlign w:val="center"/>
          </w:tcPr>
          <w:p>
            <w:pPr>
              <w:spacing w:after="0" w:line="260" w:lineRule="auto"/>
            </w:pPr>
            <w:r>
              <w:rPr>
                <w:sz w:val="18"/>
              </w:rPr>
              <w:t>Jest + Supertest contra PostgreSQL 16 real (service container en CI, Docker en local), con las migraciones de TypeORM aplicadas desde cero en cada ejecución</w:t>
            </w:r>
          </w:p>
        </w:tc>
        <w:tc>
          <w:tcPr>
            <w:tcW w:w="1500" w:type="dxa"/>
            <w:tcMar>
              <w:top w:w="60" w:type="dxa"/>
              <w:left w:w="100" w:type="dxa"/>
              <w:bottom w:w="60" w:type="dxa"/>
              <w:right w:w="100" w:type="dxa"/>
            </w:tcMar>
            <w:vAlign w:val="center"/>
          </w:tcPr>
          <w:p>
            <w:pPr>
              <w:spacing w:after="0" w:line="260" w:lineRule="auto"/>
            </w:pPr>
            <w:r>
              <w:rPr>
                <w:sz w:val="18"/>
              </w:rPr>
              <w:t>Dev (Lujan)</w:t>
            </w:r>
          </w:p>
        </w:tc>
        <w:tc>
          <w:tcPr>
            <w:tcW w:w="1700" w:type="dxa"/>
            <w:tcMar>
              <w:top w:w="60" w:type="dxa"/>
              <w:left w:w="100" w:type="dxa"/>
              <w:bottom w:w="60" w:type="dxa"/>
              <w:right w:w="100" w:type="dxa"/>
            </w:tcMar>
            <w:vAlign w:val="center"/>
          </w:tcPr>
          <w:p>
            <w:pPr>
              <w:spacing w:after="0" w:line="260" w:lineRule="auto"/>
            </w:pPr>
            <w:r>
              <w:rPr>
                <w:sz w:val="18"/>
              </w:rPr>
              <w:t>Unitarias en verde</w:t>
            </w:r>
          </w:p>
        </w:tc>
        <w:tc>
          <w:tcPr>
            <w:tcW w:w="2680" w:type="dxa"/>
            <w:tcMar>
              <w:top w:w="60" w:type="dxa"/>
              <w:left w:w="100" w:type="dxa"/>
              <w:bottom w:w="60" w:type="dxa"/>
              <w:right w:w="100" w:type="dxa"/>
            </w:tcMar>
            <w:vAlign w:val="center"/>
          </w:tcPr>
          <w:p>
            <w:pPr>
              <w:spacing w:after="0" w:line="260" w:lineRule="auto"/>
            </w:pPr>
            <w:r>
              <w:rPr>
                <w:sz w:val="18"/>
              </w:rPr>
              <w:t>100 % de suites en verde; 100 % de rutas protegidas rechazan con 403 (M09); 100 % de cambios auditados (M15)</w:t>
            </w:r>
          </w:p>
        </w:tc>
      </w:tr>
      <w:tr>
        <w:trPr>
          <w:cantSplit/>
        </w:trPr>
        <w:tc>
          <w:tcPr>
            <w:tcW w:w="1200" w:type="dxa"/>
            <w:tcMar>
              <w:top w:w="60" w:type="dxa"/>
              <w:left w:w="100" w:type="dxa"/>
              <w:bottom w:w="60" w:type="dxa"/>
              <w:right w:w="100" w:type="dxa"/>
            </w:tcMar>
            <w:vAlign w:val="center"/>
          </w:tcPr>
          <w:p>
            <w:pPr>
              <w:spacing w:after="0" w:line="260" w:lineRule="auto"/>
            </w:pPr>
            <w:r>
              <w:rPr>
                <w:sz w:val="18"/>
              </w:rPr>
              <w:t>Sistema</w:t>
            </w:r>
          </w:p>
        </w:tc>
        <w:tc>
          <w:tcPr>
            <w:tcW w:w="3000" w:type="dxa"/>
            <w:tcMar>
              <w:top w:w="60" w:type="dxa"/>
              <w:left w:w="100" w:type="dxa"/>
              <w:bottom w:w="60" w:type="dxa"/>
              <w:right w:w="100" w:type="dxa"/>
            </w:tcMar>
            <w:vAlign w:val="center"/>
          </w:tcPr>
          <w:p>
            <w:pPr>
              <w:spacing w:after="0" w:line="260" w:lineRule="auto"/>
            </w:pPr>
            <w:r>
              <w:rPr>
                <w:sz w:val="18"/>
              </w:rPr>
              <w:t>E2E con Cypress contra staging (M02); carga con JMeter en el ambiente de rendimiento (M03, M04); análisis de seguridad (M08)</w:t>
            </w:r>
          </w:p>
        </w:tc>
        <w:tc>
          <w:tcPr>
            <w:tcW w:w="1500" w:type="dxa"/>
            <w:tcMar>
              <w:top w:w="60" w:type="dxa"/>
              <w:left w:w="100" w:type="dxa"/>
              <w:bottom w:w="60" w:type="dxa"/>
              <w:right w:w="100" w:type="dxa"/>
            </w:tcMar>
            <w:vAlign w:val="center"/>
          </w:tcPr>
          <w:p>
            <w:pPr>
              <w:spacing w:after="0" w:line="260" w:lineRule="auto"/>
            </w:pPr>
            <w:r>
              <w:rPr>
                <w:sz w:val="18"/>
              </w:rPr>
              <w:t>Tester (Galvan)</w:t>
            </w:r>
          </w:p>
        </w:tc>
        <w:tc>
          <w:tcPr>
            <w:tcW w:w="1700" w:type="dxa"/>
            <w:tcMar>
              <w:top w:w="60" w:type="dxa"/>
              <w:left w:w="100" w:type="dxa"/>
              <w:bottom w:w="60" w:type="dxa"/>
              <w:right w:w="100" w:type="dxa"/>
            </w:tcMar>
            <w:vAlign w:val="center"/>
          </w:tcPr>
          <w:p>
            <w:pPr>
              <w:spacing w:after="0" w:line="260" w:lineRule="auto"/>
            </w:pPr>
            <w:r>
              <w:rPr>
                <w:sz w:val="18"/>
              </w:rPr>
              <w:t>Smoke test en verde con el commit correcto</w:t>
            </w:r>
          </w:p>
        </w:tc>
        <w:tc>
          <w:tcPr>
            <w:tcW w:w="2680" w:type="dxa"/>
            <w:tcMar>
              <w:top w:w="60" w:type="dxa"/>
              <w:left w:w="100" w:type="dxa"/>
              <w:bottom w:w="60" w:type="dxa"/>
              <w:right w:w="100" w:type="dxa"/>
            </w:tcMar>
            <w:vAlign w:val="center"/>
          </w:tcPr>
          <w:p>
            <w:pPr>
              <w:spacing w:after="0" w:line="260" w:lineRule="auto"/>
            </w:pPr>
            <w:r>
              <w:rPr>
                <w:sz w:val="18"/>
              </w:rPr>
              <w:t>100 % de escenarios E2E; p95 del boletín ≤ 2000 ms; tasa de error &lt; 1 %; 0 vulnerabilidades altas o críticas</w:t>
            </w:r>
          </w:p>
        </w:tc>
      </w:tr>
      <w:tr>
        <w:trPr>
          <w:cantSplit/>
        </w:trPr>
        <w:tc>
          <w:tcPr>
            <w:tcW w:w="1200" w:type="dxa"/>
            <w:tcMar>
              <w:top w:w="60" w:type="dxa"/>
              <w:left w:w="100" w:type="dxa"/>
              <w:bottom w:w="60" w:type="dxa"/>
              <w:right w:w="100" w:type="dxa"/>
            </w:tcMar>
            <w:vAlign w:val="center"/>
          </w:tcPr>
          <w:p>
            <w:pPr>
              <w:spacing w:after="0" w:line="260" w:lineRule="auto"/>
            </w:pPr>
            <w:r>
              <w:rPr>
                <w:sz w:val="18"/>
              </w:rPr>
              <w:t>Aceptación</w:t>
            </w:r>
          </w:p>
        </w:tc>
        <w:tc>
          <w:tcPr>
            <w:tcW w:w="3000" w:type="dxa"/>
            <w:tcMar>
              <w:top w:w="60" w:type="dxa"/>
              <w:left w:w="100" w:type="dxa"/>
              <w:bottom w:w="60" w:type="dxa"/>
              <w:right w:w="100" w:type="dxa"/>
            </w:tcMar>
            <w:vAlign w:val="center"/>
          </w:tcPr>
          <w:p>
            <w:pPr>
              <w:spacing w:after="0" w:line="260" w:lineRule="auto"/>
            </w:pPr>
            <w:r>
              <w:rPr>
                <w:sz w:val="18"/>
              </w:rPr>
              <w:t>Escenarios del cliente sobre las historias del sprint; prueba de usabilidad con 5 profesores nuevos y SUS (M11, M12)</w:t>
            </w:r>
          </w:p>
        </w:tc>
        <w:tc>
          <w:tcPr>
            <w:tcW w:w="1500" w:type="dxa"/>
            <w:tcMar>
              <w:top w:w="60" w:type="dxa"/>
              <w:left w:w="100" w:type="dxa"/>
              <w:bottom w:w="60" w:type="dxa"/>
              <w:right w:w="100" w:type="dxa"/>
            </w:tcMar>
            <w:vAlign w:val="center"/>
          </w:tcPr>
          <w:p>
            <w:pPr>
              <w:spacing w:after="0" w:line="260" w:lineRule="auto"/>
            </w:pPr>
            <w:r>
              <w:rPr>
                <w:sz w:val="18"/>
              </w:rPr>
              <w:t>Líder (Lujan) con el cliente; usabilidad: Tester</w:t>
            </w:r>
          </w:p>
        </w:tc>
        <w:tc>
          <w:tcPr>
            <w:tcW w:w="1700" w:type="dxa"/>
            <w:tcMar>
              <w:top w:w="60" w:type="dxa"/>
              <w:left w:w="100" w:type="dxa"/>
              <w:bottom w:w="60" w:type="dxa"/>
              <w:right w:w="100" w:type="dxa"/>
            </w:tcMar>
            <w:vAlign w:val="center"/>
          </w:tcPr>
          <w:p>
            <w:pPr>
              <w:spacing w:after="0" w:line="260" w:lineRule="auto"/>
            </w:pPr>
            <w:r>
              <w:rPr>
                <w:sz w:val="18"/>
              </w:rPr>
              <w:t>Pruebas de sistema aprobadas</w:t>
            </w:r>
          </w:p>
        </w:tc>
        <w:tc>
          <w:tcPr>
            <w:tcW w:w="2680" w:type="dxa"/>
            <w:tcMar>
              <w:top w:w="60" w:type="dxa"/>
              <w:left w:w="100" w:type="dxa"/>
              <w:bottom w:w="60" w:type="dxa"/>
              <w:right w:w="100" w:type="dxa"/>
            </w:tcMar>
            <w:vAlign w:val="center"/>
          </w:tcPr>
          <w:p>
            <w:pPr>
              <w:spacing w:after="0" w:line="260" w:lineRule="auto"/>
            </w:pPr>
            <w:r>
              <w:rPr>
                <w:sz w:val="18"/>
              </w:rPr>
              <w:t>0 defectos S1 o S2 abiertos; ≥ 4 de 5 profesores completan la tarea; SUS ≥ 68; acta firmada</w:t>
            </w:r>
          </w:p>
        </w:tc>
      </w:tr>
    </w:tbl>
    <w:p>
      <w:pPr>
        <w:spacing w:after="60" w:line="276" w:lineRule="auto"/>
      </w:pPr>
    </w:p>
    <w:p>
      <w:pPr>
        <w:spacing w:after="120" w:line="276" w:lineRule="auto"/>
      </w:pPr>
      <w:r>
        <w:rPr>
          <w:b/>
        </w:rPr>
        <w:t>Cobertura mínima global y por módulo crítico:</w:t>
      </w:r>
      <w:r>
        <w:t xml:space="preserve"> código nuevo de todo el repositorio ≥ 80 % de líneas, medido por SonarQube Cloud (M05); cada módulo crítico de la Tabla 4 ≥ 90 % de líneas, exigido por Jest (M06).</w:t>
      </w:r>
    </w:p>
    <w:p>
      <w:pPr>
        <w:spacing w:after="120" w:line="276" w:lineRule="auto"/>
      </w:pPr>
      <w:r>
        <w:t>La integración usa PostgreSQL real y no una base en memoria ni SQLite, porque las diferencias de tipos (</w:t>
      </w:r>
      <w:r>
        <w:rPr>
          <w:rFonts w:ascii="Consolas" w:hAnsi="Consolas" w:cs="Consolas"/>
          <w:sz w:val="19"/>
        </w:rPr>
        <w:t>numeric</w:t>
      </w:r>
      <w:r>
        <w:t xml:space="preserve">, </w:t>
      </w:r>
      <w:r>
        <w:rPr>
          <w:rFonts w:ascii="Consolas" w:hAnsi="Consolas" w:cs="Consolas"/>
          <w:sz w:val="19"/>
        </w:rPr>
        <w:t>timestamptz</w:t>
      </w:r>
      <w:r>
        <w:t>), collation y restricciones dejarían pasar defectos que solo aparecen en producción.</w:t>
      </w:r>
    </w:p>
    <w:p>
      <w:pPr>
        <w:pStyle w:val="Ttulo2"/>
      </w:pPr>
      <w:r>
        <w:t>7.1 Ambientes</w:t>
      </w:r>
    </w:p>
    <w:p>
      <w:pPr>
        <w:keepNext/>
        <w:spacing w:before="120" w:after="80" w:line="276" w:lineRule="auto"/>
      </w:pPr>
      <w:r>
        <w:rPr>
          <w:b/>
          <w:color w:val="1F4E79"/>
          <w:sz w:val="19"/>
        </w:rPr>
        <w:t xml:space="preserve">Tabla 16. </w:t>
      </w:r>
      <w:r>
        <w:rPr>
          <w:color w:val="595959"/>
          <w:sz w:val="19"/>
        </w:rPr>
        <w:t>Ambientes de prueba y despliegue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400"/>
        <w:gridCol w:w="2300"/>
        <w:gridCol w:w="3800"/>
        <w:gridCol w:w="2580"/>
      </w:tblGrid>
      <w:tr>
        <w:trPr>
          <w:cantSplit/>
          <w:tblHeader/>
        </w:trPr>
        <w:tc>
          <w:tcPr>
            <w:tcW w:w="1400" w:type="dxa"/>
            <w:shd w:val="clear" w:color="auto" w:fill="DDEBF7"/>
            <w:tcMar>
              <w:top w:w="60" w:type="dxa"/>
              <w:left w:w="100" w:type="dxa"/>
              <w:bottom w:w="60" w:type="dxa"/>
              <w:right w:w="100" w:type="dxa"/>
            </w:tcMar>
          </w:tcPr>
          <w:p>
            <w:pPr>
              <w:spacing w:after="0" w:line="260" w:lineRule="auto"/>
            </w:pPr>
            <w:r>
              <w:rPr>
                <w:b/>
                <w:sz w:val="20"/>
              </w:rPr>
              <w:t>Ambiente</w:t>
            </w:r>
          </w:p>
        </w:tc>
        <w:tc>
          <w:tcPr>
            <w:tcW w:w="2300" w:type="dxa"/>
            <w:shd w:val="clear" w:color="auto" w:fill="DDEBF7"/>
            <w:tcMar>
              <w:top w:w="60" w:type="dxa"/>
              <w:left w:w="100" w:type="dxa"/>
              <w:bottom w:w="60" w:type="dxa"/>
              <w:right w:w="100" w:type="dxa"/>
            </w:tcMar>
          </w:tcPr>
          <w:p>
            <w:pPr>
              <w:spacing w:after="0" w:line="260" w:lineRule="auto"/>
            </w:pPr>
            <w:r>
              <w:rPr>
                <w:b/>
                <w:sz w:val="20"/>
              </w:rPr>
              <w:t>Para qué</w:t>
            </w:r>
          </w:p>
        </w:tc>
        <w:tc>
          <w:tcPr>
            <w:tcW w:w="3800" w:type="dxa"/>
            <w:shd w:val="clear" w:color="auto" w:fill="DDEBF7"/>
            <w:tcMar>
              <w:top w:w="60" w:type="dxa"/>
              <w:left w:w="100" w:type="dxa"/>
              <w:bottom w:w="60" w:type="dxa"/>
              <w:right w:w="100" w:type="dxa"/>
            </w:tcMar>
          </w:tcPr>
          <w:p>
            <w:pPr>
              <w:spacing w:after="0" w:line="260" w:lineRule="auto"/>
            </w:pPr>
            <w:r>
              <w:rPr>
                <w:b/>
                <w:sz w:val="20"/>
              </w:rPr>
              <w:t>Dónde</w:t>
            </w:r>
          </w:p>
        </w:tc>
        <w:tc>
          <w:tcPr>
            <w:tcW w:w="2580" w:type="dxa"/>
            <w:shd w:val="clear" w:color="auto" w:fill="DDEBF7"/>
            <w:tcMar>
              <w:top w:w="60" w:type="dxa"/>
              <w:left w:w="100" w:type="dxa"/>
              <w:bottom w:w="60" w:type="dxa"/>
              <w:right w:w="100" w:type="dxa"/>
            </w:tcMar>
          </w:tcPr>
          <w:p>
            <w:pPr>
              <w:spacing w:after="0" w:line="260" w:lineRule="auto"/>
            </w:pPr>
            <w:r>
              <w:rPr>
                <w:b/>
                <w:sz w:val="20"/>
              </w:rPr>
              <w:t>Datos</w:t>
            </w:r>
          </w:p>
        </w:tc>
      </w:tr>
      <w:tr>
        <w:trPr>
          <w:cantSplit/>
        </w:trPr>
        <w:tc>
          <w:tcPr>
            <w:tcW w:w="1400" w:type="dxa"/>
            <w:tcMar>
              <w:top w:w="60" w:type="dxa"/>
              <w:left w:w="100" w:type="dxa"/>
              <w:bottom w:w="60" w:type="dxa"/>
              <w:right w:w="100" w:type="dxa"/>
            </w:tcMar>
            <w:vAlign w:val="center"/>
          </w:tcPr>
          <w:p>
            <w:pPr>
              <w:spacing w:after="0" w:line="260" w:lineRule="auto"/>
            </w:pPr>
            <w:r>
              <w:rPr>
                <w:sz w:val="20"/>
              </w:rPr>
              <w:t>Local</w:t>
            </w:r>
          </w:p>
        </w:tc>
        <w:tc>
          <w:tcPr>
            <w:tcW w:w="2300" w:type="dxa"/>
            <w:tcMar>
              <w:top w:w="60" w:type="dxa"/>
              <w:left w:w="100" w:type="dxa"/>
              <w:bottom w:w="60" w:type="dxa"/>
              <w:right w:w="100" w:type="dxa"/>
            </w:tcMar>
            <w:vAlign w:val="center"/>
          </w:tcPr>
          <w:p>
            <w:pPr>
              <w:spacing w:after="0" w:line="260" w:lineRule="auto"/>
            </w:pPr>
            <w:r>
              <w:rPr>
                <w:sz w:val="20"/>
              </w:rPr>
              <w:t>Desarrollo y pruebas rápidas</w:t>
            </w:r>
          </w:p>
        </w:tc>
        <w:tc>
          <w:tcPr>
            <w:tcW w:w="3800" w:type="dxa"/>
            <w:tcMar>
              <w:top w:w="60" w:type="dxa"/>
              <w:left w:w="100" w:type="dxa"/>
              <w:bottom w:w="60" w:type="dxa"/>
              <w:right w:w="100" w:type="dxa"/>
            </w:tcMar>
            <w:vAlign w:val="center"/>
          </w:tcPr>
          <w:p>
            <w:pPr>
              <w:spacing w:after="0" w:line="260" w:lineRule="auto"/>
            </w:pPr>
            <w:r>
              <w:rPr>
                <w:sz w:val="20"/>
              </w:rPr>
              <w:t>Docker Compose: PostgreSQL 16 y Redis</w:t>
            </w:r>
          </w:p>
        </w:tc>
        <w:tc>
          <w:tcPr>
            <w:tcW w:w="2580" w:type="dxa"/>
            <w:tcMar>
              <w:top w:w="60" w:type="dxa"/>
              <w:left w:w="100" w:type="dxa"/>
              <w:bottom w:w="60" w:type="dxa"/>
              <w:right w:w="100" w:type="dxa"/>
            </w:tcMar>
            <w:vAlign w:val="center"/>
          </w:tcPr>
          <w:p>
            <w:pPr>
              <w:spacing w:after="0" w:line="260" w:lineRule="auto"/>
            </w:pPr>
            <w:r>
              <w:rPr>
                <w:sz w:val="20"/>
              </w:rPr>
              <w:t>Seed sintético (</w:t>
            </w:r>
            <w:r>
              <w:rPr>
                <w:rFonts w:ascii="Consolas" w:hAnsi="Consolas" w:cs="Consolas"/>
                <w:sz w:val="19"/>
              </w:rPr>
              <w:t>npm run -w api seed</w:t>
            </w:r>
            <w:r>
              <w:rPr>
                <w:sz w:val="20"/>
              </w:rPr>
              <w:t>)</w:t>
            </w:r>
          </w:p>
        </w:tc>
      </w:tr>
      <w:tr>
        <w:trPr>
          <w:cantSplit/>
        </w:trPr>
        <w:tc>
          <w:tcPr>
            <w:tcW w:w="1400" w:type="dxa"/>
            <w:tcMar>
              <w:top w:w="60" w:type="dxa"/>
              <w:left w:w="100" w:type="dxa"/>
              <w:bottom w:w="60" w:type="dxa"/>
              <w:right w:w="100" w:type="dxa"/>
            </w:tcMar>
            <w:vAlign w:val="center"/>
          </w:tcPr>
          <w:p>
            <w:pPr>
              <w:spacing w:after="0" w:line="260" w:lineRule="auto"/>
            </w:pPr>
            <w:r>
              <w:rPr>
                <w:sz w:val="20"/>
              </w:rPr>
              <w:t>CI</w:t>
            </w:r>
          </w:p>
        </w:tc>
        <w:tc>
          <w:tcPr>
            <w:tcW w:w="2300" w:type="dxa"/>
            <w:tcMar>
              <w:top w:w="60" w:type="dxa"/>
              <w:left w:w="100" w:type="dxa"/>
              <w:bottom w:w="60" w:type="dxa"/>
              <w:right w:w="100" w:type="dxa"/>
            </w:tcMar>
            <w:vAlign w:val="center"/>
          </w:tcPr>
          <w:p>
            <w:pPr>
              <w:spacing w:after="0" w:line="260" w:lineRule="auto"/>
            </w:pPr>
            <w:r>
              <w:rPr>
                <w:sz w:val="20"/>
              </w:rPr>
              <w:t>Pruebas de cada PR y de main</w:t>
            </w:r>
          </w:p>
        </w:tc>
        <w:tc>
          <w:tcPr>
            <w:tcW w:w="3800" w:type="dxa"/>
            <w:tcMar>
              <w:top w:w="60" w:type="dxa"/>
              <w:left w:w="100" w:type="dxa"/>
              <w:bottom w:w="60" w:type="dxa"/>
              <w:right w:w="100" w:type="dxa"/>
            </w:tcMar>
            <w:vAlign w:val="center"/>
          </w:tcPr>
          <w:p>
            <w:pPr>
              <w:spacing w:after="0" w:line="260" w:lineRule="auto"/>
            </w:pPr>
            <w:r>
              <w:rPr>
                <w:sz w:val="20"/>
              </w:rPr>
              <w:t xml:space="preserve">Agente de Jenkins con PostgreSQL 16 y Redis del </w:t>
            </w:r>
            <w:r>
              <w:rPr>
                <w:rFonts w:ascii="Consolas" w:hAnsi="Consolas" w:cs="Consolas"/>
                <w:sz w:val="19"/>
              </w:rPr>
              <w:t>jenkins/docker-compose.yml</w:t>
            </w:r>
            <w:r>
              <w:rPr>
                <w:sz w:val="20"/>
              </w:rPr>
              <w:t>; una base por build</w:t>
            </w:r>
          </w:p>
        </w:tc>
        <w:tc>
          <w:tcPr>
            <w:tcW w:w="2580" w:type="dxa"/>
            <w:tcMar>
              <w:top w:w="60" w:type="dxa"/>
              <w:left w:w="100" w:type="dxa"/>
              <w:bottom w:w="60" w:type="dxa"/>
              <w:right w:w="100" w:type="dxa"/>
            </w:tcMar>
            <w:vAlign w:val="center"/>
          </w:tcPr>
          <w:p>
            <w:pPr>
              <w:spacing w:after="0" w:line="260" w:lineRule="auto"/>
            </w:pPr>
            <w:r>
              <w:rPr>
                <w:sz w:val="20"/>
              </w:rPr>
              <w:t>Base vacía + migraciones + fixtures; se borra al terminar</w:t>
            </w:r>
          </w:p>
        </w:tc>
      </w:tr>
      <w:tr>
        <w:trPr>
          <w:cantSplit/>
        </w:trPr>
        <w:tc>
          <w:tcPr>
            <w:tcW w:w="1400" w:type="dxa"/>
            <w:tcMar>
              <w:top w:w="60" w:type="dxa"/>
              <w:left w:w="100" w:type="dxa"/>
              <w:bottom w:w="60" w:type="dxa"/>
              <w:right w:w="100" w:type="dxa"/>
            </w:tcMar>
            <w:vAlign w:val="center"/>
          </w:tcPr>
          <w:p>
            <w:pPr>
              <w:spacing w:after="0" w:line="260" w:lineRule="auto"/>
            </w:pPr>
            <w:r>
              <w:rPr>
                <w:sz w:val="20"/>
              </w:rPr>
              <w:t>Staging</w:t>
            </w:r>
          </w:p>
        </w:tc>
        <w:tc>
          <w:tcPr>
            <w:tcW w:w="2300" w:type="dxa"/>
            <w:tcMar>
              <w:top w:w="60" w:type="dxa"/>
              <w:left w:w="100" w:type="dxa"/>
              <w:bottom w:w="60" w:type="dxa"/>
              <w:right w:w="100" w:type="dxa"/>
            </w:tcMar>
            <w:vAlign w:val="center"/>
          </w:tcPr>
          <w:p>
            <w:pPr>
              <w:spacing w:after="0" w:line="260" w:lineRule="auto"/>
            </w:pPr>
            <w:r>
              <w:rPr>
                <w:sz w:val="20"/>
              </w:rPr>
              <w:t>E2E, smoke test y demo del sprint</w:t>
            </w:r>
          </w:p>
        </w:tc>
        <w:tc>
          <w:tcPr>
            <w:tcW w:w="3800" w:type="dxa"/>
            <w:tcMar>
              <w:top w:w="60" w:type="dxa"/>
              <w:left w:w="100" w:type="dxa"/>
              <w:bottom w:w="60" w:type="dxa"/>
              <w:right w:w="100" w:type="dxa"/>
            </w:tcMar>
            <w:vAlign w:val="center"/>
          </w:tcPr>
          <w:p>
            <w:pPr>
              <w:spacing w:after="0" w:line="260" w:lineRule="auto"/>
            </w:pPr>
            <w:r>
              <w:rPr>
                <w:sz w:val="20"/>
              </w:rPr>
              <w:t>API y web en Render (render.yaml), PostgreSQL de Render</w:t>
            </w:r>
          </w:p>
        </w:tc>
        <w:tc>
          <w:tcPr>
            <w:tcW w:w="2580" w:type="dxa"/>
            <w:tcMar>
              <w:top w:w="60" w:type="dxa"/>
              <w:left w:w="100" w:type="dxa"/>
              <w:bottom w:w="60" w:type="dxa"/>
              <w:right w:w="100" w:type="dxa"/>
            </w:tcMar>
            <w:vAlign w:val="center"/>
          </w:tcPr>
          <w:p>
            <w:pPr>
              <w:spacing w:after="0" w:line="260" w:lineRule="auto"/>
            </w:pPr>
            <w:r>
              <w:rPr>
                <w:sz w:val="20"/>
              </w:rPr>
              <w:t>Seed sintético; se recrea en cada sprint</w:t>
            </w:r>
          </w:p>
        </w:tc>
      </w:tr>
      <w:tr>
        <w:trPr>
          <w:cantSplit/>
        </w:trPr>
        <w:tc>
          <w:tcPr>
            <w:tcW w:w="1400" w:type="dxa"/>
            <w:tcMar>
              <w:top w:w="60" w:type="dxa"/>
              <w:left w:w="100" w:type="dxa"/>
              <w:bottom w:w="60" w:type="dxa"/>
              <w:right w:w="100" w:type="dxa"/>
            </w:tcMar>
            <w:vAlign w:val="center"/>
          </w:tcPr>
          <w:p>
            <w:pPr>
              <w:spacing w:after="0" w:line="260" w:lineRule="auto"/>
            </w:pPr>
            <w:r>
              <w:rPr>
                <w:sz w:val="20"/>
              </w:rPr>
              <w:t>Rendimiento</w:t>
            </w:r>
          </w:p>
        </w:tc>
        <w:tc>
          <w:tcPr>
            <w:tcW w:w="2300" w:type="dxa"/>
            <w:tcMar>
              <w:top w:w="60" w:type="dxa"/>
              <w:left w:w="100" w:type="dxa"/>
              <w:bottom w:w="60" w:type="dxa"/>
              <w:right w:w="100" w:type="dxa"/>
            </w:tcMar>
            <w:vAlign w:val="center"/>
          </w:tcPr>
          <w:p>
            <w:pPr>
              <w:spacing w:after="0" w:line="260" w:lineRule="auto"/>
            </w:pPr>
            <w:r>
              <w:rPr>
                <w:sz w:val="20"/>
              </w:rPr>
              <w:t>JMeter (M03, M04)</w:t>
            </w:r>
          </w:p>
        </w:tc>
        <w:tc>
          <w:tcPr>
            <w:tcW w:w="3800" w:type="dxa"/>
            <w:tcMar>
              <w:top w:w="60" w:type="dxa"/>
              <w:left w:w="100" w:type="dxa"/>
              <w:bottom w:w="60" w:type="dxa"/>
              <w:right w:w="100" w:type="dxa"/>
            </w:tcMar>
            <w:vAlign w:val="center"/>
          </w:tcPr>
          <w:p>
            <w:pPr>
              <w:spacing w:after="0" w:line="260" w:lineRule="auto"/>
            </w:pPr>
            <w:r>
              <w:rPr>
                <w:sz w:val="20"/>
              </w:rPr>
              <w:t>API compilada del commit etiquetado, ejecutada en el agente de Jenkins con su PostgreSQL y Redis</w:t>
            </w:r>
          </w:p>
        </w:tc>
        <w:tc>
          <w:tcPr>
            <w:tcW w:w="2580" w:type="dxa"/>
            <w:tcMar>
              <w:top w:w="60" w:type="dxa"/>
              <w:left w:w="100" w:type="dxa"/>
              <w:bottom w:w="60" w:type="dxa"/>
              <w:right w:w="100" w:type="dxa"/>
            </w:tcMar>
            <w:vAlign w:val="center"/>
          </w:tcPr>
          <w:p>
            <w:pPr>
              <w:spacing w:after="0" w:line="260" w:lineRule="auto"/>
            </w:pPr>
            <w:r>
              <w:rPr>
                <w:sz w:val="20"/>
              </w:rPr>
              <w:t>Seed sintético de 40 cursos y 60 estudiantes por curso</w:t>
            </w:r>
          </w:p>
        </w:tc>
      </w:tr>
      <w:tr>
        <w:trPr>
          <w:cantSplit/>
        </w:trPr>
        <w:tc>
          <w:tcPr>
            <w:tcW w:w="1400" w:type="dxa"/>
            <w:tcMar>
              <w:top w:w="60" w:type="dxa"/>
              <w:left w:w="100" w:type="dxa"/>
              <w:bottom w:w="60" w:type="dxa"/>
              <w:right w:w="100" w:type="dxa"/>
            </w:tcMar>
            <w:vAlign w:val="center"/>
          </w:tcPr>
          <w:p>
            <w:pPr>
              <w:spacing w:after="0" w:line="260" w:lineRule="auto"/>
            </w:pPr>
            <w:r>
              <w:rPr>
                <w:sz w:val="20"/>
              </w:rPr>
              <w:t>Producción</w:t>
            </w:r>
          </w:p>
        </w:tc>
        <w:tc>
          <w:tcPr>
            <w:tcW w:w="2300" w:type="dxa"/>
            <w:tcMar>
              <w:top w:w="60" w:type="dxa"/>
              <w:left w:w="100" w:type="dxa"/>
              <w:bottom w:w="60" w:type="dxa"/>
              <w:right w:w="100" w:type="dxa"/>
            </w:tcMar>
            <w:vAlign w:val="center"/>
          </w:tcPr>
          <w:p>
            <w:pPr>
              <w:spacing w:after="0" w:line="260" w:lineRule="auto"/>
            </w:pPr>
            <w:r>
              <w:rPr>
                <w:sz w:val="20"/>
              </w:rPr>
              <w:t>Uso del cliente</w:t>
            </w:r>
          </w:p>
        </w:tc>
        <w:tc>
          <w:tcPr>
            <w:tcW w:w="3800" w:type="dxa"/>
            <w:tcMar>
              <w:top w:w="60" w:type="dxa"/>
              <w:left w:w="100" w:type="dxa"/>
              <w:bottom w:w="60" w:type="dxa"/>
              <w:right w:w="100" w:type="dxa"/>
            </w:tcMar>
            <w:vAlign w:val="center"/>
          </w:tcPr>
          <w:p>
            <w:pPr>
              <w:spacing w:after="0" w:line="260" w:lineRule="auto"/>
            </w:pPr>
            <w:r>
              <w:rPr>
                <w:sz w:val="20"/>
              </w:rPr>
              <w:t>Igual que staging, con su propia base y secretos</w:t>
            </w:r>
          </w:p>
        </w:tc>
        <w:tc>
          <w:tcPr>
            <w:tcW w:w="2580" w:type="dxa"/>
            <w:tcMar>
              <w:top w:w="60" w:type="dxa"/>
              <w:left w:w="100" w:type="dxa"/>
              <w:bottom w:w="60" w:type="dxa"/>
              <w:right w:w="100" w:type="dxa"/>
            </w:tcMar>
            <w:vAlign w:val="center"/>
          </w:tcPr>
          <w:p>
            <w:pPr>
              <w:spacing w:after="0" w:line="260" w:lineRule="auto"/>
            </w:pPr>
            <w:r>
              <w:rPr>
                <w:sz w:val="20"/>
              </w:rPr>
              <w:t>Datos reales; nunca se copian a otro ambiente</w:t>
            </w:r>
          </w:p>
        </w:tc>
      </w:tr>
    </w:tbl>
    <w:p>
      <w:pPr>
        <w:spacing w:after="60" w:line="276" w:lineRule="auto"/>
      </w:pPr>
    </w:p>
    <w:p>
      <w:pPr>
        <w:spacing w:after="120" w:line="276" w:lineRule="auto"/>
      </w:pPr>
      <w:r>
        <w:t>El servicio gratuito de Render se suspende tras 15 minutos sin tráfico y tarda cerca de un minuto en despertar. Por eso la carga se mide en el ambiente de rendimiento (agente de Jenkins) y no en staging. Cada plan de JMeter inicia sesión en un grupo de preparación que no se mide y sube a los 100 usuarios en 60 segundos.</w:t>
      </w:r>
    </w:p>
    <w:p>
      <w:pPr>
        <w:pStyle w:val="Ttulo2"/>
      </w:pPr>
      <w:r>
        <w:t>7.2 Datos de prueba, regresión y seguridad</w:t>
      </w:r>
    </w:p>
    <w:p>
      <w:pPr>
        <w:numPr>
          <w:ilvl w:val="0"/>
          <w:numId w:val="2"/>
        </w:numPr>
        <w:spacing w:after="80" w:line="276" w:lineRule="auto"/>
      </w:pPr>
      <w:r>
        <w:rPr>
          <w:b/>
        </w:rPr>
        <w:t>Datos:</w:t>
      </w:r>
      <w:r>
        <w:t xml:space="preserve"> solo sintéticos, generados con </w:t>
      </w:r>
      <w:r>
        <w:rPr>
          <w:rFonts w:ascii="Consolas" w:hAnsi="Consolas" w:cs="Consolas"/>
          <w:sz w:val="19"/>
        </w:rPr>
        <w:t>@faker-js/faker</w:t>
      </w:r>
      <w:r>
        <w:t xml:space="preserve"> (locale </w:t>
      </w:r>
      <w:r>
        <w:rPr>
          <w:rFonts w:ascii="Consolas" w:hAnsi="Consolas" w:cs="Consolas"/>
          <w:sz w:val="19"/>
        </w:rPr>
        <w:t>es</w:t>
      </w:r>
      <w:r>
        <w:t>) en seeds y factories versionados. Está prohibido copiar datos reales a cualquier ambiente que no sea producción (R07).</w:t>
      </w:r>
    </w:p>
    <w:p>
      <w:pPr>
        <w:numPr>
          <w:ilvl w:val="0"/>
          <w:numId w:val="2"/>
        </w:numPr>
        <w:spacing w:after="80" w:line="276" w:lineRule="auto"/>
      </w:pPr>
      <w:r>
        <w:rPr>
          <w:b/>
        </w:rPr>
        <w:t>Regresión:</w:t>
      </w:r>
      <w:r>
        <w:t xml:space="preserve"> la suite completa (unitaria, integración y E2E) corre en cada merge a develop; cada defecto corregido agrega una prueba que lo reproduce (Sección 8).</w:t>
      </w:r>
    </w:p>
    <w:p>
      <w:pPr>
        <w:numPr>
          <w:ilvl w:val="0"/>
          <w:numId w:val="2"/>
        </w:numPr>
        <w:spacing w:after="80" w:line="276" w:lineRule="auto"/>
      </w:pPr>
      <w:r>
        <w:rPr>
          <w:b/>
        </w:rPr>
        <w:t>Seguridad:</w:t>
      </w:r>
      <w:r>
        <w:t xml:space="preserve"> autorización (M09) y auditoría (M15) en cada PR; análisis estático y de dependencias (M08); revisión manual contra el OWASP Top 10 en la auditoría de la semana 3.</w:t>
      </w:r>
    </w:p>
    <w:p>
      <w:pPr>
        <w:numPr>
          <w:ilvl w:val="0"/>
          <w:numId w:val="2"/>
        </w:numPr>
        <w:spacing w:after="80" w:line="276" w:lineRule="auto"/>
      </w:pPr>
      <w:r>
        <w:rPr>
          <w:b/>
        </w:rPr>
        <w:t>Usabilidad:</w:t>
      </w:r>
      <w:r>
        <w:t xml:space="preserve"> cinco profesores que nunca usaron el sistema, sin ayuda, con un observador que solo registra; al terminar, el cuestionario SUS. Lo conduce Galvan y lo audita Lujan.</w:t>
      </w:r>
    </w:p>
    <w:p>
      <w:pPr>
        <w:pStyle w:val="Ttulo1"/>
      </w:pPr>
      <w:r>
        <w:t>8. Reporte de problemas y acción correctiva</w:t>
      </w:r>
    </w:p>
    <w:p>
      <w:pPr>
        <w:spacing w:after="120" w:line="276" w:lineRule="auto"/>
      </w:pPr>
      <w:r>
        <w:rPr>
          <w:b/>
        </w:rPr>
        <w:t>Estados del defecto y transiciones:</w:t>
      </w:r>
      <w:r>
        <w:t xml:space="preserve"> todo defecto sigue el ciclo </w:t>
      </w:r>
      <w:r>
        <w:rPr>
          <w:b/>
        </w:rPr>
        <w:t>Nuevo</w:t>
      </w:r>
      <w:r>
        <w:t xml:space="preserve"> → </w:t>
      </w:r>
      <w:r>
        <w:rPr>
          <w:b/>
        </w:rPr>
        <w:t>Asignado</w:t>
      </w:r>
      <w:r>
        <w:t xml:space="preserve"> → </w:t>
      </w:r>
      <w:r>
        <w:rPr>
          <w:b/>
        </w:rPr>
        <w:t>En progreso</w:t>
      </w:r>
      <w:r>
        <w:t xml:space="preserve"> → </w:t>
      </w:r>
      <w:r>
        <w:rPr>
          <w:b/>
        </w:rPr>
        <w:t>Resuelto</w:t>
      </w:r>
      <w:r>
        <w:t xml:space="preserve"> → </w:t>
      </w:r>
      <w:r>
        <w:rPr>
          <w:b/>
        </w:rPr>
        <w:t>Verificado</w:t>
      </w:r>
      <w:r>
        <w:t xml:space="preserve"> → </w:t>
      </w:r>
      <w:r>
        <w:rPr>
          <w:b/>
        </w:rPr>
        <w:t>Cerrado</w:t>
      </w:r>
      <w:r>
        <w:t xml:space="preserve">. Si la prueba de confirmación falla, pasa de Resuelto a </w:t>
      </w:r>
      <w:r>
        <w:rPr>
          <w:b/>
        </w:rPr>
        <w:t>Reabierto</w:t>
      </w:r>
      <w:r>
        <w:t>; un defecto Cerrado que reaparece también pasa a Reabierto. Desde Reabierto, el Líder lo vuelve a Asignado.</w:t>
      </w:r>
    </w:p>
    <w:p>
      <w:pPr>
        <w:keepNext/>
        <w:jc w:val="center"/>
      </w:pPr>
      <w:r>
        <w:drawing>
          <wp:inline xmlns:a="http://schemas.openxmlformats.org/drawingml/2006/main" xmlns:pic="http://schemas.openxmlformats.org/drawingml/2006/picture">
            <wp:extent cx="6309360" cy="2200323"/>
            <wp:docPr id="2" name="Picture 2"/>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6309360" cy="2200323"/>
                    </a:xfrm>
                    <a:prstGeom prst="rect"/>
                  </pic:spPr>
                </pic:pic>
              </a:graphicData>
            </a:graphic>
          </wp:inline>
        </w:drawing>
      </w:r>
    </w:p>
    <w:p>
      <w:pPr>
        <w:keepNext w:val="0"/>
        <w:spacing w:before="60" w:after="80" w:line="276" w:lineRule="auto"/>
        <w:jc w:val="center"/>
      </w:pPr>
      <w:r>
        <w:rPr>
          <w:b/>
          <w:color w:val="1F4E79"/>
          <w:sz w:val="19"/>
        </w:rPr>
        <w:t xml:space="preserve">Figura 2. </w:t>
      </w:r>
      <w:r>
        <w:rPr>
          <w:color w:val="595959"/>
          <w:sz w:val="19"/>
        </w:rPr>
        <w:t>Estados del defecto y quién mueve cada transición</w:t>
      </w:r>
    </w:p>
    <w:p>
      <w:pPr>
        <w:keepNext/>
        <w:spacing w:before="120" w:after="80" w:line="276" w:lineRule="auto"/>
      </w:pPr>
      <w:r>
        <w:rPr>
          <w:b/>
          <w:color w:val="1F4E79"/>
          <w:sz w:val="19"/>
        </w:rPr>
        <w:t xml:space="preserve">Tabla 17. </w:t>
      </w:r>
      <w:r>
        <w:rPr>
          <w:color w:val="595959"/>
          <w:sz w:val="19"/>
        </w:rPr>
        <w:t>Transiciones permitidas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3700"/>
        <w:gridCol w:w="3880"/>
      </w:tblGrid>
      <w:tr>
        <w:trPr>
          <w:cantSplit/>
          <w:tblHeader/>
        </w:trPr>
        <w:tc>
          <w:tcPr>
            <w:tcW w:w="2500" w:type="dxa"/>
            <w:shd w:val="clear" w:color="auto" w:fill="DDEBF7"/>
            <w:tcMar>
              <w:top w:w="60" w:type="dxa"/>
              <w:left w:w="100" w:type="dxa"/>
              <w:bottom w:w="60" w:type="dxa"/>
              <w:right w:w="100" w:type="dxa"/>
            </w:tcMar>
          </w:tcPr>
          <w:p>
            <w:pPr>
              <w:spacing w:after="0" w:line="260" w:lineRule="auto"/>
            </w:pPr>
            <w:r>
              <w:rPr>
                <w:b/>
                <w:sz w:val="19"/>
              </w:rPr>
              <w:t>Transición</w:t>
            </w:r>
          </w:p>
        </w:tc>
        <w:tc>
          <w:tcPr>
            <w:tcW w:w="3700" w:type="dxa"/>
            <w:shd w:val="clear" w:color="auto" w:fill="DDEBF7"/>
            <w:tcMar>
              <w:top w:w="60" w:type="dxa"/>
              <w:left w:w="100" w:type="dxa"/>
              <w:bottom w:w="60" w:type="dxa"/>
              <w:right w:w="100" w:type="dxa"/>
            </w:tcMar>
          </w:tcPr>
          <w:p>
            <w:pPr>
              <w:spacing w:after="0" w:line="260" w:lineRule="auto"/>
            </w:pPr>
            <w:r>
              <w:rPr>
                <w:b/>
                <w:sz w:val="19"/>
              </w:rPr>
              <w:t>Quién la mueve</w:t>
            </w:r>
          </w:p>
        </w:tc>
        <w:tc>
          <w:tcPr>
            <w:tcW w:w="3880" w:type="dxa"/>
            <w:shd w:val="clear" w:color="auto" w:fill="DDEBF7"/>
            <w:tcMar>
              <w:top w:w="60" w:type="dxa"/>
              <w:left w:w="100" w:type="dxa"/>
              <w:bottom w:w="60" w:type="dxa"/>
              <w:right w:w="100" w:type="dxa"/>
            </w:tcMar>
          </w:tcPr>
          <w:p>
            <w:pPr>
              <w:spacing w:after="0" w:line="260" w:lineRule="auto"/>
            </w:pPr>
            <w:r>
              <w:rPr>
                <w:b/>
                <w:sz w:val="19"/>
              </w:rPr>
              <w:t>Condición</w:t>
            </w:r>
          </w:p>
        </w:tc>
      </w:tr>
      <w:tr>
        <w:trPr>
          <w:cantSplit/>
        </w:trPr>
        <w:tc>
          <w:tcPr>
            <w:tcW w:w="2500" w:type="dxa"/>
            <w:tcMar>
              <w:top w:w="60" w:type="dxa"/>
              <w:left w:w="100" w:type="dxa"/>
              <w:bottom w:w="60" w:type="dxa"/>
              <w:right w:w="100" w:type="dxa"/>
            </w:tcMar>
            <w:vAlign w:val="center"/>
          </w:tcPr>
          <w:p>
            <w:pPr>
              <w:spacing w:after="0" w:line="260" w:lineRule="auto"/>
            </w:pPr>
            <w:r>
              <w:rPr>
                <w:sz w:val="19"/>
              </w:rPr>
              <w:t>→ Nuevo</w:t>
            </w:r>
          </w:p>
        </w:tc>
        <w:tc>
          <w:tcPr>
            <w:tcW w:w="3700" w:type="dxa"/>
            <w:tcMar>
              <w:top w:w="60" w:type="dxa"/>
              <w:left w:w="100" w:type="dxa"/>
              <w:bottom w:w="60" w:type="dxa"/>
              <w:right w:w="100" w:type="dxa"/>
            </w:tcMar>
            <w:vAlign w:val="center"/>
          </w:tcPr>
          <w:p>
            <w:pPr>
              <w:spacing w:after="0" w:line="260" w:lineRule="auto"/>
            </w:pPr>
            <w:r>
              <w:rPr>
                <w:sz w:val="19"/>
              </w:rPr>
              <w:t>Tester, cualquier integrante o el cliente</w:t>
            </w:r>
          </w:p>
        </w:tc>
        <w:tc>
          <w:tcPr>
            <w:tcW w:w="3880" w:type="dxa"/>
            <w:tcMar>
              <w:top w:w="60" w:type="dxa"/>
              <w:left w:w="100" w:type="dxa"/>
              <w:bottom w:w="60" w:type="dxa"/>
              <w:right w:w="100" w:type="dxa"/>
            </w:tcMar>
            <w:vAlign w:val="center"/>
          </w:tcPr>
          <w:p>
            <w:pPr>
              <w:spacing w:after="0" w:line="260" w:lineRule="auto"/>
            </w:pPr>
            <w:r>
              <w:rPr>
                <w:sz w:val="19"/>
              </w:rPr>
              <w:t>Issue creado con la plantilla de defecto y severidad propuesta.</w:t>
            </w:r>
          </w:p>
        </w:tc>
      </w:tr>
      <w:tr>
        <w:trPr>
          <w:cantSplit/>
        </w:trPr>
        <w:tc>
          <w:tcPr>
            <w:tcW w:w="2500" w:type="dxa"/>
            <w:tcMar>
              <w:top w:w="60" w:type="dxa"/>
              <w:left w:w="100" w:type="dxa"/>
              <w:bottom w:w="60" w:type="dxa"/>
              <w:right w:w="100" w:type="dxa"/>
            </w:tcMar>
            <w:vAlign w:val="center"/>
          </w:tcPr>
          <w:p>
            <w:pPr>
              <w:spacing w:after="0" w:line="260" w:lineRule="auto"/>
            </w:pPr>
            <w:r>
              <w:rPr>
                <w:sz w:val="19"/>
              </w:rPr>
              <w:t>Nuevo → Asignado</w:t>
            </w:r>
          </w:p>
        </w:tc>
        <w:tc>
          <w:tcPr>
            <w:tcW w:w="3700" w:type="dxa"/>
            <w:tcMar>
              <w:top w:w="60" w:type="dxa"/>
              <w:left w:w="100" w:type="dxa"/>
              <w:bottom w:w="60" w:type="dxa"/>
              <w:right w:w="100" w:type="dxa"/>
            </w:tcMar>
            <w:vAlign w:val="center"/>
          </w:tcPr>
          <w:p>
            <w:pPr>
              <w:spacing w:after="0" w:line="260" w:lineRule="auto"/>
            </w:pPr>
            <w:r>
              <w:rPr>
                <w:sz w:val="19"/>
              </w:rPr>
              <w:t>Líder</w:t>
            </w:r>
          </w:p>
        </w:tc>
        <w:tc>
          <w:tcPr>
            <w:tcW w:w="3880" w:type="dxa"/>
            <w:tcMar>
              <w:top w:w="60" w:type="dxa"/>
              <w:left w:w="100" w:type="dxa"/>
              <w:bottom w:w="60" w:type="dxa"/>
              <w:right w:w="100" w:type="dxa"/>
            </w:tcMar>
            <w:vAlign w:val="center"/>
          </w:tcPr>
          <w:p>
            <w:pPr>
              <w:spacing w:after="0" w:line="260" w:lineRule="auto"/>
            </w:pPr>
            <w:r>
              <w:rPr>
                <w:sz w:val="19"/>
              </w:rPr>
              <w:t>Fija la prioridad y el responsable.</w:t>
            </w:r>
          </w:p>
        </w:tc>
      </w:tr>
      <w:tr>
        <w:trPr>
          <w:cantSplit/>
        </w:trPr>
        <w:tc>
          <w:tcPr>
            <w:tcW w:w="2500" w:type="dxa"/>
            <w:tcMar>
              <w:top w:w="60" w:type="dxa"/>
              <w:left w:w="100" w:type="dxa"/>
              <w:bottom w:w="60" w:type="dxa"/>
              <w:right w:w="100" w:type="dxa"/>
            </w:tcMar>
            <w:vAlign w:val="center"/>
          </w:tcPr>
          <w:p>
            <w:pPr>
              <w:spacing w:after="0" w:line="260" w:lineRule="auto"/>
            </w:pPr>
            <w:r>
              <w:rPr>
                <w:sz w:val="19"/>
              </w:rPr>
              <w:t>Asignado → En progreso</w:t>
            </w:r>
          </w:p>
        </w:tc>
        <w:tc>
          <w:tcPr>
            <w:tcW w:w="3700" w:type="dxa"/>
            <w:tcMar>
              <w:top w:w="60" w:type="dxa"/>
              <w:left w:w="100" w:type="dxa"/>
              <w:bottom w:w="60" w:type="dxa"/>
              <w:right w:w="100" w:type="dxa"/>
            </w:tcMar>
            <w:vAlign w:val="center"/>
          </w:tcPr>
          <w:p>
            <w:pPr>
              <w:spacing w:after="0" w:line="260" w:lineRule="auto"/>
            </w:pPr>
            <w:r>
              <w:rPr>
                <w:sz w:val="19"/>
              </w:rPr>
              <w:t>Desarrollador asignado</w:t>
            </w:r>
          </w:p>
        </w:tc>
        <w:tc>
          <w:tcPr>
            <w:tcW w:w="3880" w:type="dxa"/>
            <w:tcMar>
              <w:top w:w="60" w:type="dxa"/>
              <w:left w:w="100" w:type="dxa"/>
              <w:bottom w:w="60" w:type="dxa"/>
              <w:right w:w="100" w:type="dxa"/>
            </w:tcMar>
            <w:vAlign w:val="center"/>
          </w:tcPr>
          <w:p>
            <w:pPr>
              <w:spacing w:after="0" w:line="260" w:lineRule="auto"/>
            </w:pPr>
            <w:r>
              <w:rPr>
                <w:sz w:val="19"/>
              </w:rPr>
              <w:t>Trabaja en develop; sus commits citan Refs: CAL-NNN.</w:t>
            </w:r>
            <w:r>
              <w:rPr>
                <w:rFonts w:ascii="Consolas" w:hAnsi="Consolas" w:cs="Consolas"/>
                <w:sz w:val="18"/>
              </w:rPr>
            </w:r>
            <w:r>
              <w:rPr>
                <w:sz w:val="19"/>
              </w:rPr>
            </w:r>
          </w:p>
        </w:tc>
      </w:tr>
      <w:tr>
        <w:trPr>
          <w:cantSplit/>
        </w:trPr>
        <w:tc>
          <w:tcPr>
            <w:tcW w:w="2500" w:type="dxa"/>
            <w:tcMar>
              <w:top w:w="60" w:type="dxa"/>
              <w:left w:w="100" w:type="dxa"/>
              <w:bottom w:w="60" w:type="dxa"/>
              <w:right w:w="100" w:type="dxa"/>
            </w:tcMar>
            <w:vAlign w:val="center"/>
          </w:tcPr>
          <w:p>
            <w:pPr>
              <w:spacing w:after="0" w:line="260" w:lineRule="auto"/>
            </w:pPr>
            <w:r>
              <w:rPr>
                <w:sz w:val="19"/>
              </w:rPr>
              <w:t>En progreso → Resuelto</w:t>
            </w:r>
          </w:p>
        </w:tc>
        <w:tc>
          <w:tcPr>
            <w:tcW w:w="3700" w:type="dxa"/>
            <w:tcMar>
              <w:top w:w="60" w:type="dxa"/>
              <w:left w:w="100" w:type="dxa"/>
              <w:bottom w:w="60" w:type="dxa"/>
              <w:right w:w="100" w:type="dxa"/>
            </w:tcMar>
            <w:vAlign w:val="center"/>
          </w:tcPr>
          <w:p>
            <w:pPr>
              <w:spacing w:after="0" w:line="260" w:lineRule="auto"/>
            </w:pPr>
            <w:r>
              <w:rPr>
                <w:sz w:val="19"/>
              </w:rPr>
              <w:t>Desarrollador asignado</w:t>
            </w:r>
          </w:p>
        </w:tc>
        <w:tc>
          <w:tcPr>
            <w:tcW w:w="3880" w:type="dxa"/>
            <w:tcMar>
              <w:top w:w="60" w:type="dxa"/>
              <w:left w:w="100" w:type="dxa"/>
              <w:bottom w:w="60" w:type="dxa"/>
              <w:right w:w="100" w:type="dxa"/>
            </w:tcMar>
            <w:vAlign w:val="center"/>
          </w:tcPr>
          <w:p>
            <w:pPr>
              <w:spacing w:after="0" w:line="260" w:lineRule="auto"/>
            </w:pPr>
            <w:r>
              <w:rPr>
                <w:sz w:val="19"/>
              </w:rPr>
              <w:t>PR fusionado con la prueba que reproduce el defecto.</w:t>
            </w:r>
          </w:p>
        </w:tc>
      </w:tr>
      <w:tr>
        <w:trPr>
          <w:cantSplit/>
        </w:trPr>
        <w:tc>
          <w:tcPr>
            <w:tcW w:w="2500" w:type="dxa"/>
            <w:tcMar>
              <w:top w:w="60" w:type="dxa"/>
              <w:left w:w="100" w:type="dxa"/>
              <w:bottom w:w="60" w:type="dxa"/>
              <w:right w:w="100" w:type="dxa"/>
            </w:tcMar>
            <w:vAlign w:val="center"/>
          </w:tcPr>
          <w:p>
            <w:pPr>
              <w:spacing w:after="0" w:line="260" w:lineRule="auto"/>
            </w:pPr>
            <w:r>
              <w:rPr>
                <w:sz w:val="19"/>
              </w:rPr>
              <w:t>Resuelto → Verificado</w:t>
            </w:r>
          </w:p>
        </w:tc>
        <w:tc>
          <w:tcPr>
            <w:tcW w:w="3700" w:type="dxa"/>
            <w:tcMar>
              <w:top w:w="60" w:type="dxa"/>
              <w:left w:w="100" w:type="dxa"/>
              <w:bottom w:w="60" w:type="dxa"/>
              <w:right w:w="100" w:type="dxa"/>
            </w:tcMar>
            <w:vAlign w:val="center"/>
          </w:tcPr>
          <w:p>
            <w:pPr>
              <w:spacing w:after="0" w:line="260" w:lineRule="auto"/>
            </w:pPr>
            <w:r>
              <w:rPr>
                <w:sz w:val="19"/>
              </w:rPr>
              <w:t xml:space="preserve">Tester (Galvan). </w:t>
            </w:r>
            <w:r>
              <w:rPr>
                <w:b/>
                <w:sz w:val="19"/>
              </w:rPr>
              <w:t>Si el defecto lo resolvió Galvan, verifica Lujan.</w:t>
            </w:r>
          </w:p>
        </w:tc>
        <w:tc>
          <w:tcPr>
            <w:tcW w:w="3880" w:type="dxa"/>
            <w:tcMar>
              <w:top w:w="60" w:type="dxa"/>
              <w:left w:w="100" w:type="dxa"/>
              <w:bottom w:w="60" w:type="dxa"/>
              <w:right w:w="100" w:type="dxa"/>
            </w:tcMar>
            <w:vAlign w:val="center"/>
          </w:tcPr>
          <w:p>
            <w:pPr>
              <w:spacing w:after="0" w:line="260" w:lineRule="auto"/>
            </w:pPr>
            <w:r>
              <w:rPr>
                <w:sz w:val="19"/>
              </w:rPr>
              <w:t>La prueba de confirmación pasa en staging.</w:t>
            </w:r>
          </w:p>
        </w:tc>
      </w:tr>
      <w:tr>
        <w:trPr>
          <w:cantSplit/>
        </w:trPr>
        <w:tc>
          <w:tcPr>
            <w:tcW w:w="2500" w:type="dxa"/>
            <w:tcMar>
              <w:top w:w="60" w:type="dxa"/>
              <w:left w:w="100" w:type="dxa"/>
              <w:bottom w:w="60" w:type="dxa"/>
              <w:right w:w="100" w:type="dxa"/>
            </w:tcMar>
            <w:vAlign w:val="center"/>
          </w:tcPr>
          <w:p>
            <w:pPr>
              <w:spacing w:after="0" w:line="260" w:lineRule="auto"/>
            </w:pPr>
            <w:r>
              <w:rPr>
                <w:sz w:val="19"/>
              </w:rPr>
              <w:t>Verificado → Cerrado</w:t>
            </w:r>
          </w:p>
        </w:tc>
        <w:tc>
          <w:tcPr>
            <w:tcW w:w="3700" w:type="dxa"/>
            <w:tcMar>
              <w:top w:w="60" w:type="dxa"/>
              <w:left w:w="100" w:type="dxa"/>
              <w:bottom w:w="60" w:type="dxa"/>
              <w:right w:w="100" w:type="dxa"/>
            </w:tcMar>
            <w:vAlign w:val="center"/>
          </w:tcPr>
          <w:p>
            <w:pPr>
              <w:spacing w:after="0" w:line="260" w:lineRule="auto"/>
            </w:pPr>
            <w:r>
              <w:rPr>
                <w:sz w:val="19"/>
              </w:rPr>
              <w:t>Responsable SQA (Galvan). Si Galvan resolvió el defecto, cierra Lujan.</w:t>
            </w:r>
          </w:p>
        </w:tc>
        <w:tc>
          <w:tcPr>
            <w:tcW w:w="3880" w:type="dxa"/>
            <w:tcMar>
              <w:top w:w="60" w:type="dxa"/>
              <w:left w:w="100" w:type="dxa"/>
              <w:bottom w:w="60" w:type="dxa"/>
              <w:right w:w="100" w:type="dxa"/>
            </w:tcMar>
            <w:vAlign w:val="center"/>
          </w:tcPr>
          <w:p>
            <w:pPr>
              <w:spacing w:after="0" w:line="260" w:lineRule="auto"/>
            </w:pPr>
            <w:r>
              <w:rPr>
                <w:sz w:val="19"/>
              </w:rPr>
              <w:t>Evidencia enlazada en el issue.</w:t>
            </w:r>
          </w:p>
        </w:tc>
      </w:tr>
      <w:tr>
        <w:trPr>
          <w:cantSplit/>
        </w:trPr>
        <w:tc>
          <w:tcPr>
            <w:tcW w:w="2500" w:type="dxa"/>
            <w:tcMar>
              <w:top w:w="60" w:type="dxa"/>
              <w:left w:w="100" w:type="dxa"/>
              <w:bottom w:w="60" w:type="dxa"/>
              <w:right w:w="100" w:type="dxa"/>
            </w:tcMar>
            <w:vAlign w:val="center"/>
          </w:tcPr>
          <w:p>
            <w:pPr>
              <w:spacing w:after="0" w:line="260" w:lineRule="auto"/>
            </w:pPr>
            <w:r>
              <w:rPr>
                <w:sz w:val="19"/>
              </w:rPr>
              <w:t>Resuelto o Cerrado → Reabierto</w:t>
            </w:r>
          </w:p>
        </w:tc>
        <w:tc>
          <w:tcPr>
            <w:tcW w:w="3700" w:type="dxa"/>
            <w:tcMar>
              <w:top w:w="60" w:type="dxa"/>
              <w:left w:w="100" w:type="dxa"/>
              <w:bottom w:w="60" w:type="dxa"/>
              <w:right w:w="100" w:type="dxa"/>
            </w:tcMar>
            <w:vAlign w:val="center"/>
          </w:tcPr>
          <w:p>
            <w:pPr>
              <w:spacing w:after="0" w:line="260" w:lineRule="auto"/>
            </w:pPr>
            <w:r>
              <w:rPr>
                <w:sz w:val="19"/>
              </w:rPr>
              <w:t>Tester o Responsable SQA</w:t>
            </w:r>
          </w:p>
        </w:tc>
        <w:tc>
          <w:tcPr>
            <w:tcW w:w="3880" w:type="dxa"/>
            <w:tcMar>
              <w:top w:w="60" w:type="dxa"/>
              <w:left w:w="100" w:type="dxa"/>
              <w:bottom w:w="60" w:type="dxa"/>
              <w:right w:w="100" w:type="dxa"/>
            </w:tcMar>
            <w:vAlign w:val="center"/>
          </w:tcPr>
          <w:p>
            <w:pPr>
              <w:spacing w:after="0" w:line="260" w:lineRule="auto"/>
            </w:pPr>
            <w:r>
              <w:rPr>
                <w:sz w:val="19"/>
              </w:rPr>
              <w:t>La prueba de confirmación falla o el defecto reaparece.</w:t>
            </w:r>
          </w:p>
        </w:tc>
      </w:tr>
    </w:tbl>
    <w:p>
      <w:pPr>
        <w:spacing w:after="60" w:line="276" w:lineRule="auto"/>
      </w:pPr>
    </w:p>
    <w:p>
      <w:pPr>
        <w:spacing w:after="60" w:line="276" w:lineRule="auto"/>
      </w:pPr>
      <w:r>
        <w:rPr>
          <w:b/>
        </w:rPr>
        <w:t>Diferencia entre severidad y prioridad:</w:t>
      </w:r>
    </w:p>
    <w:p>
      <w:pPr>
        <w:numPr>
          <w:ilvl w:val="0"/>
          <w:numId w:val="2"/>
        </w:numPr>
        <w:spacing w:after="80" w:line="276" w:lineRule="auto"/>
      </w:pPr>
      <w:r>
        <w:rPr>
          <w:b/>
        </w:rPr>
        <w:t>Severidad:</w:t>
      </w:r>
      <w:r>
        <w:t xml:space="preserve"> cuánto daño causa el defecto en el sistema (S1 a S4). La fija el Tester o el Responsable SQA al registrarlo.</w:t>
      </w:r>
    </w:p>
    <w:p>
      <w:pPr>
        <w:numPr>
          <w:ilvl w:val="0"/>
          <w:numId w:val="2"/>
        </w:numPr>
        <w:spacing w:after="80" w:line="276" w:lineRule="auto"/>
      </w:pPr>
      <w:r>
        <w:rPr>
          <w:b/>
        </w:rPr>
        <w:t>Prioridad:</w:t>
      </w:r>
      <w:r>
        <w:t xml:space="preserve"> con qué urgencia se corrige frente a otras tareas (P1 a P3). La fija el Líder según el calendario del cliente; por ejemplo, el cierre de un trimestre.</w:t>
      </w:r>
    </w:p>
    <w:p>
      <w:pPr>
        <w:spacing w:before="120" w:after="120" w:line="276" w:lineRule="auto"/>
      </w:pPr>
      <w:r>
        <w:rPr>
          <w:b/>
        </w:rPr>
        <w:t>SLA de resolución de defectos.</w:t>
      </w:r>
      <w:r>
        <w:t xml:space="preserve"> Los tiempos se cuentan en horario hábil (lunes a viernes, 8:00 a 18:00). El equipo no tiene guardia de fin de semana, salvo en la semana de cierre de trimestre del cliente, cuando Lujan queda de guardia para S1.</w:t>
      </w:r>
    </w:p>
    <w:p>
      <w:pPr>
        <w:keepNext/>
        <w:spacing w:before="120" w:after="80" w:line="276" w:lineRule="auto"/>
      </w:pPr>
      <w:r>
        <w:rPr>
          <w:b/>
          <w:color w:val="1F4E79"/>
          <w:sz w:val="19"/>
        </w:rPr>
        <w:t xml:space="preserve">Tabla 18. </w:t>
      </w:r>
      <w:r>
        <w:rPr>
          <w:color w:val="595959"/>
          <w:sz w:val="19"/>
        </w:rPr>
        <w:t>SLA por severidad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5180"/>
        <w:gridCol w:w="1800"/>
        <w:gridCol w:w="1800"/>
      </w:tblGrid>
      <w:tr>
        <w:trPr>
          <w:cantSplit/>
          <w:tblHeader/>
        </w:trPr>
        <w:tc>
          <w:tcPr>
            <w:tcW w:w="1300" w:type="dxa"/>
            <w:shd w:val="clear" w:color="auto" w:fill="DDEBF7"/>
            <w:tcMar>
              <w:top w:w="60" w:type="dxa"/>
              <w:left w:w="100" w:type="dxa"/>
              <w:bottom w:w="60" w:type="dxa"/>
              <w:right w:w="100" w:type="dxa"/>
            </w:tcMar>
          </w:tcPr>
          <w:p>
            <w:pPr>
              <w:spacing w:after="0" w:line="260" w:lineRule="auto"/>
            </w:pPr>
            <w:r>
              <w:rPr>
                <w:b/>
                <w:sz w:val="20"/>
              </w:rPr>
              <w:t>Severidad</w:t>
            </w:r>
          </w:p>
        </w:tc>
        <w:tc>
          <w:tcPr>
            <w:tcW w:w="5180" w:type="dxa"/>
            <w:shd w:val="clear" w:color="auto" w:fill="DDEBF7"/>
            <w:tcMar>
              <w:top w:w="60" w:type="dxa"/>
              <w:left w:w="100" w:type="dxa"/>
              <w:bottom w:w="60" w:type="dxa"/>
              <w:right w:w="100" w:type="dxa"/>
            </w:tcMar>
          </w:tcPr>
          <w:p>
            <w:pPr>
              <w:spacing w:after="0" w:line="260" w:lineRule="auto"/>
            </w:pPr>
            <w:r>
              <w:rPr>
                <w:b/>
                <w:sz w:val="20"/>
              </w:rPr>
              <w:t>Definición</w:t>
            </w:r>
          </w:p>
        </w:tc>
        <w:tc>
          <w:tcPr>
            <w:tcW w:w="1800" w:type="dxa"/>
            <w:shd w:val="clear" w:color="auto" w:fill="DDEBF7"/>
            <w:tcMar>
              <w:top w:w="60" w:type="dxa"/>
              <w:left w:w="100" w:type="dxa"/>
              <w:bottom w:w="60" w:type="dxa"/>
              <w:right w:w="100" w:type="dxa"/>
            </w:tcMar>
          </w:tcPr>
          <w:p>
            <w:pPr>
              <w:spacing w:after="0" w:line="260" w:lineRule="auto"/>
            </w:pPr>
            <w:r>
              <w:rPr>
                <w:b/>
                <w:sz w:val="20"/>
              </w:rPr>
              <w:t>Respuesta</w:t>
            </w:r>
          </w:p>
        </w:tc>
        <w:tc>
          <w:tcPr>
            <w:tcW w:w="1800" w:type="dxa"/>
            <w:shd w:val="clear" w:color="auto" w:fill="DDEBF7"/>
            <w:tcMar>
              <w:top w:w="60" w:type="dxa"/>
              <w:left w:w="100" w:type="dxa"/>
              <w:bottom w:w="60" w:type="dxa"/>
              <w:right w:w="100" w:type="dxa"/>
            </w:tcMar>
          </w:tcPr>
          <w:p>
            <w:pPr>
              <w:spacing w:after="0" w:line="260" w:lineRule="auto"/>
            </w:pPr>
            <w:r>
              <w:rPr>
                <w:b/>
                <w:sz w:val="20"/>
              </w:rPr>
              <w:t>Resolución</w:t>
            </w:r>
          </w:p>
        </w:tc>
      </w:tr>
      <w:tr>
        <w:trPr>
          <w:cantSplit/>
        </w:trPr>
        <w:tc>
          <w:tcPr>
            <w:tcW w:w="1300" w:type="dxa"/>
            <w:tcMar>
              <w:top w:w="60" w:type="dxa"/>
              <w:left w:w="100" w:type="dxa"/>
              <w:bottom w:w="60" w:type="dxa"/>
              <w:right w:w="100" w:type="dxa"/>
            </w:tcMar>
            <w:vAlign w:val="center"/>
          </w:tcPr>
          <w:p>
            <w:pPr>
              <w:spacing w:after="0" w:line="260" w:lineRule="auto"/>
            </w:pPr>
            <w:r>
              <w:rPr>
                <w:sz w:val="20"/>
              </w:rPr>
              <w:t>Crítica (S1)</w:t>
            </w:r>
          </w:p>
        </w:tc>
        <w:tc>
          <w:tcPr>
            <w:tcW w:w="5180" w:type="dxa"/>
            <w:tcMar>
              <w:top w:w="60" w:type="dxa"/>
              <w:left w:w="100" w:type="dxa"/>
              <w:bottom w:w="60" w:type="dxa"/>
              <w:right w:w="100" w:type="dxa"/>
            </w:tcMar>
            <w:vAlign w:val="center"/>
          </w:tcPr>
          <w:p>
            <w:pPr>
              <w:spacing w:after="0" w:line="260" w:lineRule="auto"/>
            </w:pPr>
            <w:r>
              <w:rPr>
                <w:sz w:val="20"/>
              </w:rPr>
              <w:t>El sistema es inusable, hay pérdida o corrupción de notas, o un usuario accede a datos que no le corresponden (ej. una nota trimestral se guarda con un valor incorrecto; un padre ve el boletín de otro estudiante).</w:t>
            </w:r>
          </w:p>
        </w:tc>
        <w:tc>
          <w:tcPr>
            <w:tcW w:w="1800" w:type="dxa"/>
            <w:tcMar>
              <w:top w:w="60" w:type="dxa"/>
              <w:left w:w="100" w:type="dxa"/>
              <w:bottom w:w="60" w:type="dxa"/>
              <w:right w:w="100" w:type="dxa"/>
            </w:tcMar>
            <w:vAlign w:val="center"/>
          </w:tcPr>
          <w:p>
            <w:pPr>
              <w:spacing w:after="0" w:line="260" w:lineRule="auto"/>
            </w:pPr>
            <w:r>
              <w:rPr>
                <w:sz w:val="20"/>
              </w:rPr>
              <w:t>4 horas hábiles</w:t>
            </w:r>
          </w:p>
        </w:tc>
        <w:tc>
          <w:tcPr>
            <w:tcW w:w="1800" w:type="dxa"/>
            <w:tcMar>
              <w:top w:w="60" w:type="dxa"/>
              <w:left w:w="100" w:type="dxa"/>
              <w:bottom w:w="60" w:type="dxa"/>
              <w:right w:w="100" w:type="dxa"/>
            </w:tcMar>
            <w:vAlign w:val="center"/>
          </w:tcPr>
          <w:p>
            <w:pPr>
              <w:spacing w:after="0" w:line="260" w:lineRule="auto"/>
            </w:pPr>
            <w:r>
              <w:rPr>
                <w:sz w:val="20"/>
              </w:rPr>
              <w:t>1 día hábil</w:t>
            </w:r>
          </w:p>
        </w:tc>
      </w:tr>
      <w:tr>
        <w:trPr>
          <w:cantSplit/>
        </w:trPr>
        <w:tc>
          <w:tcPr>
            <w:tcW w:w="1300" w:type="dxa"/>
            <w:tcMar>
              <w:top w:w="60" w:type="dxa"/>
              <w:left w:w="100" w:type="dxa"/>
              <w:bottom w:w="60" w:type="dxa"/>
              <w:right w:w="100" w:type="dxa"/>
            </w:tcMar>
            <w:vAlign w:val="center"/>
          </w:tcPr>
          <w:p>
            <w:pPr>
              <w:spacing w:after="0" w:line="260" w:lineRule="auto"/>
            </w:pPr>
            <w:r>
              <w:rPr>
                <w:sz w:val="20"/>
              </w:rPr>
              <w:t>Alta (S2)</w:t>
            </w:r>
          </w:p>
        </w:tc>
        <w:tc>
          <w:tcPr>
            <w:tcW w:w="5180" w:type="dxa"/>
            <w:tcMar>
              <w:top w:w="60" w:type="dxa"/>
              <w:left w:w="100" w:type="dxa"/>
              <w:bottom w:w="60" w:type="dxa"/>
              <w:right w:w="100" w:type="dxa"/>
            </w:tcMar>
            <w:vAlign w:val="center"/>
          </w:tcPr>
          <w:p>
            <w:pPr>
              <w:spacing w:after="0" w:line="260" w:lineRule="auto"/>
            </w:pPr>
            <w:r>
              <w:rPr>
                <w:sz w:val="20"/>
              </w:rPr>
              <w:t>Funcionalidad principal afectada sin alternativa y sin pérdida de datos (ej. el boletín PDF falla en cursos de más de 50 estudiantes, CAL-001).</w:t>
            </w:r>
          </w:p>
        </w:tc>
        <w:tc>
          <w:tcPr>
            <w:tcW w:w="1800" w:type="dxa"/>
            <w:tcMar>
              <w:top w:w="60" w:type="dxa"/>
              <w:left w:w="100" w:type="dxa"/>
              <w:bottom w:w="60" w:type="dxa"/>
              <w:right w:w="100" w:type="dxa"/>
            </w:tcMar>
            <w:vAlign w:val="center"/>
          </w:tcPr>
          <w:p>
            <w:pPr>
              <w:spacing w:after="0" w:line="260" w:lineRule="auto"/>
            </w:pPr>
            <w:r>
              <w:rPr>
                <w:sz w:val="20"/>
              </w:rPr>
              <w:t>1 día hábil</w:t>
            </w:r>
          </w:p>
        </w:tc>
        <w:tc>
          <w:tcPr>
            <w:tcW w:w="1800" w:type="dxa"/>
            <w:tcMar>
              <w:top w:w="60" w:type="dxa"/>
              <w:left w:w="100" w:type="dxa"/>
              <w:bottom w:w="60" w:type="dxa"/>
              <w:right w:w="100" w:type="dxa"/>
            </w:tcMar>
            <w:vAlign w:val="center"/>
          </w:tcPr>
          <w:p>
            <w:pPr>
              <w:spacing w:after="0" w:line="260" w:lineRule="auto"/>
            </w:pPr>
            <w:r>
              <w:rPr>
                <w:sz w:val="20"/>
              </w:rPr>
              <w:t>2 días hábiles</w:t>
            </w:r>
          </w:p>
        </w:tc>
      </w:tr>
      <w:tr>
        <w:trPr>
          <w:cantSplit/>
        </w:trPr>
        <w:tc>
          <w:tcPr>
            <w:tcW w:w="1300" w:type="dxa"/>
            <w:tcMar>
              <w:top w:w="60" w:type="dxa"/>
              <w:left w:w="100" w:type="dxa"/>
              <w:bottom w:w="60" w:type="dxa"/>
              <w:right w:w="100" w:type="dxa"/>
            </w:tcMar>
            <w:vAlign w:val="center"/>
          </w:tcPr>
          <w:p>
            <w:pPr>
              <w:spacing w:after="0" w:line="260" w:lineRule="auto"/>
            </w:pPr>
            <w:r>
              <w:rPr>
                <w:sz w:val="20"/>
              </w:rPr>
              <w:t>Media (S3)</w:t>
            </w:r>
          </w:p>
        </w:tc>
        <w:tc>
          <w:tcPr>
            <w:tcW w:w="5180" w:type="dxa"/>
            <w:tcMar>
              <w:top w:w="60" w:type="dxa"/>
              <w:left w:w="100" w:type="dxa"/>
              <w:bottom w:w="60" w:type="dxa"/>
              <w:right w:w="100" w:type="dxa"/>
            </w:tcMar>
            <w:vAlign w:val="center"/>
          </w:tcPr>
          <w:p>
            <w:pPr>
              <w:spacing w:after="0" w:line="260" w:lineRule="auto"/>
            </w:pPr>
            <w:r>
              <w:rPr>
                <w:sz w:val="20"/>
              </w:rPr>
              <w:t>Funcionalidad secundaria afectada o existe alternativa (ej. el filtro por trimestre del historial falla, pero el estudiante se encuentra por nombre).</w:t>
            </w:r>
          </w:p>
        </w:tc>
        <w:tc>
          <w:tcPr>
            <w:tcW w:w="1800" w:type="dxa"/>
            <w:tcMar>
              <w:top w:w="60" w:type="dxa"/>
              <w:left w:w="100" w:type="dxa"/>
              <w:bottom w:w="60" w:type="dxa"/>
              <w:right w:w="100" w:type="dxa"/>
            </w:tcMar>
            <w:vAlign w:val="center"/>
          </w:tcPr>
          <w:p>
            <w:pPr>
              <w:spacing w:after="0" w:line="260" w:lineRule="auto"/>
            </w:pPr>
            <w:r>
              <w:rPr>
                <w:sz w:val="20"/>
              </w:rPr>
              <w:t>1 día hábil</w:t>
            </w:r>
          </w:p>
        </w:tc>
        <w:tc>
          <w:tcPr>
            <w:tcW w:w="1800" w:type="dxa"/>
            <w:tcMar>
              <w:top w:w="60" w:type="dxa"/>
              <w:left w:w="100" w:type="dxa"/>
              <w:bottom w:w="60" w:type="dxa"/>
              <w:right w:w="100" w:type="dxa"/>
            </w:tcMar>
            <w:vAlign w:val="center"/>
          </w:tcPr>
          <w:p>
            <w:pPr>
              <w:spacing w:after="0" w:line="260" w:lineRule="auto"/>
            </w:pPr>
            <w:r>
              <w:rPr>
                <w:sz w:val="20"/>
              </w:rPr>
              <w:t>1 semana</w:t>
            </w:r>
          </w:p>
        </w:tc>
      </w:tr>
      <w:tr>
        <w:trPr>
          <w:cantSplit/>
        </w:trPr>
        <w:tc>
          <w:tcPr>
            <w:tcW w:w="1300" w:type="dxa"/>
            <w:tcMar>
              <w:top w:w="60" w:type="dxa"/>
              <w:left w:w="100" w:type="dxa"/>
              <w:bottom w:w="60" w:type="dxa"/>
              <w:right w:w="100" w:type="dxa"/>
            </w:tcMar>
            <w:vAlign w:val="center"/>
          </w:tcPr>
          <w:p>
            <w:pPr>
              <w:spacing w:after="0" w:line="260" w:lineRule="auto"/>
            </w:pPr>
            <w:r>
              <w:rPr>
                <w:sz w:val="20"/>
              </w:rPr>
              <w:t>Baja (S4)</w:t>
            </w:r>
          </w:p>
        </w:tc>
        <w:tc>
          <w:tcPr>
            <w:tcW w:w="5180" w:type="dxa"/>
            <w:tcMar>
              <w:top w:w="60" w:type="dxa"/>
              <w:left w:w="100" w:type="dxa"/>
              <w:bottom w:w="60" w:type="dxa"/>
              <w:right w:w="100" w:type="dxa"/>
            </w:tcMar>
            <w:vAlign w:val="center"/>
          </w:tcPr>
          <w:p>
            <w:pPr>
              <w:spacing w:after="0" w:line="260" w:lineRule="auto"/>
            </w:pPr>
            <w:r>
              <w:rPr>
                <w:sz w:val="20"/>
              </w:rPr>
              <w:t>Defecto cosmético o mejora menor (ej. texto desalineado en el pie del boletín).</w:t>
            </w:r>
          </w:p>
        </w:tc>
        <w:tc>
          <w:tcPr>
            <w:tcW w:w="1800" w:type="dxa"/>
            <w:tcMar>
              <w:top w:w="60" w:type="dxa"/>
              <w:left w:w="100" w:type="dxa"/>
              <w:bottom w:w="60" w:type="dxa"/>
              <w:right w:w="100" w:type="dxa"/>
            </w:tcMar>
            <w:vAlign w:val="center"/>
          </w:tcPr>
          <w:p>
            <w:pPr>
              <w:spacing w:after="0" w:line="260" w:lineRule="auto"/>
            </w:pPr>
            <w:r>
              <w:rPr>
                <w:sz w:val="20"/>
              </w:rPr>
              <w:t>3 días hábiles</w:t>
            </w:r>
          </w:p>
        </w:tc>
        <w:tc>
          <w:tcPr>
            <w:tcW w:w="1800" w:type="dxa"/>
            <w:tcMar>
              <w:top w:w="60" w:type="dxa"/>
              <w:left w:w="100" w:type="dxa"/>
              <w:bottom w:w="60" w:type="dxa"/>
              <w:right w:w="100" w:type="dxa"/>
            </w:tcMar>
            <w:vAlign w:val="center"/>
          </w:tcPr>
          <w:p>
            <w:pPr>
              <w:spacing w:after="0" w:line="260" w:lineRule="auto"/>
            </w:pPr>
            <w:r>
              <w:rPr>
                <w:sz w:val="20"/>
              </w:rPr>
              <w:t>Siguiente sprint</w:t>
            </w:r>
          </w:p>
        </w:tc>
      </w:tr>
    </w:tbl>
    <w:p>
      <w:pPr>
        <w:spacing w:after="60" w:line="276" w:lineRule="auto"/>
      </w:pPr>
    </w:p>
    <w:p>
      <w:pPr>
        <w:keepNext/>
        <w:spacing w:before="120" w:after="80" w:line="276" w:lineRule="auto"/>
      </w:pPr>
      <w:r>
        <w:rPr>
          <w:b/>
          <w:color w:val="1F4E79"/>
          <w:sz w:val="19"/>
        </w:rPr>
        <w:t xml:space="preserve">Tabla 19. </w:t>
      </w:r>
      <w:r>
        <w:rPr>
          <w:color w:val="595959"/>
          <w:sz w:val="19"/>
        </w:rPr>
        <w:t>Prioridades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300"/>
        <w:gridCol w:w="4200"/>
        <w:gridCol w:w="4580"/>
      </w:tblGrid>
      <w:tr>
        <w:trPr>
          <w:cantSplit/>
          <w:tblHeader/>
        </w:trPr>
        <w:tc>
          <w:tcPr>
            <w:tcW w:w="1300" w:type="dxa"/>
            <w:shd w:val="clear" w:color="auto" w:fill="DDEBF7"/>
            <w:tcMar>
              <w:top w:w="60" w:type="dxa"/>
              <w:left w:w="100" w:type="dxa"/>
              <w:bottom w:w="60" w:type="dxa"/>
              <w:right w:w="100" w:type="dxa"/>
            </w:tcMar>
          </w:tcPr>
          <w:p>
            <w:pPr>
              <w:spacing w:after="0" w:line="260" w:lineRule="auto"/>
            </w:pPr>
            <w:r>
              <w:rPr>
                <w:b/>
                <w:sz w:val="20"/>
              </w:rPr>
              <w:t>Prioridad</w:t>
            </w:r>
          </w:p>
        </w:tc>
        <w:tc>
          <w:tcPr>
            <w:tcW w:w="4200" w:type="dxa"/>
            <w:shd w:val="clear" w:color="auto" w:fill="DDEBF7"/>
            <w:tcMar>
              <w:top w:w="60" w:type="dxa"/>
              <w:left w:w="100" w:type="dxa"/>
              <w:bottom w:w="60" w:type="dxa"/>
              <w:right w:w="100" w:type="dxa"/>
            </w:tcMar>
          </w:tcPr>
          <w:p>
            <w:pPr>
              <w:spacing w:after="0" w:line="260" w:lineRule="auto"/>
            </w:pPr>
            <w:r>
              <w:rPr>
                <w:b/>
                <w:sz w:val="20"/>
              </w:rPr>
              <w:t>Significado</w:t>
            </w:r>
          </w:p>
        </w:tc>
        <w:tc>
          <w:tcPr>
            <w:tcW w:w="4580" w:type="dxa"/>
            <w:shd w:val="clear" w:color="auto" w:fill="DDEBF7"/>
            <w:tcMar>
              <w:top w:w="60" w:type="dxa"/>
              <w:left w:w="100" w:type="dxa"/>
              <w:bottom w:w="60" w:type="dxa"/>
              <w:right w:w="100" w:type="dxa"/>
            </w:tcMar>
          </w:tcPr>
          <w:p>
            <w:pPr>
              <w:spacing w:after="0" w:line="260" w:lineRule="auto"/>
            </w:pPr>
            <w:r>
              <w:rPr>
                <w:b/>
                <w:sz w:val="20"/>
              </w:rPr>
              <w:t>Cuándo se usa</w:t>
            </w:r>
          </w:p>
        </w:tc>
      </w:tr>
      <w:tr>
        <w:trPr>
          <w:cantSplit/>
        </w:trPr>
        <w:tc>
          <w:tcPr>
            <w:tcW w:w="1300" w:type="dxa"/>
            <w:tcMar>
              <w:top w:w="60" w:type="dxa"/>
              <w:left w:w="100" w:type="dxa"/>
              <w:bottom w:w="60" w:type="dxa"/>
              <w:right w:w="100" w:type="dxa"/>
            </w:tcMar>
            <w:vAlign w:val="center"/>
          </w:tcPr>
          <w:p>
            <w:pPr>
              <w:spacing w:after="0" w:line="260" w:lineRule="auto"/>
            </w:pPr>
            <w:r>
              <w:rPr>
                <w:sz w:val="20"/>
              </w:rPr>
              <w:t>P1</w:t>
            </w:r>
          </w:p>
        </w:tc>
        <w:tc>
          <w:tcPr>
            <w:tcW w:w="4200" w:type="dxa"/>
            <w:tcMar>
              <w:top w:w="60" w:type="dxa"/>
              <w:left w:w="100" w:type="dxa"/>
              <w:bottom w:w="60" w:type="dxa"/>
              <w:right w:w="100" w:type="dxa"/>
            </w:tcMar>
            <w:vAlign w:val="center"/>
          </w:tcPr>
          <w:p>
            <w:pPr>
              <w:spacing w:after="0" w:line="260" w:lineRule="auto"/>
            </w:pPr>
            <w:r>
              <w:rPr>
                <w:sz w:val="20"/>
              </w:rPr>
              <w:t>Se corrige antes que cualquier tarea del sprint.</w:t>
            </w:r>
          </w:p>
        </w:tc>
        <w:tc>
          <w:tcPr>
            <w:tcW w:w="4580" w:type="dxa"/>
            <w:tcMar>
              <w:top w:w="60" w:type="dxa"/>
              <w:left w:w="100" w:type="dxa"/>
              <w:bottom w:w="60" w:type="dxa"/>
              <w:right w:w="100" w:type="dxa"/>
            </w:tcMar>
            <w:vAlign w:val="center"/>
          </w:tcPr>
          <w:p>
            <w:pPr>
              <w:spacing w:after="0" w:line="260" w:lineRule="auto"/>
            </w:pPr>
            <w:r>
              <w:rPr>
                <w:sz w:val="20"/>
              </w:rPr>
              <w:t>Todo S1; un S2 que bloquea el cierre de trimestre o la demo.</w:t>
            </w:r>
          </w:p>
        </w:tc>
      </w:tr>
      <w:tr>
        <w:trPr>
          <w:cantSplit/>
        </w:trPr>
        <w:tc>
          <w:tcPr>
            <w:tcW w:w="1300" w:type="dxa"/>
            <w:tcMar>
              <w:top w:w="60" w:type="dxa"/>
              <w:left w:w="100" w:type="dxa"/>
              <w:bottom w:w="60" w:type="dxa"/>
              <w:right w:w="100" w:type="dxa"/>
            </w:tcMar>
            <w:vAlign w:val="center"/>
          </w:tcPr>
          <w:p>
            <w:pPr>
              <w:spacing w:after="0" w:line="260" w:lineRule="auto"/>
            </w:pPr>
            <w:r>
              <w:rPr>
                <w:sz w:val="20"/>
              </w:rPr>
              <w:t>P2</w:t>
            </w:r>
          </w:p>
        </w:tc>
        <w:tc>
          <w:tcPr>
            <w:tcW w:w="4200" w:type="dxa"/>
            <w:tcMar>
              <w:top w:w="60" w:type="dxa"/>
              <w:left w:w="100" w:type="dxa"/>
              <w:bottom w:w="60" w:type="dxa"/>
              <w:right w:w="100" w:type="dxa"/>
            </w:tcMar>
            <w:vAlign w:val="center"/>
          </w:tcPr>
          <w:p>
            <w:pPr>
              <w:spacing w:after="0" w:line="260" w:lineRule="auto"/>
            </w:pPr>
            <w:r>
              <w:rPr>
                <w:sz w:val="20"/>
              </w:rPr>
              <w:t>Entra en el sprint en curso.</w:t>
            </w:r>
          </w:p>
        </w:tc>
        <w:tc>
          <w:tcPr>
            <w:tcW w:w="4580" w:type="dxa"/>
            <w:tcMar>
              <w:top w:w="60" w:type="dxa"/>
              <w:left w:w="100" w:type="dxa"/>
              <w:bottom w:w="60" w:type="dxa"/>
              <w:right w:w="100" w:type="dxa"/>
            </w:tcMar>
            <w:vAlign w:val="center"/>
          </w:tcPr>
          <w:p>
            <w:pPr>
              <w:spacing w:after="0" w:line="260" w:lineRule="auto"/>
            </w:pPr>
            <w:r>
              <w:rPr>
                <w:sz w:val="20"/>
              </w:rPr>
              <w:t>S2 restantes; S3 que afectan a una historia del sprint.</w:t>
            </w:r>
          </w:p>
        </w:tc>
      </w:tr>
      <w:tr>
        <w:trPr>
          <w:cantSplit/>
        </w:trPr>
        <w:tc>
          <w:tcPr>
            <w:tcW w:w="1300" w:type="dxa"/>
            <w:tcMar>
              <w:top w:w="60" w:type="dxa"/>
              <w:left w:w="100" w:type="dxa"/>
              <w:bottom w:w="60" w:type="dxa"/>
              <w:right w:w="100" w:type="dxa"/>
            </w:tcMar>
            <w:vAlign w:val="center"/>
          </w:tcPr>
          <w:p>
            <w:pPr>
              <w:spacing w:after="0" w:line="260" w:lineRule="auto"/>
            </w:pPr>
            <w:r>
              <w:rPr>
                <w:sz w:val="20"/>
              </w:rPr>
              <w:t>P3</w:t>
            </w:r>
          </w:p>
        </w:tc>
        <w:tc>
          <w:tcPr>
            <w:tcW w:w="4200" w:type="dxa"/>
            <w:tcMar>
              <w:top w:w="60" w:type="dxa"/>
              <w:left w:w="100" w:type="dxa"/>
              <w:bottom w:w="60" w:type="dxa"/>
              <w:right w:w="100" w:type="dxa"/>
            </w:tcMar>
            <w:vAlign w:val="center"/>
          </w:tcPr>
          <w:p>
            <w:pPr>
              <w:spacing w:after="0" w:line="260" w:lineRule="auto"/>
            </w:pPr>
            <w:r>
              <w:rPr>
                <w:sz w:val="20"/>
              </w:rPr>
              <w:t>Se planifica en el siguiente sprint o en la Release 2.</w:t>
            </w:r>
          </w:p>
        </w:tc>
        <w:tc>
          <w:tcPr>
            <w:tcW w:w="4580" w:type="dxa"/>
            <w:tcMar>
              <w:top w:w="60" w:type="dxa"/>
              <w:left w:w="100" w:type="dxa"/>
              <w:bottom w:w="60" w:type="dxa"/>
              <w:right w:w="100" w:type="dxa"/>
            </w:tcMar>
            <w:vAlign w:val="center"/>
          </w:tcPr>
          <w:p>
            <w:pPr>
              <w:spacing w:after="0" w:line="260" w:lineRule="auto"/>
            </w:pPr>
            <w:r>
              <w:rPr>
                <w:sz w:val="20"/>
              </w:rPr>
              <w:t>S3 restantes y S4.</w:t>
            </w:r>
          </w:p>
        </w:tc>
      </w:tr>
    </w:tbl>
    <w:p>
      <w:pPr>
        <w:spacing w:after="60" w:line="276" w:lineRule="auto"/>
      </w:pPr>
    </w:p>
    <w:p>
      <w:pPr>
        <w:spacing w:after="120" w:line="276" w:lineRule="auto"/>
      </w:pPr>
      <w:r>
        <w:rPr>
          <w:b/>
        </w:rPr>
        <w:t>Herramienta de gestión:</w:t>
      </w:r>
      <w:r>
        <w:t xml:space="preserve"> GitHub Issues con el formulario </w:t>
      </w:r>
      <w:r>
        <w:rPr>
          <w:rFonts w:ascii="Consolas" w:hAnsi="Consolas" w:cs="Consolas"/>
          <w:sz w:val="19"/>
        </w:rPr>
        <w:t>.github/ISSUE_TEMPLATE/defecto.yml</w:t>
      </w:r>
      <w:r>
        <w:t xml:space="preserve"> (Anexo D), etiquetas </w:t>
      </w:r>
      <w:r>
        <w:rPr>
          <w:rFonts w:ascii="Consolas" w:hAnsi="Consolas" w:cs="Consolas"/>
          <w:sz w:val="19"/>
        </w:rPr>
        <w:t>estado:*</w:t>
      </w:r>
      <w:r>
        <w:t xml:space="preserve">, </w:t>
      </w:r>
      <w:r>
        <w:rPr>
          <w:rFonts w:ascii="Consolas" w:hAnsi="Consolas" w:cs="Consolas"/>
          <w:sz w:val="19"/>
        </w:rPr>
        <w:t>sev:S1</w:t>
      </w:r>
      <w:r>
        <w:t xml:space="preserve"> a </w:t>
      </w:r>
      <w:r>
        <w:rPr>
          <w:rFonts w:ascii="Consolas" w:hAnsi="Consolas" w:cs="Consolas"/>
          <w:sz w:val="19"/>
        </w:rPr>
        <w:t>sev:S4</w:t>
      </w:r>
      <w:r>
        <w:t xml:space="preserve"> y </w:t>
      </w:r>
      <w:r>
        <w:rPr>
          <w:rFonts w:ascii="Consolas" w:hAnsi="Consolas" w:cs="Consolas"/>
          <w:sz w:val="19"/>
        </w:rPr>
        <w:t>prio:P1</w:t>
      </w:r>
      <w:r>
        <w:t xml:space="preserve"> a </w:t>
      </w:r>
      <w:r>
        <w:rPr>
          <w:rFonts w:ascii="Consolas" w:hAnsi="Consolas" w:cs="Consolas"/>
          <w:sz w:val="19"/>
        </w:rPr>
        <w:t>prio:P3</w:t>
      </w:r>
      <w:r>
        <w:t>, y el tablero de GitHub Projects del equipo. Los defectos se numeran CAL-001, CAL-002…, número que nunca se reutiliza.</w:t>
      </w:r>
    </w:p>
    <w:p>
      <w:pPr>
        <w:spacing w:after="120" w:line="276" w:lineRule="auto"/>
      </w:pPr>
      <w:r>
        <w:rPr>
          <w:b/>
        </w:rPr>
        <w:t>Acción correctiva:</w:t>
      </w:r>
      <w:r>
        <w:t xml:space="preserve"> todo defecto S1 o S2 registra su causa raíz (técnica de los cinco porqués) en el issue antes de cerrarse; todo defecto corregido agrega una prueba automatizada que lo reproduce; todo S1 produce además un postmortem sin culpables en </w:t>
      </w:r>
      <w:r>
        <w:rPr>
          <w:rFonts w:ascii="Consolas" w:hAnsi="Consolas" w:cs="Consolas"/>
          <w:sz w:val="19"/>
        </w:rPr>
        <w:t>docs/actas/postmortem-CAL-NNN.md</w:t>
      </w:r>
      <w:r>
        <w:t>, con acciones, responsable y fecha. Si dos defectos de la misma causa aparecen en un sprint, la causa se registra como riesgo en la Sección 14.</w:t>
      </w:r>
    </w:p>
    <w:p>
      <w:pPr>
        <w:spacing w:after="120" w:line="276" w:lineRule="auto"/>
      </w:pPr>
      <w:r>
        <w:rPr>
          <w:b/>
        </w:rPr>
        <w:t>Ejemplo (simulado):</w:t>
      </w:r>
      <w:r>
        <w:t xml:space="preserve"> CAL-001, "El boletín en PDF responde HTTP 500 en cursos de más de 50 estudiantes". Severidad S2 (función principal sin alternativa, sin pérdida de datos); prioridad P1 porque bloquea el cierre de trimestre; relacionado con RNF-03, M03, M04 y el riesgo R05. Detectado por la etapa Rendimiento del build de la etiqueta RC1; se corrige con la cola de la tarea T-046 de la pila del sprint.</w:t>
      </w:r>
    </w:p>
    <w:p>
      <w:pPr>
        <w:pStyle w:val="Ttulo1"/>
      </w:pPr>
      <w:r>
        <w:t>9. Herramientas, técnicas y metodologías</w:t>
      </w:r>
    </w:p>
    <w:p>
      <w:pPr>
        <w:keepNext/>
        <w:spacing w:before="120" w:after="80" w:line="276" w:lineRule="auto"/>
      </w:pPr>
      <w:r>
        <w:rPr>
          <w:b/>
          <w:color w:val="1F4E79"/>
          <w:sz w:val="19"/>
        </w:rPr>
        <w:t xml:space="preserve">Tabla 20. </w:t>
      </w:r>
      <w:r>
        <w:rPr>
          <w:color w:val="595959"/>
          <w:sz w:val="19"/>
        </w:rPr>
        <w:t>Herramientas del proyecto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4000"/>
        <w:gridCol w:w="2080"/>
        <w:gridCol w:w="1400"/>
      </w:tblGrid>
      <w:tr>
        <w:trPr>
          <w:cantSplit/>
          <w:tblHeader/>
        </w:trPr>
        <w:tc>
          <w:tcPr>
            <w:tcW w:w="2600" w:type="dxa"/>
            <w:shd w:val="clear" w:color="auto" w:fill="DDEBF7"/>
            <w:tcMar>
              <w:top w:w="60" w:type="dxa"/>
              <w:left w:w="100" w:type="dxa"/>
              <w:bottom w:w="60" w:type="dxa"/>
              <w:right w:w="100" w:type="dxa"/>
            </w:tcMar>
          </w:tcPr>
          <w:p>
            <w:pPr>
              <w:spacing w:after="0" w:line="260" w:lineRule="auto"/>
            </w:pPr>
            <w:r>
              <w:rPr>
                <w:b/>
                <w:sz w:val="19"/>
              </w:rPr>
              <w:t>Propósito</w:t>
            </w:r>
          </w:p>
        </w:tc>
        <w:tc>
          <w:tcPr>
            <w:tcW w:w="4000" w:type="dxa"/>
            <w:shd w:val="clear" w:color="auto" w:fill="DDEBF7"/>
            <w:tcMar>
              <w:top w:w="60" w:type="dxa"/>
              <w:left w:w="100" w:type="dxa"/>
              <w:bottom w:w="60" w:type="dxa"/>
              <w:right w:w="100" w:type="dxa"/>
            </w:tcMar>
          </w:tcPr>
          <w:p>
            <w:pPr>
              <w:spacing w:after="0" w:line="260" w:lineRule="auto"/>
            </w:pPr>
            <w:r>
              <w:rPr>
                <w:b/>
                <w:sz w:val="19"/>
              </w:rPr>
              <w:t>Herramienta</w:t>
            </w:r>
          </w:p>
        </w:tc>
        <w:tc>
          <w:tcPr>
            <w:tcW w:w="2080" w:type="dxa"/>
            <w:shd w:val="clear" w:color="auto" w:fill="DDEBF7"/>
            <w:tcMar>
              <w:top w:w="60" w:type="dxa"/>
              <w:left w:w="100" w:type="dxa"/>
              <w:bottom w:w="60" w:type="dxa"/>
              <w:right w:w="100" w:type="dxa"/>
            </w:tcMar>
          </w:tcPr>
          <w:p>
            <w:pPr>
              <w:spacing w:after="0" w:line="260" w:lineRule="auto"/>
            </w:pPr>
            <w:r>
              <w:rPr>
                <w:b/>
                <w:sz w:val="19"/>
              </w:rPr>
              <w:t>Versión</w:t>
            </w:r>
          </w:p>
        </w:tc>
        <w:tc>
          <w:tcPr>
            <w:tcW w:w="1400" w:type="dxa"/>
            <w:shd w:val="clear" w:color="auto" w:fill="DDEBF7"/>
            <w:tcMar>
              <w:top w:w="60" w:type="dxa"/>
              <w:left w:w="100" w:type="dxa"/>
              <w:bottom w:w="60" w:type="dxa"/>
              <w:right w:w="100" w:type="dxa"/>
            </w:tcMar>
          </w:tcPr>
          <w:p>
            <w:pPr>
              <w:spacing w:after="0" w:line="260" w:lineRule="auto"/>
            </w:pPr>
            <w:r>
              <w:rPr>
                <w:b/>
                <w:sz w:val="19"/>
              </w:rPr>
              <w:t>Práctica del curso</w:t>
            </w:r>
          </w:p>
        </w:tc>
      </w:tr>
      <w:tr>
        <w:trPr>
          <w:cantSplit/>
        </w:trPr>
        <w:tc>
          <w:tcPr>
            <w:tcW w:w="2600" w:type="dxa"/>
            <w:tcMar>
              <w:top w:w="60" w:type="dxa"/>
              <w:left w:w="100" w:type="dxa"/>
              <w:bottom w:w="60" w:type="dxa"/>
              <w:right w:w="100" w:type="dxa"/>
            </w:tcMar>
            <w:vAlign w:val="center"/>
          </w:tcPr>
          <w:p>
            <w:pPr>
              <w:spacing w:after="0" w:line="260" w:lineRule="auto"/>
            </w:pPr>
            <w:r>
              <w:rPr>
                <w:sz w:val="19"/>
              </w:rPr>
              <w:t>Requerimientos y tablero</w:t>
            </w:r>
          </w:p>
        </w:tc>
        <w:tc>
          <w:tcPr>
            <w:tcW w:w="4000" w:type="dxa"/>
            <w:tcMar>
              <w:top w:w="60" w:type="dxa"/>
              <w:left w:w="100" w:type="dxa"/>
              <w:bottom w:w="60" w:type="dxa"/>
              <w:right w:w="100" w:type="dxa"/>
            </w:tcMar>
            <w:vAlign w:val="center"/>
          </w:tcPr>
          <w:p>
            <w:pPr>
              <w:spacing w:after="0" w:line="260" w:lineRule="auto"/>
            </w:pPr>
            <w:r>
              <w:rPr>
                <w:sz w:val="19"/>
              </w:rPr>
              <w:t xml:space="preserve">GitHub Projects + Issues; </w:t>
            </w:r>
            <w:r>
              <w:rPr>
                <w:rFonts w:ascii="Consolas" w:hAnsi="Consolas" w:cs="Consolas"/>
                <w:sz w:val="18"/>
              </w:rPr>
              <w:t>backlog_v2_4sprints.xlsx</w:t>
            </w:r>
            <w:r>
              <w:rPr>
                <w:sz w:val="19"/>
              </w:rPr>
              <w:t xml:space="preserve"> como entregable</w:t>
            </w:r>
          </w:p>
        </w:tc>
        <w:tc>
          <w:tcPr>
            <w:tcW w:w="2080" w:type="dxa"/>
            <w:tcMar>
              <w:top w:w="60" w:type="dxa"/>
              <w:left w:w="100" w:type="dxa"/>
              <w:bottom w:w="60" w:type="dxa"/>
              <w:right w:w="100" w:type="dxa"/>
            </w:tcMar>
            <w:vAlign w:val="center"/>
          </w:tcPr>
          <w:p>
            <w:pPr>
              <w:spacing w:after="0" w:line="260" w:lineRule="auto"/>
            </w:pPr>
            <w:r>
              <w:rPr>
                <w:sz w:val="19"/>
              </w:rPr>
              <w:t>—</w:t>
            </w:r>
          </w:p>
        </w:tc>
        <w:tc>
          <w:tcPr>
            <w:tcW w:w="1400" w:type="dxa"/>
            <w:tcMar>
              <w:top w:w="60" w:type="dxa"/>
              <w:left w:w="100" w:type="dxa"/>
              <w:bottom w:w="60" w:type="dxa"/>
              <w:right w:w="100" w:type="dxa"/>
            </w:tcMar>
            <w:vAlign w:val="center"/>
          </w:tcPr>
          <w:p>
            <w:pPr>
              <w:spacing w:after="0" w:line="260" w:lineRule="auto"/>
            </w:pPr>
            <w:r>
              <w:rPr>
                <w:sz w:val="19"/>
              </w:rPr>
              <w:t>—</w:t>
            </w:r>
          </w:p>
        </w:tc>
      </w:tr>
      <w:tr>
        <w:trPr>
          <w:cantSplit/>
        </w:trPr>
        <w:tc>
          <w:tcPr>
            <w:tcW w:w="2600" w:type="dxa"/>
            <w:tcMar>
              <w:top w:w="60" w:type="dxa"/>
              <w:left w:w="100" w:type="dxa"/>
              <w:bottom w:w="60" w:type="dxa"/>
              <w:right w:w="100" w:type="dxa"/>
            </w:tcMar>
            <w:vAlign w:val="center"/>
          </w:tcPr>
          <w:p>
            <w:pPr>
              <w:spacing w:after="0" w:line="260" w:lineRule="auto"/>
            </w:pPr>
            <w:r>
              <w:rPr>
                <w:sz w:val="19"/>
              </w:rPr>
              <w:t>Control de versiones</w:t>
            </w:r>
          </w:p>
        </w:tc>
        <w:tc>
          <w:tcPr>
            <w:tcW w:w="4000" w:type="dxa"/>
            <w:tcMar>
              <w:top w:w="60" w:type="dxa"/>
              <w:left w:w="100" w:type="dxa"/>
              <w:bottom w:w="60" w:type="dxa"/>
              <w:right w:w="100" w:type="dxa"/>
            </w:tcMar>
            <w:vAlign w:val="center"/>
          </w:tcPr>
          <w:p>
            <w:pPr>
              <w:spacing w:after="0" w:line="260" w:lineRule="auto"/>
            </w:pPr>
            <w:r>
              <w:rPr>
                <w:sz w:val="19"/>
              </w:rPr>
              <w:t>Git + GitHub (Git Flow: develop y main protegidas)</w:t>
            </w:r>
          </w:p>
        </w:tc>
        <w:tc>
          <w:tcPr>
            <w:tcW w:w="2080" w:type="dxa"/>
            <w:tcMar>
              <w:top w:w="60" w:type="dxa"/>
              <w:left w:w="100" w:type="dxa"/>
              <w:bottom w:w="60" w:type="dxa"/>
              <w:right w:w="100" w:type="dxa"/>
            </w:tcMar>
            <w:vAlign w:val="center"/>
          </w:tcPr>
          <w:p>
            <w:pPr>
              <w:spacing w:after="0" w:line="260" w:lineRule="auto"/>
            </w:pPr>
            <w:r>
              <w:rPr>
                <w:sz w:val="19"/>
              </w:rPr>
              <w:t>Git ≥ 2.40</w:t>
            </w:r>
          </w:p>
        </w:tc>
        <w:tc>
          <w:tcPr>
            <w:tcW w:w="1400" w:type="dxa"/>
            <w:tcMar>
              <w:top w:w="60" w:type="dxa"/>
              <w:left w:w="100" w:type="dxa"/>
              <w:bottom w:w="60" w:type="dxa"/>
              <w:right w:w="100" w:type="dxa"/>
            </w:tcMar>
            <w:vAlign w:val="center"/>
          </w:tcPr>
          <w:p>
            <w:pPr>
              <w:spacing w:after="0" w:line="260" w:lineRule="auto"/>
            </w:pPr>
            <w:r>
              <w:rPr>
                <w:sz w:val="19"/>
              </w:rPr>
              <w:t>6, 8</w:t>
            </w:r>
          </w:p>
        </w:tc>
      </w:tr>
      <w:tr>
        <w:trPr>
          <w:cantSplit/>
        </w:trPr>
        <w:tc>
          <w:tcPr>
            <w:tcW w:w="2600" w:type="dxa"/>
            <w:tcMar>
              <w:top w:w="60" w:type="dxa"/>
              <w:left w:w="100" w:type="dxa"/>
              <w:bottom w:w="60" w:type="dxa"/>
              <w:right w:w="100" w:type="dxa"/>
            </w:tcMar>
            <w:vAlign w:val="center"/>
          </w:tcPr>
          <w:p>
            <w:pPr>
              <w:spacing w:after="0" w:line="260" w:lineRule="auto"/>
            </w:pPr>
            <w:r>
              <w:rPr>
                <w:sz w:val="19"/>
              </w:rPr>
              <w:t>Hooks locales</w:t>
            </w:r>
          </w:p>
        </w:tc>
        <w:tc>
          <w:tcPr>
            <w:tcW w:w="4000" w:type="dxa"/>
            <w:tcMar>
              <w:top w:w="60" w:type="dxa"/>
              <w:left w:w="100" w:type="dxa"/>
              <w:bottom w:w="60" w:type="dxa"/>
              <w:right w:w="100" w:type="dxa"/>
            </w:tcMar>
            <w:vAlign w:val="center"/>
          </w:tcPr>
          <w:p>
            <w:pPr>
              <w:spacing w:after="0" w:line="260" w:lineRule="auto"/>
            </w:pPr>
            <w:r>
              <w:rPr>
                <w:sz w:val="19"/>
              </w:rPr>
              <w:t>Husky + lint-staged + commitlint</w:t>
            </w:r>
          </w:p>
        </w:tc>
        <w:tc>
          <w:tcPr>
            <w:tcW w:w="2080" w:type="dxa"/>
            <w:tcMar>
              <w:top w:w="60" w:type="dxa"/>
              <w:left w:w="100" w:type="dxa"/>
              <w:bottom w:w="60" w:type="dxa"/>
              <w:right w:w="100" w:type="dxa"/>
            </w:tcMar>
            <w:vAlign w:val="center"/>
          </w:tcPr>
          <w:p>
            <w:pPr>
              <w:spacing w:after="0" w:line="260" w:lineRule="auto"/>
            </w:pPr>
            <w:r>
              <w:rPr>
                <w:sz w:val="19"/>
              </w:rPr>
              <w:t xml:space="preserve">Fijada en </w:t>
            </w:r>
            <w:r>
              <w:rPr>
                <w:rFonts w:ascii="Consolas" w:hAnsi="Consolas" w:cs="Consolas"/>
                <w:sz w:val="18"/>
              </w:rPr>
              <w:t>package-lock.json</w:t>
            </w:r>
          </w:p>
        </w:tc>
        <w:tc>
          <w:tcPr>
            <w:tcW w:w="1400" w:type="dxa"/>
            <w:tcMar>
              <w:top w:w="60" w:type="dxa"/>
              <w:left w:w="100" w:type="dxa"/>
              <w:bottom w:w="60" w:type="dxa"/>
              <w:right w:w="100" w:type="dxa"/>
            </w:tcMar>
            <w:vAlign w:val="center"/>
          </w:tcPr>
          <w:p>
            <w:pPr>
              <w:spacing w:after="0" w:line="260" w:lineRule="auto"/>
            </w:pPr>
            <w:r>
              <w:rPr>
                <w:sz w:val="19"/>
              </w:rPr>
              <w:t>8</w:t>
            </w:r>
          </w:p>
        </w:tc>
      </w:tr>
      <w:tr>
        <w:trPr>
          <w:cantSplit/>
        </w:trPr>
        <w:tc>
          <w:tcPr>
            <w:tcW w:w="2600" w:type="dxa"/>
            <w:tcMar>
              <w:top w:w="60" w:type="dxa"/>
              <w:left w:w="100" w:type="dxa"/>
              <w:bottom w:w="60" w:type="dxa"/>
              <w:right w:w="100" w:type="dxa"/>
            </w:tcMar>
            <w:vAlign w:val="center"/>
          </w:tcPr>
          <w:p>
            <w:pPr>
              <w:spacing w:after="0" w:line="260" w:lineRule="auto"/>
            </w:pPr>
            <w:r>
              <w:rPr>
                <w:sz w:val="19"/>
              </w:rPr>
              <w:t>Lenguaje y runtime</w:t>
            </w:r>
          </w:p>
        </w:tc>
        <w:tc>
          <w:tcPr>
            <w:tcW w:w="4000" w:type="dxa"/>
            <w:tcMar>
              <w:top w:w="60" w:type="dxa"/>
              <w:left w:w="100" w:type="dxa"/>
              <w:bottom w:w="60" w:type="dxa"/>
              <w:right w:w="100" w:type="dxa"/>
            </w:tcMar>
            <w:vAlign w:val="center"/>
          </w:tcPr>
          <w:p>
            <w:pPr>
              <w:spacing w:after="0" w:line="260" w:lineRule="auto"/>
            </w:pPr>
            <w:r>
              <w:rPr>
                <w:sz w:val="19"/>
              </w:rPr>
              <w:t>TypeScript (</w:t>
            </w:r>
            <w:r>
              <w:rPr>
                <w:rFonts w:ascii="Consolas" w:hAnsi="Consolas" w:cs="Consolas"/>
                <w:sz w:val="18"/>
              </w:rPr>
              <w:t>strict</w:t>
            </w:r>
            <w:r>
              <w:rPr>
                <w:sz w:val="19"/>
              </w:rPr>
              <w:t>) sobre Node.js</w:t>
            </w:r>
          </w:p>
        </w:tc>
        <w:tc>
          <w:tcPr>
            <w:tcW w:w="2080" w:type="dxa"/>
            <w:tcMar>
              <w:top w:w="60" w:type="dxa"/>
              <w:left w:w="100" w:type="dxa"/>
              <w:bottom w:w="60" w:type="dxa"/>
              <w:right w:w="100" w:type="dxa"/>
            </w:tcMar>
            <w:vAlign w:val="center"/>
          </w:tcPr>
          <w:p>
            <w:pPr>
              <w:spacing w:after="0" w:line="260" w:lineRule="auto"/>
            </w:pPr>
            <w:r>
              <w:rPr>
                <w:sz w:val="19"/>
              </w:rPr>
              <w:t>Node 22 LTS</w:t>
            </w:r>
          </w:p>
        </w:tc>
        <w:tc>
          <w:tcPr>
            <w:tcW w:w="1400" w:type="dxa"/>
            <w:tcMar>
              <w:top w:w="60" w:type="dxa"/>
              <w:left w:w="100" w:type="dxa"/>
              <w:bottom w:w="60" w:type="dxa"/>
              <w:right w:w="100" w:type="dxa"/>
            </w:tcMar>
            <w:vAlign w:val="center"/>
          </w:tcPr>
          <w:p>
            <w:pPr>
              <w:spacing w:after="0" w:line="260" w:lineRule="auto"/>
            </w:pPr>
            <w:r>
              <w:rPr>
                <w:sz w:val="19"/>
              </w:rPr>
              <w:t>8</w:t>
            </w:r>
          </w:p>
        </w:tc>
      </w:tr>
      <w:tr>
        <w:trPr>
          <w:cantSplit/>
        </w:trPr>
        <w:tc>
          <w:tcPr>
            <w:tcW w:w="2600" w:type="dxa"/>
            <w:tcMar>
              <w:top w:w="60" w:type="dxa"/>
              <w:left w:w="100" w:type="dxa"/>
              <w:bottom w:w="60" w:type="dxa"/>
              <w:right w:w="100" w:type="dxa"/>
            </w:tcMar>
            <w:vAlign w:val="center"/>
          </w:tcPr>
          <w:p>
            <w:pPr>
              <w:spacing w:after="0" w:line="260" w:lineRule="auto"/>
            </w:pPr>
            <w:r>
              <w:rPr>
                <w:sz w:val="19"/>
              </w:rPr>
              <w:t>API</w:t>
            </w:r>
          </w:p>
        </w:tc>
        <w:tc>
          <w:tcPr>
            <w:tcW w:w="4000" w:type="dxa"/>
            <w:tcMar>
              <w:top w:w="60" w:type="dxa"/>
              <w:left w:w="100" w:type="dxa"/>
              <w:bottom w:w="60" w:type="dxa"/>
              <w:right w:w="100" w:type="dxa"/>
            </w:tcMar>
            <w:vAlign w:val="center"/>
          </w:tcPr>
          <w:p>
            <w:pPr>
              <w:spacing w:after="0" w:line="260" w:lineRule="auto"/>
            </w:pPr>
            <w:r>
              <w:rPr>
                <w:sz w:val="19"/>
              </w:rPr>
              <w:t>NestJS, TypeORM, PostgreSQL</w:t>
            </w:r>
          </w:p>
        </w:tc>
        <w:tc>
          <w:tcPr>
            <w:tcW w:w="2080" w:type="dxa"/>
            <w:tcMar>
              <w:top w:w="60" w:type="dxa"/>
              <w:left w:w="100" w:type="dxa"/>
              <w:bottom w:w="60" w:type="dxa"/>
              <w:right w:w="100" w:type="dxa"/>
            </w:tcMar>
            <w:vAlign w:val="center"/>
          </w:tcPr>
          <w:p>
            <w:pPr>
              <w:spacing w:after="0" w:line="260" w:lineRule="auto"/>
            </w:pPr>
            <w:r>
              <w:rPr>
                <w:sz w:val="19"/>
              </w:rPr>
              <w:t xml:space="preserve">PostgreSQL 16; resto fijado en </w:t>
            </w:r>
            <w:r>
              <w:rPr>
                <w:rFonts w:ascii="Consolas" w:hAnsi="Consolas" w:cs="Consolas"/>
                <w:sz w:val="18"/>
              </w:rPr>
              <w:t>package-lock.json</w:t>
            </w:r>
          </w:p>
        </w:tc>
        <w:tc>
          <w:tcPr>
            <w:tcW w:w="1400" w:type="dxa"/>
            <w:tcMar>
              <w:top w:w="60" w:type="dxa"/>
              <w:left w:w="100" w:type="dxa"/>
              <w:bottom w:w="60" w:type="dxa"/>
              <w:right w:w="100" w:type="dxa"/>
            </w:tcMar>
            <w:vAlign w:val="center"/>
          </w:tcPr>
          <w:p>
            <w:pPr>
              <w:spacing w:after="0" w:line="260" w:lineRule="auto"/>
            </w:pPr>
            <w:r>
              <w:rPr>
                <w:sz w:val="19"/>
              </w:rPr>
              <w:t>—</w:t>
            </w:r>
          </w:p>
        </w:tc>
      </w:tr>
      <w:tr>
        <w:trPr>
          <w:cantSplit/>
        </w:trPr>
        <w:tc>
          <w:tcPr>
            <w:tcW w:w="2600" w:type="dxa"/>
            <w:tcMar>
              <w:top w:w="60" w:type="dxa"/>
              <w:left w:w="100" w:type="dxa"/>
              <w:bottom w:w="60" w:type="dxa"/>
              <w:right w:w="100" w:type="dxa"/>
            </w:tcMar>
            <w:vAlign w:val="center"/>
          </w:tcPr>
          <w:p>
            <w:pPr>
              <w:spacing w:after="0" w:line="260" w:lineRule="auto"/>
            </w:pPr>
            <w:r>
              <w:rPr>
                <w:sz w:val="19"/>
              </w:rPr>
              <w:t>Web</w:t>
            </w:r>
          </w:p>
        </w:tc>
        <w:tc>
          <w:tcPr>
            <w:tcW w:w="4000" w:type="dxa"/>
            <w:tcMar>
              <w:top w:w="60" w:type="dxa"/>
              <w:left w:w="100" w:type="dxa"/>
              <w:bottom w:w="60" w:type="dxa"/>
              <w:right w:w="100" w:type="dxa"/>
            </w:tcMar>
            <w:vAlign w:val="center"/>
          </w:tcPr>
          <w:p>
            <w:pPr>
              <w:spacing w:after="0" w:line="260" w:lineRule="auto"/>
            </w:pPr>
            <w:r>
              <w:rPr>
                <w:sz w:val="19"/>
              </w:rPr>
              <w:t>React + Vite</w:t>
            </w:r>
          </w:p>
        </w:tc>
        <w:tc>
          <w:tcPr>
            <w:tcW w:w="2080" w:type="dxa"/>
            <w:tcMar>
              <w:top w:w="60" w:type="dxa"/>
              <w:left w:w="100" w:type="dxa"/>
              <w:bottom w:w="60" w:type="dxa"/>
              <w:right w:w="100" w:type="dxa"/>
            </w:tcMar>
            <w:vAlign w:val="center"/>
          </w:tcPr>
          <w:p>
            <w:pPr>
              <w:spacing w:after="0" w:line="260" w:lineRule="auto"/>
            </w:pPr>
            <w:r>
              <w:rPr>
                <w:sz w:val="19"/>
              </w:rPr>
              <w:t xml:space="preserve">Fijada en </w:t>
            </w:r>
            <w:r>
              <w:rPr>
                <w:rFonts w:ascii="Consolas" w:hAnsi="Consolas" w:cs="Consolas"/>
                <w:sz w:val="18"/>
              </w:rPr>
              <w:t>package-lock.json</w:t>
            </w:r>
          </w:p>
        </w:tc>
        <w:tc>
          <w:tcPr>
            <w:tcW w:w="1400" w:type="dxa"/>
            <w:tcMar>
              <w:top w:w="60" w:type="dxa"/>
              <w:left w:w="100" w:type="dxa"/>
              <w:bottom w:w="60" w:type="dxa"/>
              <w:right w:w="100" w:type="dxa"/>
            </w:tcMar>
            <w:vAlign w:val="center"/>
          </w:tcPr>
          <w:p>
            <w:pPr>
              <w:spacing w:after="0" w:line="260" w:lineRule="auto"/>
            </w:pPr>
            <w:r>
              <w:rPr>
                <w:sz w:val="19"/>
              </w:rPr>
              <w:t>8</w:t>
            </w:r>
          </w:p>
        </w:tc>
      </w:tr>
      <w:tr>
        <w:trPr>
          <w:cantSplit/>
        </w:trPr>
        <w:tc>
          <w:tcPr>
            <w:tcW w:w="2600" w:type="dxa"/>
            <w:tcMar>
              <w:top w:w="60" w:type="dxa"/>
              <w:left w:w="100" w:type="dxa"/>
              <w:bottom w:w="60" w:type="dxa"/>
              <w:right w:w="100" w:type="dxa"/>
            </w:tcMar>
            <w:vAlign w:val="center"/>
          </w:tcPr>
          <w:p>
            <w:pPr>
              <w:spacing w:after="0" w:line="260" w:lineRule="auto"/>
            </w:pPr>
            <w:r>
              <w:rPr>
                <w:sz w:val="19"/>
              </w:rPr>
              <w:t>Integración y despliegue continuos</w:t>
            </w:r>
          </w:p>
        </w:tc>
        <w:tc>
          <w:tcPr>
            <w:tcW w:w="4000" w:type="dxa"/>
            <w:tcMar>
              <w:top w:w="60" w:type="dxa"/>
              <w:left w:w="100" w:type="dxa"/>
              <w:bottom w:w="60" w:type="dxa"/>
              <w:right w:w="100" w:type="dxa"/>
            </w:tcMar>
            <w:vAlign w:val="center"/>
          </w:tcPr>
          <w:p>
            <w:pPr>
              <w:spacing w:after="0" w:line="260" w:lineRule="auto"/>
            </w:pPr>
            <w:r>
              <w:rPr>
                <w:sz w:val="19"/>
              </w:rPr>
              <w:t xml:space="preserve">Jenkins (Multibranch Pipeline, </w:t>
            </w:r>
            <w:r>
              <w:rPr>
                <w:rFonts w:ascii="Consolas" w:hAnsi="Consolas" w:cs="Consolas"/>
                <w:sz w:val="18"/>
              </w:rPr>
              <w:t>Jenkinsfile</w:t>
            </w:r>
            <w:r>
              <w:rPr>
                <w:sz w:val="19"/>
              </w:rPr>
              <w:t xml:space="preserve"> en la raíz), en Docker con la imagen de </w:t>
            </w:r>
            <w:r>
              <w:rPr>
                <w:rFonts w:ascii="Consolas" w:hAnsi="Consolas" w:cs="Consolas"/>
                <w:sz w:val="18"/>
              </w:rPr>
              <w:t>jenkins/Dockerfile</w:t>
            </w:r>
          </w:p>
        </w:tc>
        <w:tc>
          <w:tcPr>
            <w:tcW w:w="2080" w:type="dxa"/>
            <w:tcMar>
              <w:top w:w="60" w:type="dxa"/>
              <w:left w:w="100" w:type="dxa"/>
              <w:bottom w:w="60" w:type="dxa"/>
              <w:right w:w="100" w:type="dxa"/>
            </w:tcMar>
            <w:vAlign w:val="center"/>
          </w:tcPr>
          <w:p>
            <w:pPr>
              <w:spacing w:after="0" w:line="260" w:lineRule="auto"/>
            </w:pPr>
            <w:r>
              <w:rPr>
                <w:sz w:val="19"/>
              </w:rPr>
              <w:t>LTS, JDK 17</w:t>
            </w:r>
          </w:p>
        </w:tc>
        <w:tc>
          <w:tcPr>
            <w:tcW w:w="1400" w:type="dxa"/>
            <w:tcMar>
              <w:top w:w="60" w:type="dxa"/>
              <w:left w:w="100" w:type="dxa"/>
              <w:bottom w:w="60" w:type="dxa"/>
              <w:right w:w="100" w:type="dxa"/>
            </w:tcMar>
            <w:vAlign w:val="center"/>
          </w:tcPr>
          <w:p>
            <w:pPr>
              <w:spacing w:after="0" w:line="260" w:lineRule="auto"/>
            </w:pPr>
            <w:r>
              <w:rPr>
                <w:sz w:val="19"/>
              </w:rPr>
              <w:t>6, 8</w:t>
            </w:r>
          </w:p>
        </w:tc>
      </w:tr>
      <w:tr>
        <w:trPr>
          <w:cantSplit/>
        </w:trPr>
        <w:tc>
          <w:tcPr>
            <w:tcW w:w="2600" w:type="dxa"/>
            <w:tcMar>
              <w:top w:w="60" w:type="dxa"/>
              <w:left w:w="100" w:type="dxa"/>
              <w:bottom w:w="60" w:type="dxa"/>
              <w:right w:w="100" w:type="dxa"/>
            </w:tcMar>
            <w:vAlign w:val="center"/>
          </w:tcPr>
          <w:p>
            <w:pPr>
              <w:spacing w:after="0" w:line="260" w:lineRule="auto"/>
            </w:pPr>
            <w:r>
              <w:rPr>
                <w:sz w:val="19"/>
              </w:rPr>
              <w:t>Respaldos programados</w:t>
            </w:r>
          </w:p>
        </w:tc>
        <w:tc>
          <w:tcPr>
            <w:tcW w:w="4000" w:type="dxa"/>
            <w:tcMar>
              <w:top w:w="60" w:type="dxa"/>
              <w:left w:w="100" w:type="dxa"/>
              <w:bottom w:w="60" w:type="dxa"/>
              <w:right w:w="100" w:type="dxa"/>
            </w:tcMar>
            <w:vAlign w:val="center"/>
          </w:tcPr>
          <w:p>
            <w:pPr>
              <w:spacing w:after="0" w:line="260" w:lineRule="auto"/>
            </w:pPr>
            <w:r>
              <w:rPr>
                <w:sz w:val="19"/>
              </w:rPr>
              <w:t xml:space="preserve">GitHub Actions, solo </w:t>
            </w:r>
            <w:r>
              <w:rPr>
                <w:rFonts w:ascii="Consolas" w:hAnsi="Consolas" w:cs="Consolas"/>
                <w:sz w:val="18"/>
              </w:rPr>
              <w:t>backup.yml</w:t>
            </w:r>
          </w:p>
        </w:tc>
        <w:tc>
          <w:tcPr>
            <w:tcW w:w="2080" w:type="dxa"/>
            <w:tcMar>
              <w:top w:w="60" w:type="dxa"/>
              <w:left w:w="100" w:type="dxa"/>
              <w:bottom w:w="60" w:type="dxa"/>
              <w:right w:w="100" w:type="dxa"/>
            </w:tcMar>
            <w:vAlign w:val="center"/>
          </w:tcPr>
          <w:p>
            <w:pPr>
              <w:spacing w:after="0" w:line="260" w:lineRule="auto"/>
            </w:pPr>
            <w:r>
              <w:rPr>
                <w:sz w:val="19"/>
              </w:rPr>
              <w:t>—</w:t>
            </w:r>
          </w:p>
        </w:tc>
        <w:tc>
          <w:tcPr>
            <w:tcW w:w="1400" w:type="dxa"/>
            <w:tcMar>
              <w:top w:w="60" w:type="dxa"/>
              <w:left w:w="100" w:type="dxa"/>
              <w:bottom w:w="60" w:type="dxa"/>
              <w:right w:w="100" w:type="dxa"/>
            </w:tcMar>
            <w:vAlign w:val="center"/>
          </w:tcPr>
          <w:p>
            <w:pPr>
              <w:spacing w:after="0" w:line="260" w:lineRule="auto"/>
            </w:pPr>
            <w:r>
              <w:rPr>
                <w:sz w:val="19"/>
              </w:rPr>
              <w:t>8</w:t>
            </w:r>
          </w:p>
        </w:tc>
      </w:tr>
      <w:tr>
        <w:trPr>
          <w:cantSplit/>
        </w:trPr>
        <w:tc>
          <w:tcPr>
            <w:tcW w:w="2600" w:type="dxa"/>
            <w:tcMar>
              <w:top w:w="60" w:type="dxa"/>
              <w:left w:w="100" w:type="dxa"/>
              <w:bottom w:w="60" w:type="dxa"/>
              <w:right w:w="100" w:type="dxa"/>
            </w:tcMar>
            <w:vAlign w:val="center"/>
          </w:tcPr>
          <w:p>
            <w:pPr>
              <w:spacing w:after="0" w:line="260" w:lineRule="auto"/>
            </w:pPr>
            <w:r>
              <w:rPr>
                <w:sz w:val="19"/>
              </w:rPr>
              <w:t>Análisis estático</w:t>
            </w:r>
          </w:p>
        </w:tc>
        <w:tc>
          <w:tcPr>
            <w:tcW w:w="4000" w:type="dxa"/>
            <w:tcMar>
              <w:top w:w="60" w:type="dxa"/>
              <w:left w:w="100" w:type="dxa"/>
              <w:bottom w:w="60" w:type="dxa"/>
              <w:right w:w="100" w:type="dxa"/>
            </w:tcMar>
            <w:vAlign w:val="center"/>
          </w:tcPr>
          <w:p>
            <w:pPr>
              <w:spacing w:after="0" w:line="260" w:lineRule="auto"/>
            </w:pPr>
            <w:r>
              <w:rPr>
                <w:sz w:val="19"/>
              </w:rPr>
              <w:t>SonarQube Cloud, Quality Gate "Sonar way"; ESLint + Prettier</w:t>
            </w:r>
          </w:p>
        </w:tc>
        <w:tc>
          <w:tcPr>
            <w:tcW w:w="2080" w:type="dxa"/>
            <w:tcMar>
              <w:top w:w="60" w:type="dxa"/>
              <w:left w:w="100" w:type="dxa"/>
              <w:bottom w:w="60" w:type="dxa"/>
              <w:right w:w="100" w:type="dxa"/>
            </w:tcMar>
            <w:vAlign w:val="center"/>
          </w:tcPr>
          <w:p>
            <w:pPr>
              <w:spacing w:after="0" w:line="260" w:lineRule="auto"/>
            </w:pPr>
            <w:r>
              <w:rPr>
                <w:sz w:val="19"/>
              </w:rPr>
              <w:t>—</w:t>
            </w:r>
          </w:p>
        </w:tc>
        <w:tc>
          <w:tcPr>
            <w:tcW w:w="1400" w:type="dxa"/>
            <w:tcMar>
              <w:top w:w="60" w:type="dxa"/>
              <w:left w:w="100" w:type="dxa"/>
              <w:bottom w:w="60" w:type="dxa"/>
              <w:right w:w="100" w:type="dxa"/>
            </w:tcMar>
            <w:vAlign w:val="center"/>
          </w:tcPr>
          <w:p>
            <w:pPr>
              <w:spacing w:after="0" w:line="260" w:lineRule="auto"/>
            </w:pPr>
            <w:r>
              <w:rPr>
                <w:sz w:val="19"/>
              </w:rPr>
              <w:t>3</w:t>
            </w:r>
          </w:p>
        </w:tc>
      </w:tr>
      <w:tr>
        <w:trPr>
          <w:cantSplit/>
        </w:trPr>
        <w:tc>
          <w:tcPr>
            <w:tcW w:w="2600" w:type="dxa"/>
            <w:tcMar>
              <w:top w:w="60" w:type="dxa"/>
              <w:left w:w="100" w:type="dxa"/>
              <w:bottom w:w="60" w:type="dxa"/>
              <w:right w:w="100" w:type="dxa"/>
            </w:tcMar>
            <w:vAlign w:val="center"/>
          </w:tcPr>
          <w:p>
            <w:pPr>
              <w:spacing w:after="0" w:line="260" w:lineRule="auto"/>
            </w:pPr>
            <w:r>
              <w:rPr>
                <w:sz w:val="19"/>
              </w:rPr>
              <w:t>Pruebas unitarias y de integración</w:t>
            </w:r>
          </w:p>
        </w:tc>
        <w:tc>
          <w:tcPr>
            <w:tcW w:w="4000" w:type="dxa"/>
            <w:tcMar>
              <w:top w:w="60" w:type="dxa"/>
              <w:left w:w="100" w:type="dxa"/>
              <w:bottom w:w="60" w:type="dxa"/>
              <w:right w:w="100" w:type="dxa"/>
            </w:tcMar>
            <w:vAlign w:val="center"/>
          </w:tcPr>
          <w:p>
            <w:pPr>
              <w:spacing w:after="0" w:line="260" w:lineRule="auto"/>
            </w:pPr>
            <w:r>
              <w:rPr>
                <w:sz w:val="19"/>
              </w:rPr>
              <w:t>Jest + Supertest (API); Vitest (web)</w:t>
            </w:r>
          </w:p>
        </w:tc>
        <w:tc>
          <w:tcPr>
            <w:tcW w:w="2080" w:type="dxa"/>
            <w:tcMar>
              <w:top w:w="60" w:type="dxa"/>
              <w:left w:w="100" w:type="dxa"/>
              <w:bottom w:w="60" w:type="dxa"/>
              <w:right w:w="100" w:type="dxa"/>
            </w:tcMar>
            <w:vAlign w:val="center"/>
          </w:tcPr>
          <w:p>
            <w:pPr>
              <w:spacing w:after="0" w:line="260" w:lineRule="auto"/>
            </w:pPr>
            <w:r>
              <w:rPr>
                <w:sz w:val="19"/>
              </w:rPr>
              <w:t xml:space="preserve">Fijada en </w:t>
            </w:r>
            <w:r>
              <w:rPr>
                <w:rFonts w:ascii="Consolas" w:hAnsi="Consolas" w:cs="Consolas"/>
                <w:sz w:val="18"/>
              </w:rPr>
              <w:t>package-lock.json</w:t>
            </w:r>
          </w:p>
        </w:tc>
        <w:tc>
          <w:tcPr>
            <w:tcW w:w="1400" w:type="dxa"/>
            <w:tcMar>
              <w:top w:w="60" w:type="dxa"/>
              <w:left w:w="100" w:type="dxa"/>
              <w:bottom w:w="60" w:type="dxa"/>
              <w:right w:w="100" w:type="dxa"/>
            </w:tcMar>
            <w:vAlign w:val="center"/>
          </w:tcPr>
          <w:p>
            <w:pPr>
              <w:spacing w:after="0" w:line="260" w:lineRule="auto"/>
            </w:pPr>
            <w:r>
              <w:rPr>
                <w:sz w:val="19"/>
              </w:rPr>
              <w:t>1, 2</w:t>
            </w:r>
          </w:p>
        </w:tc>
      </w:tr>
      <w:tr>
        <w:trPr>
          <w:cantSplit/>
        </w:trPr>
        <w:tc>
          <w:tcPr>
            <w:tcW w:w="2600" w:type="dxa"/>
            <w:tcMar>
              <w:top w:w="60" w:type="dxa"/>
              <w:left w:w="100" w:type="dxa"/>
              <w:bottom w:w="60" w:type="dxa"/>
              <w:right w:w="100" w:type="dxa"/>
            </w:tcMar>
            <w:vAlign w:val="center"/>
          </w:tcPr>
          <w:p>
            <w:pPr>
              <w:spacing w:after="0" w:line="260" w:lineRule="auto"/>
            </w:pPr>
            <w:r>
              <w:rPr>
                <w:sz w:val="19"/>
              </w:rPr>
              <w:t>Pruebas E2E</w:t>
            </w:r>
          </w:p>
        </w:tc>
        <w:tc>
          <w:tcPr>
            <w:tcW w:w="4000" w:type="dxa"/>
            <w:tcMar>
              <w:top w:w="60" w:type="dxa"/>
              <w:left w:w="100" w:type="dxa"/>
              <w:bottom w:w="60" w:type="dxa"/>
              <w:right w:w="100" w:type="dxa"/>
            </w:tcMar>
            <w:vAlign w:val="center"/>
          </w:tcPr>
          <w:p>
            <w:pPr>
              <w:spacing w:after="0" w:line="260" w:lineRule="auto"/>
            </w:pPr>
            <w:r>
              <w:rPr>
                <w:sz w:val="19"/>
              </w:rPr>
              <w:t>Cypress</w:t>
            </w:r>
          </w:p>
        </w:tc>
        <w:tc>
          <w:tcPr>
            <w:tcW w:w="2080" w:type="dxa"/>
            <w:tcMar>
              <w:top w:w="60" w:type="dxa"/>
              <w:left w:w="100" w:type="dxa"/>
              <w:bottom w:w="60" w:type="dxa"/>
              <w:right w:w="100" w:type="dxa"/>
            </w:tcMar>
            <w:vAlign w:val="center"/>
          </w:tcPr>
          <w:p>
            <w:pPr>
              <w:spacing w:after="0" w:line="260" w:lineRule="auto"/>
            </w:pPr>
            <w:r>
              <w:rPr>
                <w:sz w:val="19"/>
              </w:rPr>
              <w:t xml:space="preserve">Fijada en </w:t>
            </w:r>
            <w:r>
              <w:rPr>
                <w:rFonts w:ascii="Consolas" w:hAnsi="Consolas" w:cs="Consolas"/>
                <w:sz w:val="18"/>
              </w:rPr>
              <w:t>package-lock.json</w:t>
            </w:r>
          </w:p>
        </w:tc>
        <w:tc>
          <w:tcPr>
            <w:tcW w:w="1400" w:type="dxa"/>
            <w:tcMar>
              <w:top w:w="60" w:type="dxa"/>
              <w:left w:w="100" w:type="dxa"/>
              <w:bottom w:w="60" w:type="dxa"/>
              <w:right w:w="100" w:type="dxa"/>
            </w:tcMar>
            <w:vAlign w:val="center"/>
          </w:tcPr>
          <w:p>
            <w:pPr>
              <w:spacing w:after="0" w:line="260" w:lineRule="auto"/>
            </w:pPr>
            <w:r>
              <w:rPr>
                <w:sz w:val="19"/>
              </w:rPr>
              <w:t>4</w:t>
            </w:r>
          </w:p>
        </w:tc>
      </w:tr>
      <w:tr>
        <w:trPr>
          <w:cantSplit/>
        </w:trPr>
        <w:tc>
          <w:tcPr>
            <w:tcW w:w="2600" w:type="dxa"/>
            <w:tcMar>
              <w:top w:w="60" w:type="dxa"/>
              <w:left w:w="100" w:type="dxa"/>
              <w:bottom w:w="60" w:type="dxa"/>
              <w:right w:w="100" w:type="dxa"/>
            </w:tcMar>
            <w:vAlign w:val="center"/>
          </w:tcPr>
          <w:p>
            <w:pPr>
              <w:spacing w:after="0" w:line="260" w:lineRule="auto"/>
            </w:pPr>
            <w:r>
              <w:rPr>
                <w:sz w:val="19"/>
              </w:rPr>
              <w:t>Pruebas de carga</w:t>
            </w:r>
          </w:p>
        </w:tc>
        <w:tc>
          <w:tcPr>
            <w:tcW w:w="4000" w:type="dxa"/>
            <w:tcMar>
              <w:top w:w="60" w:type="dxa"/>
              <w:left w:w="100" w:type="dxa"/>
              <w:bottom w:w="60" w:type="dxa"/>
              <w:right w:w="100" w:type="dxa"/>
            </w:tcMar>
            <w:vAlign w:val="center"/>
          </w:tcPr>
          <w:p>
            <w:pPr>
              <w:spacing w:after="0" w:line="260" w:lineRule="auto"/>
            </w:pPr>
            <w:r>
              <w:rPr>
                <w:sz w:val="19"/>
              </w:rPr>
              <w:t>Apache JMeter</w:t>
            </w:r>
          </w:p>
        </w:tc>
        <w:tc>
          <w:tcPr>
            <w:tcW w:w="2080" w:type="dxa"/>
            <w:tcMar>
              <w:top w:w="60" w:type="dxa"/>
              <w:left w:w="100" w:type="dxa"/>
              <w:bottom w:w="60" w:type="dxa"/>
              <w:right w:w="100" w:type="dxa"/>
            </w:tcMar>
            <w:vAlign w:val="center"/>
          </w:tcPr>
          <w:p>
            <w:pPr>
              <w:spacing w:after="0" w:line="260" w:lineRule="auto"/>
            </w:pPr>
            <w:r>
              <w:rPr>
                <w:sz w:val="19"/>
              </w:rPr>
              <w:t>5.6.3</w:t>
            </w:r>
          </w:p>
        </w:tc>
        <w:tc>
          <w:tcPr>
            <w:tcW w:w="1400" w:type="dxa"/>
            <w:tcMar>
              <w:top w:w="60" w:type="dxa"/>
              <w:left w:w="100" w:type="dxa"/>
              <w:bottom w:w="60" w:type="dxa"/>
              <w:right w:w="100" w:type="dxa"/>
            </w:tcMar>
            <w:vAlign w:val="center"/>
          </w:tcPr>
          <w:p>
            <w:pPr>
              <w:spacing w:after="0" w:line="260" w:lineRule="auto"/>
            </w:pPr>
            <w:r>
              <w:rPr>
                <w:sz w:val="19"/>
              </w:rPr>
              <w:t>5</w:t>
            </w:r>
          </w:p>
        </w:tc>
      </w:tr>
      <w:tr>
        <w:trPr>
          <w:cantSplit/>
        </w:trPr>
        <w:tc>
          <w:tcPr>
            <w:tcW w:w="2600" w:type="dxa"/>
            <w:tcMar>
              <w:top w:w="60" w:type="dxa"/>
              <w:left w:w="100" w:type="dxa"/>
              <w:bottom w:w="60" w:type="dxa"/>
              <w:right w:w="100" w:type="dxa"/>
            </w:tcMar>
            <w:vAlign w:val="center"/>
          </w:tcPr>
          <w:p>
            <w:pPr>
              <w:spacing w:after="0" w:line="260" w:lineRule="auto"/>
            </w:pPr>
            <w:r>
              <w:rPr>
                <w:sz w:val="19"/>
              </w:rPr>
              <w:t>Dependencias y licencias</w:t>
            </w:r>
          </w:p>
        </w:tc>
        <w:tc>
          <w:tcPr>
            <w:tcW w:w="4000" w:type="dxa"/>
            <w:tcMar>
              <w:top w:w="60" w:type="dxa"/>
              <w:left w:w="100" w:type="dxa"/>
              <w:bottom w:w="60" w:type="dxa"/>
              <w:right w:w="100" w:type="dxa"/>
            </w:tcMar>
            <w:vAlign w:val="center"/>
          </w:tcPr>
          <w:p>
            <w:pPr>
              <w:spacing w:after="0" w:line="260" w:lineRule="auto"/>
            </w:pPr>
            <w:r>
              <w:rPr>
                <w:rFonts w:ascii="Consolas" w:hAnsi="Consolas" w:cs="Consolas"/>
                <w:sz w:val="18"/>
              </w:rPr>
              <w:t>npm audit</w:t>
            </w:r>
            <w:r>
              <w:rPr>
                <w:sz w:val="19"/>
              </w:rPr>
              <w:t xml:space="preserve">, Dependabot, </w:t>
            </w:r>
            <w:r>
              <w:rPr>
                <w:rFonts w:ascii="Consolas" w:hAnsi="Consolas" w:cs="Consolas"/>
                <w:sz w:val="18"/>
              </w:rPr>
              <w:t>license-checker</w:t>
            </w:r>
          </w:p>
        </w:tc>
        <w:tc>
          <w:tcPr>
            <w:tcW w:w="2080" w:type="dxa"/>
            <w:tcMar>
              <w:top w:w="60" w:type="dxa"/>
              <w:left w:w="100" w:type="dxa"/>
              <w:bottom w:w="60" w:type="dxa"/>
              <w:right w:w="100" w:type="dxa"/>
            </w:tcMar>
            <w:vAlign w:val="center"/>
          </w:tcPr>
          <w:p>
            <w:pPr>
              <w:spacing w:after="0" w:line="260" w:lineRule="auto"/>
            </w:pPr>
            <w:r>
              <w:rPr>
                <w:sz w:val="19"/>
              </w:rPr>
              <w:t>—</w:t>
            </w:r>
          </w:p>
        </w:tc>
        <w:tc>
          <w:tcPr>
            <w:tcW w:w="1400" w:type="dxa"/>
            <w:tcMar>
              <w:top w:w="60" w:type="dxa"/>
              <w:left w:w="100" w:type="dxa"/>
              <w:bottom w:w="60" w:type="dxa"/>
              <w:right w:w="100" w:type="dxa"/>
            </w:tcMar>
            <w:vAlign w:val="center"/>
          </w:tcPr>
          <w:p>
            <w:pPr>
              <w:spacing w:after="0" w:line="260" w:lineRule="auto"/>
            </w:pPr>
            <w:r>
              <w:rPr>
                <w:sz w:val="19"/>
              </w:rPr>
              <w:t>3</w:t>
            </w:r>
          </w:p>
        </w:tc>
      </w:tr>
      <w:tr>
        <w:trPr>
          <w:cantSplit/>
        </w:trPr>
        <w:tc>
          <w:tcPr>
            <w:tcW w:w="2600" w:type="dxa"/>
            <w:tcMar>
              <w:top w:w="60" w:type="dxa"/>
              <w:left w:w="100" w:type="dxa"/>
              <w:bottom w:w="60" w:type="dxa"/>
              <w:right w:w="100" w:type="dxa"/>
            </w:tcMar>
            <w:vAlign w:val="center"/>
          </w:tcPr>
          <w:p>
            <w:pPr>
              <w:spacing w:after="0" w:line="260" w:lineRule="auto"/>
            </w:pPr>
            <w:r>
              <w:rPr>
                <w:sz w:val="19"/>
              </w:rPr>
              <w:t>Hosting</w:t>
            </w:r>
          </w:p>
        </w:tc>
        <w:tc>
          <w:tcPr>
            <w:tcW w:w="4000" w:type="dxa"/>
            <w:tcMar>
              <w:top w:w="60" w:type="dxa"/>
              <w:left w:w="100" w:type="dxa"/>
              <w:bottom w:w="60" w:type="dxa"/>
              <w:right w:w="100" w:type="dxa"/>
            </w:tcMar>
            <w:vAlign w:val="center"/>
          </w:tcPr>
          <w:p>
            <w:pPr>
              <w:spacing w:after="0" w:line="260" w:lineRule="auto"/>
            </w:pPr>
            <w:r>
              <w:rPr>
                <w:sz w:val="19"/>
              </w:rPr>
              <w:t>Render (API, web estática, PostgreSQL, Redis), definido en render.yaml</w:t>
            </w:r>
          </w:p>
        </w:tc>
        <w:tc>
          <w:tcPr>
            <w:tcW w:w="2080" w:type="dxa"/>
            <w:tcMar>
              <w:top w:w="60" w:type="dxa"/>
              <w:left w:w="100" w:type="dxa"/>
              <w:bottom w:w="60" w:type="dxa"/>
              <w:right w:w="100" w:type="dxa"/>
            </w:tcMar>
            <w:vAlign w:val="center"/>
          </w:tcPr>
          <w:p>
            <w:pPr>
              <w:spacing w:after="0" w:line="260" w:lineRule="auto"/>
            </w:pPr>
            <w:r>
              <w:rPr>
                <w:sz w:val="19"/>
              </w:rPr>
              <w:t>Planes gratuitos</w:t>
            </w:r>
          </w:p>
        </w:tc>
        <w:tc>
          <w:tcPr>
            <w:tcW w:w="1400" w:type="dxa"/>
            <w:tcMar>
              <w:top w:w="60" w:type="dxa"/>
              <w:left w:w="100" w:type="dxa"/>
              <w:bottom w:w="60" w:type="dxa"/>
              <w:right w:w="100" w:type="dxa"/>
            </w:tcMar>
            <w:vAlign w:val="center"/>
          </w:tcPr>
          <w:p>
            <w:pPr>
              <w:spacing w:after="0" w:line="260" w:lineRule="auto"/>
            </w:pPr>
            <w:r>
              <w:rPr>
                <w:sz w:val="19"/>
              </w:rPr>
              <w:t>8</w:t>
            </w:r>
          </w:p>
        </w:tc>
      </w:tr>
      <w:tr>
        <w:trPr>
          <w:cantSplit/>
        </w:trPr>
        <w:tc>
          <w:tcPr>
            <w:tcW w:w="2600" w:type="dxa"/>
            <w:tcMar>
              <w:top w:w="60" w:type="dxa"/>
              <w:left w:w="100" w:type="dxa"/>
              <w:bottom w:w="60" w:type="dxa"/>
              <w:right w:w="100" w:type="dxa"/>
            </w:tcMar>
            <w:vAlign w:val="center"/>
          </w:tcPr>
          <w:p>
            <w:pPr>
              <w:spacing w:after="0" w:line="260" w:lineRule="auto"/>
            </w:pPr>
            <w:r>
              <w:rPr>
                <w:sz w:val="19"/>
              </w:rPr>
              <w:t>Monitoreo</w:t>
            </w:r>
          </w:p>
        </w:tc>
        <w:tc>
          <w:tcPr>
            <w:tcW w:w="4000" w:type="dxa"/>
            <w:tcMar>
              <w:top w:w="60" w:type="dxa"/>
              <w:left w:w="100" w:type="dxa"/>
              <w:bottom w:w="60" w:type="dxa"/>
              <w:right w:w="100" w:type="dxa"/>
            </w:tcMar>
            <w:vAlign w:val="center"/>
          </w:tcPr>
          <w:p>
            <w:pPr>
              <w:spacing w:after="0" w:line="260" w:lineRule="auto"/>
            </w:pPr>
            <w:r>
              <w:rPr>
                <w:sz w:val="19"/>
              </w:rPr>
              <w:t>UptimeRobot (plan gratuito): monitor HTTP de /api/salud de staging y de producción</w:t>
            </w:r>
          </w:p>
        </w:tc>
        <w:tc>
          <w:tcPr>
            <w:tcW w:w="2080" w:type="dxa"/>
            <w:tcMar>
              <w:top w:w="60" w:type="dxa"/>
              <w:left w:w="100" w:type="dxa"/>
              <w:bottom w:w="60" w:type="dxa"/>
              <w:right w:w="100" w:type="dxa"/>
            </w:tcMar>
            <w:vAlign w:val="center"/>
          </w:tcPr>
          <w:p>
            <w:pPr>
              <w:spacing w:after="0" w:line="260" w:lineRule="auto"/>
            </w:pPr>
            <w:r>
              <w:rPr>
                <w:sz w:val="19"/>
              </w:rPr>
              <w:t>—</w:t>
            </w:r>
          </w:p>
        </w:tc>
        <w:tc>
          <w:tcPr>
            <w:tcW w:w="1400" w:type="dxa"/>
            <w:tcMar>
              <w:top w:w="60" w:type="dxa"/>
              <w:left w:w="100" w:type="dxa"/>
              <w:bottom w:w="60" w:type="dxa"/>
              <w:right w:w="100" w:type="dxa"/>
            </w:tcMar>
            <w:vAlign w:val="center"/>
          </w:tcPr>
          <w:p>
            <w:pPr>
              <w:spacing w:after="0" w:line="260" w:lineRule="auto"/>
            </w:pPr>
            <w:r>
              <w:rPr>
                <w:sz w:val="19"/>
              </w:rPr>
              <w:t>—</w:t>
            </w:r>
          </w:p>
        </w:tc>
      </w:tr>
      <w:tr>
        <w:trPr>
          <w:cantSplit/>
        </w:trPr>
        <w:tc>
          <w:tcPr>
            <w:tcW w:w="2600" w:type="dxa"/>
            <w:tcMar>
              <w:top w:w="60" w:type="dxa"/>
              <w:left w:w="100" w:type="dxa"/>
              <w:bottom w:w="60" w:type="dxa"/>
              <w:right w:w="100" w:type="dxa"/>
            </w:tcMar>
            <w:vAlign w:val="center"/>
          </w:tcPr>
          <w:p>
            <w:pPr>
              <w:spacing w:after="0" w:line="260" w:lineRule="auto"/>
            </w:pPr>
            <w:r>
              <w:rPr>
                <w:sz w:val="19"/>
              </w:rPr>
              <w:t>Gestión de defectos y comunicación</w:t>
            </w:r>
          </w:p>
        </w:tc>
        <w:tc>
          <w:tcPr>
            <w:tcW w:w="4000" w:type="dxa"/>
            <w:tcMar>
              <w:top w:w="60" w:type="dxa"/>
              <w:left w:w="100" w:type="dxa"/>
              <w:bottom w:w="60" w:type="dxa"/>
              <w:right w:w="100" w:type="dxa"/>
            </w:tcMar>
            <w:vAlign w:val="center"/>
          </w:tcPr>
          <w:p>
            <w:pPr>
              <w:spacing w:after="0" w:line="260" w:lineRule="auto"/>
            </w:pPr>
            <w:r>
              <w:rPr>
                <w:sz w:val="19"/>
              </w:rPr>
              <w:t>GitHub Issues; grupo de WhatsApp (avisos urgentes, S1) y servidor de Discord (coordinación diaria)</w:t>
            </w:r>
          </w:p>
        </w:tc>
        <w:tc>
          <w:tcPr>
            <w:tcW w:w="2080" w:type="dxa"/>
            <w:tcMar>
              <w:top w:w="60" w:type="dxa"/>
              <w:left w:w="100" w:type="dxa"/>
              <w:bottom w:w="60" w:type="dxa"/>
              <w:right w:w="100" w:type="dxa"/>
            </w:tcMar>
            <w:vAlign w:val="center"/>
          </w:tcPr>
          <w:p>
            <w:pPr>
              <w:spacing w:after="0" w:line="260" w:lineRule="auto"/>
            </w:pPr>
            <w:r>
              <w:rPr>
                <w:sz w:val="19"/>
              </w:rPr>
              <w:t>—</w:t>
            </w:r>
          </w:p>
        </w:tc>
        <w:tc>
          <w:tcPr>
            <w:tcW w:w="1400" w:type="dxa"/>
            <w:tcMar>
              <w:top w:w="60" w:type="dxa"/>
              <w:left w:w="100" w:type="dxa"/>
              <w:bottom w:w="60" w:type="dxa"/>
              <w:right w:w="100" w:type="dxa"/>
            </w:tcMar>
            <w:vAlign w:val="center"/>
          </w:tcPr>
          <w:p>
            <w:pPr>
              <w:spacing w:after="0" w:line="260" w:lineRule="auto"/>
            </w:pPr>
            <w:r>
              <w:rPr>
                <w:sz w:val="19"/>
              </w:rPr>
              <w:t>—</w:t>
            </w:r>
          </w:p>
        </w:tc>
      </w:tr>
    </w:tbl>
    <w:p>
      <w:pPr>
        <w:spacing w:after="60" w:line="276" w:lineRule="auto"/>
      </w:pPr>
    </w:p>
    <w:p>
      <w:pPr>
        <w:spacing w:after="120" w:line="276" w:lineRule="auto"/>
      </w:pPr>
      <w:r>
        <w:rPr>
          <w:b/>
        </w:rPr>
        <w:t>Por qué Jenkins.</w:t>
      </w:r>
      <w:r>
        <w:t xml:space="preserve"> Es la herramienta de integración continua de la Práctica 6 y el equipo ya la domina; el </w:t>
      </w:r>
      <w:r>
        <w:rPr>
          <w:rFonts w:ascii="Consolas" w:hAnsi="Consolas" w:cs="Consolas"/>
          <w:sz w:val="19"/>
        </w:rPr>
        <w:t>Jenkinsfile</w:t>
      </w:r>
      <w:r>
        <w:t xml:space="preserve"> aplica los mismos conceptos de la Práctica 8 (etapas en orden, despliegue solo después de las pruebas, smoke test, secretos fuera del código). Se configura como </w:t>
      </w:r>
      <w:r>
        <w:rPr>
          <w:b/>
        </w:rPr>
        <w:t>Multibranch Pipeline</w:t>
      </w:r>
      <w:r>
        <w:t xml:space="preserve"> y no como un job Pipeline simple, porque solo así existen </w:t>
      </w:r>
      <w:r>
        <w:rPr>
          <w:rFonts w:ascii="Consolas" w:hAnsi="Consolas" w:cs="Consolas"/>
          <w:sz w:val="19"/>
        </w:rPr>
        <w:t>BRANCH_NAME</w:t>
      </w:r>
      <w:r>
        <w:t xml:space="preserve">, los builds de pull requests y los de etiquetas: con un job simple, </w:t>
      </w:r>
      <w:r>
        <w:rPr>
          <w:rFonts w:ascii="Consolas" w:hAnsi="Consolas" w:cs="Consolas"/>
          <w:sz w:val="19"/>
        </w:rPr>
        <w:t>when { branch 'main' }</w:t>
      </w:r>
      <w:r>
        <w:t xml:space="preserve"> nunca se cumple y las etapas de despliegue, E2E y rendimiento no se ejecutarían, que fue el defecto de la versión 0.2.</w:t>
      </w:r>
    </w:p>
    <w:p>
      <w:pPr>
        <w:spacing w:after="120" w:line="276" w:lineRule="auto"/>
      </w:pPr>
      <w:r>
        <w:rPr>
          <w:b/>
        </w:rPr>
        <w:t>Lo que se asume al usar Jenkins</w:t>
      </w:r>
      <w:r>
        <w:t xml:space="preserve"> (riesgo R04): Jenkins corre en Docker en la computadora de Lujan, así que GitHub no puede enviarle webhooks; el Multibranch escanea el repositorio cada minuto, lo que cumple el disparo en 3 minutos o menos. Si esa computadora está apagada, ningún PR se puede fusionar, porque la rama main exige el check de Jenkins. </w:t>
      </w:r>
      <w:r>
        <w:rPr>
          <w:b/>
        </w:rPr>
        <w:t>Excepción:</w:t>
      </w:r>
      <w:r>
        <w:t xml:space="preserve"> los respaldos (</w:t>
      </w:r>
      <w:r>
        <w:rPr>
          <w:rFonts w:ascii="Consolas" w:hAnsi="Consolas" w:cs="Consolas"/>
          <w:sz w:val="19"/>
        </w:rPr>
        <w:t>backup.yml</w:t>
      </w:r>
      <w:r>
        <w:t>) corren en GitHub Actions, porque deben ejecutarse cada día a las 03:00 aunque la computadora esté apagada; no es parte del CI.</w:t>
      </w:r>
    </w:p>
    <w:p>
      <w:pPr>
        <w:keepNext/>
        <w:jc w:val="center"/>
      </w:pPr>
      <w:r>
        <w:drawing>
          <wp:inline xmlns:a="http://schemas.openxmlformats.org/drawingml/2006/main" xmlns:pic="http://schemas.openxmlformats.org/drawingml/2006/picture">
            <wp:extent cx="4206240" cy="4991525"/>
            <wp:docPr id="3" name="Picture 3"/>
            <wp:cNvGraphicFramePr>
              <a:graphicFrameLocks noChangeAspect="1"/>
            </wp:cNvGraphicFramePr>
            <a:graphic>
              <a:graphicData uri="http://schemas.openxmlformats.org/drawingml/2006/picture">
                <pic:pic>
                  <pic:nvPicPr>
                    <pic:cNvPr id="0" name="pipe.png"/>
                    <pic:cNvPicPr/>
                  </pic:nvPicPr>
                  <pic:blipFill>
                    <a:blip r:embed="rId9"/>
                    <a:stretch>
                      <a:fillRect/>
                    </a:stretch>
                  </pic:blipFill>
                  <pic:spPr>
                    <a:xfrm>
                      <a:off x="0" y="0"/>
                      <a:ext cx="4206240" cy="4991525"/>
                    </a:xfrm>
                    <a:prstGeom prst="rect"/>
                  </pic:spPr>
                </pic:pic>
              </a:graphicData>
            </a:graphic>
          </wp:inline>
        </w:drawing>
      </w:r>
    </w:p>
    <w:p>
      <w:pPr>
        <w:keepNext w:val="0"/>
        <w:spacing w:before="60" w:after="80" w:line="276" w:lineRule="auto"/>
        <w:jc w:val="center"/>
      </w:pPr>
      <w:r>
        <w:rPr>
          <w:b/>
          <w:color w:val="1F4E79"/>
          <w:sz w:val="19"/>
        </w:rPr>
        <w:t xml:space="preserve">Figura 3. </w:t>
      </w:r>
      <w:r>
        <w:rPr>
          <w:color w:val="595959"/>
          <w:sz w:val="19"/>
        </w:rPr>
        <w:t>Etapas del Jenkinsfile y métricas que hace cumplir cada una</w:t>
      </w:r>
    </w:p>
    <w:p>
      <w:pPr>
        <w:spacing w:after="120" w:line="276" w:lineRule="auto"/>
      </w:pPr>
      <w:r>
        <w:rPr>
          <w:b/>
        </w:rPr>
        <w:t>Por qué SonarQube Cloud.</w:t>
      </w:r>
      <w:r>
        <w:t xml:space="preserve"> La edición Community de SonarQube no analiza pull requests ni ramas; como M05, M07 y M08 se miden "en cada PR", se usa SonarQube Cloud, gratuito para repositorios públicos. El scanner corre con </w:t>
      </w:r>
      <w:r>
        <w:rPr>
          <w:rFonts w:ascii="Consolas" w:hAnsi="Consolas" w:cs="Consolas"/>
          <w:sz w:val="19"/>
        </w:rPr>
        <w:t>-Dsonar.qualitygate.wait=true</w:t>
      </w:r>
      <w:r>
        <w:t>, de modo que la etapa espera el resultado del Quality Gate sin necesitar un webhook hacia el Jenkins local. El plan gratuito no permite asignar un Quality Gate propio al proyecto, así que se usa el integrado "Sonar way": sus condiciones sobre el código nuevo incluyen las tres del plan con los mismos umbrales (cobertura menor que 80 %, duplicación mayor que 3 % y seguridad peor que A) y además exigen confiabilidad y mantenibilidad A y el 100 % de los security hotspots revisados. Ese plan, además, solo analiza la rama principal del proyecto, que en SonarQube Cloud es develop: el análisis corre en cada build de develop, donde se trabaja (ADR-0008), y el PR de release a main se apoya en el Quality Gate del último commit de develop.</w:t>
      </w:r>
    </w:p>
    <w:p>
      <w:pPr>
        <w:spacing w:after="120" w:line="276" w:lineRule="auto"/>
      </w:pPr>
      <w:r>
        <w:rPr>
          <w:b/>
        </w:rPr>
        <w:t>Técnicas:</w:t>
      </w:r>
      <w:r>
        <w:t xml:space="preserve"> TDD obligatorio en los cinco módulos críticos; BDD ligero, porque los criterios Dado/Cuando/Entonces se convierten en nombres de pruebas; revisión de cada commit de develop y del PR de release a main (Sección 6, ADR-0008); análisis estático en cada build; integración continua con despliegue continuo a staging; pair programming de una hora por semana sobre los módulos críticos para transferir conocimiento (mitigación de R01). Marco de trabajo: Scrum adaptado a sprints de una semana (planificación el día 1, revisión y retrospectiva el día 5).</w:t>
      </w:r>
    </w:p>
    <w:p>
      <w:pPr>
        <w:pStyle w:val="Ttulo1"/>
      </w:pPr>
      <w:r>
        <w:t>10. Control de medios</w:t>
      </w:r>
    </w:p>
    <w:p>
      <w:pPr>
        <w:spacing w:after="120" w:line="276" w:lineRule="auto"/>
      </w:pPr>
      <w:r>
        <w:t>Esta sección define dónde vive cada artefacto, cómo entra un cambio, cómo se versiona, cómo se protege y cómo se recupera. Incluye la gestión de cambios de las historias de usuario.</w:t>
      </w:r>
    </w:p>
    <w:p>
      <w:pPr>
        <w:pStyle w:val="Ttulo2"/>
      </w:pPr>
      <w:r>
        <w:t>10.1 Repositorio</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calisfacu/                    (monorepo, workspaces de npm)</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api/                       NestJS: src/modules/&lt;dominio&gt;, src/database/, test/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web/                       React + Vite</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e2e/                       Cypress (*.cy.ts)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perf/                      planes de JMeter (*.jmx) y datos de carga</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docs/                      sqap/ srs/ sad/ adr/ backlog/ actas/ evidencias/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manuales/ capacitacion/</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.github/                   ISSUE_TEMPLATE/ dependabot.yml pull_request_template.md</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workflows/backup.yml (solo respaldos)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jenkins/                   Dockerfile, docker-compose.yml, plugins.txt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Jenkinsfile                pipeline de CI/CD (Multibranch)</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.husky/                    pre-commit, commit-msg, pre-push</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docker-compose.yml         PostgreSQL 16 y Redis para desarrollo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CHANGELOG.md · README.md · .env.example</w:t>
      </w:r>
    </w:p>
    <w:p>
      <w:pPr>
        <w:spacing w:after="60" w:line="276" w:lineRule="auto"/>
      </w:pPr>
    </w:p>
    <w:p>
      <w:pPr>
        <w:pStyle w:val="Ttulo2"/>
      </w:pPr>
      <w:r>
        <w:t>10.2 Estrategia de ramas, pull requests y merge</w:t>
      </w:r>
    </w:p>
    <w:p>
      <w:pPr>
        <w:spacing w:after="120" w:line="276" w:lineRule="auto"/>
      </w:pPr>
      <w:r>
        <w:t xml:space="preserve">Se usa una variante de </w:t>
      </w:r>
      <w:r>
        <w:rPr>
          <w:b/>
        </w:rPr>
        <w:t>Git Flow</w:t>
      </w:r>
      <w:r>
        <w:t xml:space="preserve"> (ADR-0008): </w:t>
      </w:r>
      <w:r>
        <w:rPr>
          <w:rFonts w:ascii="Consolas" w:hAnsi="Consolas" w:cs="Consolas"/>
          <w:sz w:val="19"/>
        </w:rPr>
        <w:t>main</w:t>
      </w:r>
      <w:r>
        <w:t xml:space="preserve"> contiene solo versiones liberadas (producción) y </w:t>
      </w:r>
      <w:r>
        <w:rPr>
          <w:rFonts w:ascii="Consolas" w:hAnsi="Consolas" w:cs="Consolas"/>
          <w:sz w:val="19"/>
        </w:rPr>
        <w:t>develop</w:t>
      </w:r>
      <w:r>
        <w:t xml:space="preserve"> es la rama de desarrollo e integración (staging), donde se trabaja directamente. </w:t>
      </w:r>
      <w:r>
        <w:rPr>
          <w:b/>
        </w:rPr>
        <w:t>Justificación:</w:t>
      </w:r>
      <w:r>
        <w:t xml:space="preserve"> separa lo que está en integración de lo que usa el cliente, y cada release pasa por un PR </w:t>
      </w:r>
      <w:r>
        <w:rPr>
          <w:rFonts w:ascii="Consolas" w:hAnsi="Consolas" w:cs="Consolas"/>
          <w:sz w:val="19"/>
        </w:rPr>
        <w:t>develop → main</w:t>
      </w:r>
      <w:r>
        <w:t xml:space="preserve"> que revisa el otro integrante. Con dos personas y sprints de una semana, un PR por tarea frenaba la integración; la calidad de develop la cuidan los hooks de Husky, el build de Jenkins de cada push y la revisión de cada commit. No se usan ramas </w:t>
      </w:r>
      <w:r>
        <w:rPr>
          <w:rFonts w:ascii="Consolas" w:hAnsi="Consolas" w:cs="Consolas"/>
          <w:sz w:val="19"/>
        </w:rPr>
        <w:t>release/*</w:t>
      </w:r>
      <w:r>
        <w:t xml:space="preserve">: el release candidate es una etiqueta sobre </w:t>
      </w:r>
      <w:r>
        <w:rPr>
          <w:rFonts w:ascii="Consolas" w:hAnsi="Consolas" w:cs="Consolas"/>
          <w:sz w:val="19"/>
        </w:rPr>
        <w:t>develop</w:t>
      </w:r>
      <w:r>
        <w:t>.</w:t>
      </w:r>
    </w:p>
    <w:p>
      <w:pPr>
        <w:keepNext/>
        <w:jc w:val="center"/>
      </w:pPr>
      <w:r>
        <w:drawing>
          <wp:inline xmlns:a="http://schemas.openxmlformats.org/drawingml/2006/main" xmlns:pic="http://schemas.openxmlformats.org/drawingml/2006/picture">
            <wp:extent cx="6309360" cy="1317338"/>
            <wp:docPr id="4" name="Picture 4"/>
            <wp:cNvGraphicFramePr>
              <a:graphicFrameLocks noChangeAspect="1"/>
            </wp:cNvGraphicFramePr>
            <a:graphic>
              <a:graphicData uri="http://schemas.openxmlformats.org/drawingml/2006/picture">
                <pic:pic>
                  <pic:nvPicPr>
                    <pic:cNvPr id="0" name="ramas.png"/>
                    <pic:cNvPicPr/>
                  </pic:nvPicPr>
                  <pic:blipFill>
                    <a:blip r:embed="rId10"/>
                    <a:stretch>
                      <a:fillRect/>
                    </a:stretch>
                  </pic:blipFill>
                  <pic:spPr>
                    <a:xfrm>
                      <a:off x="0" y="0"/>
                      <a:ext cx="6309360" cy="1317338"/>
                    </a:xfrm>
                    <a:prstGeom prst="rect"/>
                  </pic:spPr>
                </pic:pic>
              </a:graphicData>
            </a:graphic>
          </wp:inline>
        </w:drawing>
      </w:r>
    </w:p>
    <w:p>
      <w:pPr>
        <w:keepNext w:val="0"/>
        <w:spacing w:before="60" w:after="80" w:line="276" w:lineRule="auto"/>
        <w:jc w:val="center"/>
      </w:pPr>
      <w:r>
        <w:rPr>
          <w:b/>
          <w:color w:val="1F4E79"/>
          <w:sz w:val="19"/>
        </w:rPr>
        <w:t xml:space="preserve">Figura 4. </w:t>
      </w:r>
      <w:r>
        <w:rPr>
          <w:color w:val="595959"/>
          <w:sz w:val="19"/>
        </w:rPr>
        <w:t>Recorrido de un cambio: de la tarea a la versión</w:t>
      </w:r>
    </w:p>
    <w:p>
      <w:pPr>
        <w:keepNext/>
        <w:spacing w:before="120" w:after="80" w:line="276" w:lineRule="auto"/>
      </w:pPr>
      <w:r>
        <w:rPr>
          <w:b/>
          <w:color w:val="1F4E79"/>
          <w:sz w:val="19"/>
        </w:rPr>
        <w:t xml:space="preserve">Tabla 21. </w:t>
      </w:r>
      <w:r>
        <w:rPr>
          <w:color w:val="595959"/>
          <w:sz w:val="19"/>
        </w:rPr>
        <w:t>Reglas de ramas y pull requests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7780"/>
      </w:tblGrid>
      <w:tr>
        <w:trPr>
          <w:cantSplit/>
          <w:tblHeader/>
        </w:trPr>
        <w:tc>
          <w:tcPr>
            <w:tcW w:w="2300" w:type="dxa"/>
            <w:shd w:val="clear" w:color="auto" w:fill="DDEBF7"/>
            <w:tcMar>
              <w:top w:w="60" w:type="dxa"/>
              <w:left w:w="100" w:type="dxa"/>
              <w:bottom w:w="60" w:type="dxa"/>
              <w:right w:w="100" w:type="dxa"/>
            </w:tcMar>
          </w:tcPr>
          <w:p>
            <w:pPr>
              <w:spacing w:after="0" w:line="260" w:lineRule="auto"/>
            </w:pPr>
            <w:r>
              <w:rPr>
                <w:b/>
                <w:sz w:val="19"/>
              </w:rPr>
              <w:t>Regla</w:t>
            </w:r>
          </w:p>
        </w:tc>
        <w:tc>
          <w:tcPr>
            <w:tcW w:w="7780" w:type="dxa"/>
            <w:shd w:val="clear" w:color="auto" w:fill="DDEBF7"/>
            <w:tcMar>
              <w:top w:w="60" w:type="dxa"/>
              <w:left w:w="100" w:type="dxa"/>
              <w:bottom w:w="60" w:type="dxa"/>
              <w:right w:w="100" w:type="dxa"/>
            </w:tcMar>
          </w:tcPr>
          <w:p>
            <w:pPr>
              <w:spacing w:after="0" w:line="260" w:lineRule="auto"/>
            </w:pPr>
            <w:r>
              <w:rPr>
                <w:b/>
                <w:sz w:val="19"/>
              </w:rPr>
              <w:t>Configuración</w:t>
            </w:r>
          </w:p>
        </w:tc>
      </w:tr>
      <w:tr>
        <w:trPr>
          <w:cantSplit/>
        </w:trPr>
        <w:tc>
          <w:tcPr>
            <w:tcW w:w="2300" w:type="dxa"/>
            <w:tcMar>
              <w:top w:w="60" w:type="dxa"/>
              <w:left w:w="100" w:type="dxa"/>
              <w:bottom w:w="60" w:type="dxa"/>
              <w:right w:w="100" w:type="dxa"/>
            </w:tcMar>
            <w:vAlign w:val="center"/>
          </w:tcPr>
          <w:p>
            <w:pPr>
              <w:spacing w:after="0" w:line="260" w:lineRule="auto"/>
            </w:pPr>
            <w:r>
              <w:rPr>
                <w:sz w:val="19"/>
              </w:rPr>
              <w:t>Ramas permanentes</w:t>
            </w:r>
          </w:p>
        </w:tc>
        <w:tc>
          <w:tcPr>
            <w:tcW w:w="7780" w:type="dxa"/>
            <w:tcMar>
              <w:top w:w="60" w:type="dxa"/>
              <w:left w:w="100" w:type="dxa"/>
              <w:bottom w:w="60" w:type="dxa"/>
              <w:right w:w="100" w:type="dxa"/>
            </w:tcMar>
            <w:vAlign w:val="center"/>
          </w:tcPr>
          <w:p>
            <w:pPr>
              <w:spacing w:after="0" w:line="260" w:lineRule="auto"/>
            </w:pPr>
            <w:r>
              <w:rPr>
                <w:rFonts w:ascii="Consolas" w:hAnsi="Consolas" w:cs="Consolas"/>
                <w:sz w:val="18"/>
              </w:rPr>
              <w:t>main (producción, solo versiones etiquetadas vX.Y.Z) y develop (integración, se despliega a staging en cada merge). develop es la rama por defecto en GitHub, porque los respaldos programados y Dependabot se leen de ella.</w:t>
            </w:r>
            <w:r>
              <w:rPr>
                <w:sz w:val="19"/>
              </w:rPr>
            </w:r>
            <w:r>
              <w:rPr>
                <w:rFonts w:ascii="Consolas" w:hAnsi="Consolas" w:cs="Consolas"/>
                <w:sz w:val="18"/>
              </w:rPr>
            </w:r>
            <w:r>
              <w:rPr>
                <w:sz w:val="19"/>
              </w:rPr>
            </w:r>
            <w:r>
              <w:rPr>
                <w:rFonts w:ascii="Consolas" w:hAnsi="Consolas" w:cs="Consolas"/>
                <w:sz w:val="18"/>
              </w:rPr>
            </w:r>
            <w:r>
              <w:rPr>
                <w:sz w:val="19"/>
              </w:rPr>
            </w:r>
          </w:p>
        </w:tc>
      </w:tr>
      <w:tr>
        <w:trPr>
          <w:cantSplit/>
        </w:trPr>
        <w:tc>
          <w:tcPr>
            <w:tcW w:w="2300" w:type="dxa"/>
            <w:tcMar>
              <w:top w:w="60" w:type="dxa"/>
              <w:left w:w="100" w:type="dxa"/>
              <w:bottom w:w="60" w:type="dxa"/>
              <w:right w:w="100" w:type="dxa"/>
            </w:tcMar>
            <w:vAlign w:val="center"/>
          </w:tcPr>
          <w:p>
            <w:pPr>
              <w:spacing w:after="0" w:line="260" w:lineRule="auto"/>
            </w:pPr>
            <w:r>
              <w:rPr>
                <w:sz w:val="19"/>
              </w:rPr>
              <w:t>Trabajo diario</w:t>
            </w:r>
          </w:p>
        </w:tc>
        <w:tc>
          <w:tcPr>
            <w:tcW w:w="7780" w:type="dxa"/>
            <w:tcMar>
              <w:top w:w="60" w:type="dxa"/>
              <w:left w:w="100" w:type="dxa"/>
              <w:bottom w:w="60" w:type="dxa"/>
              <w:right w:w="100" w:type="dxa"/>
            </w:tcMar>
            <w:vAlign w:val="center"/>
          </w:tcPr>
          <w:p>
            <w:pPr>
              <w:spacing w:after="0" w:line="260" w:lineRule="auto"/>
            </w:pPr>
            <w:r>
              <w:rPr>
                <w:sz w:val="19"/>
              </w:rPr>
              <w:t>Commits directos en develop (sin ramas feature/ ni fix/), cada uno con su referencia a la historia o al defecto; antes del push corren lint, formato y todas las pruebas unitarias.</w:t>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p>
        </w:tc>
      </w:tr>
      <w:tr>
        <w:trPr>
          <w:cantSplit/>
        </w:trPr>
        <w:tc>
          <w:tcPr>
            <w:tcW w:w="2300" w:type="dxa"/>
            <w:tcMar>
              <w:top w:w="60" w:type="dxa"/>
              <w:left w:w="100" w:type="dxa"/>
              <w:bottom w:w="60" w:type="dxa"/>
              <w:right w:w="100" w:type="dxa"/>
            </w:tcMar>
            <w:vAlign w:val="center"/>
          </w:tcPr>
          <w:p>
            <w:pPr>
              <w:spacing w:after="0" w:line="260" w:lineRule="auto"/>
            </w:pPr>
            <w:r>
              <w:rPr>
                <w:sz w:val="19"/>
              </w:rPr>
              <w:t>Hotfix</w:t>
            </w:r>
          </w:p>
        </w:tc>
        <w:tc>
          <w:tcPr>
            <w:tcW w:w="7780" w:type="dxa"/>
            <w:tcMar>
              <w:top w:w="60" w:type="dxa"/>
              <w:left w:w="100" w:type="dxa"/>
              <w:bottom w:w="60" w:type="dxa"/>
              <w:right w:w="100" w:type="dxa"/>
            </w:tcMar>
            <w:vAlign w:val="center"/>
          </w:tcPr>
          <w:p>
            <w:pPr>
              <w:spacing w:after="0" w:line="260" w:lineRule="auto"/>
            </w:pPr>
            <w:r>
              <w:rPr>
                <w:rFonts w:ascii="Consolas" w:hAnsi="Consolas" w:cs="Consolas"/>
                <w:sz w:val="18"/>
              </w:rPr>
              <w:t>hotfix/CAL-NNN-...</w:t>
            </w:r>
            <w:r>
              <w:rPr>
                <w:sz w:val="19"/>
              </w:rPr>
              <w:t xml:space="preserve"> sale de </w:t>
            </w:r>
            <w:r>
              <w:rPr>
                <w:rFonts w:ascii="Consolas" w:hAnsi="Consolas" w:cs="Consolas"/>
                <w:sz w:val="18"/>
              </w:rPr>
              <w:t>main</w:t>
            </w:r>
            <w:r>
              <w:rPr>
                <w:sz w:val="19"/>
              </w:rPr>
              <w:t xml:space="preserve">, vuelve a </w:t>
            </w:r>
            <w:r>
              <w:rPr>
                <w:rFonts w:ascii="Consolas" w:hAnsi="Consolas" w:cs="Consolas"/>
                <w:sz w:val="18"/>
              </w:rPr>
              <w:t>main</w:t>
            </w:r>
            <w:r>
              <w:rPr>
                <w:sz w:val="19"/>
              </w:rPr>
              <w:t xml:space="preserve"> con su etiqueta </w:t>
            </w:r>
            <w:r>
              <w:rPr>
                <w:rFonts w:ascii="Consolas" w:hAnsi="Consolas" w:cs="Consolas"/>
                <w:sz w:val="18"/>
              </w:rPr>
              <w:t>vX.Y.Z+1</w:t>
            </w:r>
            <w:r>
              <w:rPr>
                <w:sz w:val="19"/>
              </w:rPr>
              <w:t xml:space="preserve"> y se fusiona también a </w:t>
            </w:r>
            <w:r>
              <w:rPr>
                <w:rFonts w:ascii="Consolas" w:hAnsi="Consolas" w:cs="Consolas"/>
                <w:sz w:val="18"/>
              </w:rPr>
              <w:t>develop</w:t>
            </w:r>
            <w:r>
              <w:rPr>
                <w:sz w:val="19"/>
              </w:rPr>
              <w:t xml:space="preserve"> en el mismo día.</w:t>
            </w:r>
          </w:p>
        </w:tc>
      </w:tr>
      <w:tr>
        <w:trPr>
          <w:cantSplit/>
        </w:trPr>
        <w:tc>
          <w:tcPr>
            <w:tcW w:w="2300" w:type="dxa"/>
            <w:tcMar>
              <w:top w:w="60" w:type="dxa"/>
              <w:left w:w="100" w:type="dxa"/>
              <w:bottom w:w="60" w:type="dxa"/>
              <w:right w:w="100" w:type="dxa"/>
            </w:tcMar>
            <w:vAlign w:val="center"/>
          </w:tcPr>
          <w:p>
            <w:pPr>
              <w:spacing w:after="0" w:line="260" w:lineRule="auto"/>
            </w:pPr>
            <w:r>
              <w:rPr>
                <w:sz w:val="19"/>
              </w:rPr>
              <w:t>Release</w:t>
            </w:r>
          </w:p>
        </w:tc>
        <w:tc>
          <w:tcPr>
            <w:tcW w:w="7780" w:type="dxa"/>
            <w:tcMar>
              <w:top w:w="60" w:type="dxa"/>
              <w:left w:w="100" w:type="dxa"/>
              <w:bottom w:w="60" w:type="dxa"/>
              <w:right w:w="100" w:type="dxa"/>
            </w:tcMar>
            <w:vAlign w:val="center"/>
          </w:tcPr>
          <w:p>
            <w:pPr>
              <w:spacing w:after="0" w:line="260" w:lineRule="auto"/>
            </w:pPr>
            <w:r>
              <w:rPr>
                <w:sz w:val="19"/>
              </w:rPr>
              <w:t xml:space="preserve">PR </w:t>
            </w:r>
            <w:r>
              <w:rPr>
                <w:rFonts w:ascii="Consolas" w:hAnsi="Consolas" w:cs="Consolas"/>
                <w:sz w:val="18"/>
              </w:rPr>
              <w:t>develop → main</w:t>
            </w:r>
            <w:r>
              <w:rPr>
                <w:sz w:val="19"/>
              </w:rPr>
              <w:t xml:space="preserve"> aprobado por el integrante que no lo abrió; después, la etiqueta </w:t>
            </w:r>
            <w:r>
              <w:rPr>
                <w:rFonts w:ascii="Consolas" w:hAnsi="Consolas" w:cs="Consolas"/>
                <w:sz w:val="18"/>
              </w:rPr>
              <w:t>vX.Y.Z</w:t>
            </w:r>
            <w:r>
              <w:rPr>
                <w:sz w:val="19"/>
              </w:rPr>
              <w:t xml:space="preserve"> sobre </w:t>
            </w:r>
            <w:r>
              <w:rPr>
                <w:rFonts w:ascii="Consolas" w:hAnsi="Consolas" w:cs="Consolas"/>
                <w:sz w:val="18"/>
              </w:rPr>
              <w:t>main</w:t>
            </w:r>
            <w:r>
              <w:rPr>
                <w:sz w:val="19"/>
              </w:rPr>
              <w:t xml:space="preserve"> dispara la aprobación y el despliegue a producción.</w:t>
            </w:r>
          </w:p>
        </w:tc>
      </w:tr>
      <w:tr>
        <w:trPr>
          <w:cantSplit/>
        </w:trPr>
        <w:tc>
          <w:tcPr>
            <w:tcW w:w="2300" w:type="dxa"/>
            <w:tcMar>
              <w:top w:w="60" w:type="dxa"/>
              <w:left w:w="100" w:type="dxa"/>
              <w:bottom w:w="60" w:type="dxa"/>
              <w:right w:w="100" w:type="dxa"/>
            </w:tcMar>
            <w:vAlign w:val="center"/>
          </w:tcPr>
          <w:p>
            <w:pPr>
              <w:spacing w:after="0" w:line="260" w:lineRule="auto"/>
            </w:pPr>
            <w:r>
              <w:rPr>
                <w:sz w:val="19"/>
              </w:rPr>
              <w:t>Protección de main y develop (ruleset)</w:t>
            </w:r>
          </w:p>
        </w:tc>
        <w:tc>
          <w:tcPr>
            <w:tcW w:w="7780" w:type="dxa"/>
            <w:tcMar>
              <w:top w:w="60" w:type="dxa"/>
              <w:left w:w="100" w:type="dxa"/>
              <w:bottom w:w="60" w:type="dxa"/>
              <w:right w:w="100" w:type="dxa"/>
            </w:tcMar>
            <w:vAlign w:val="center"/>
          </w:tcPr>
          <w:p>
            <w:pPr>
              <w:spacing w:after="0" w:line="260" w:lineRule="auto"/>
            </w:pPr>
            <w:r>
              <w:rPr>
                <w:sz w:val="19"/>
              </w:rPr>
              <w:t>main: pull request obligatorio con 1 aprobación; descartar aprobaciones si llegan commits nuevos; check obligatorio de Jenkins (continuous-integration/jenkins/pr-merge); rama al día con la destino; única excepción: el rol administrador del repositorio (Lujan, Líder), para publicar un release cuando el otro integrante no puede revisar; cada uso se registra en el acta de la auditoría siguiente. develop: sin PR obligatorio. Ambas: sin force push ni borrado (rulesets "Protección de main" y "Protección de develop").</w:t>
            </w:r>
            <w:r>
              <w:rPr>
                <w:rFonts w:ascii="Consolas" w:hAnsi="Consolas" w:cs="Consolas"/>
                <w:sz w:val="18"/>
              </w:rPr>
            </w:r>
            <w:r>
              <w:rPr>
                <w:sz w:val="19"/>
              </w:rPr>
            </w:r>
          </w:p>
        </w:tc>
      </w:tr>
      <w:tr>
        <w:trPr>
          <w:cantSplit/>
        </w:trPr>
        <w:tc>
          <w:tcPr>
            <w:tcW w:w="2300" w:type="dxa"/>
            <w:tcMar>
              <w:top w:w="60" w:type="dxa"/>
              <w:left w:w="100" w:type="dxa"/>
              <w:bottom w:w="60" w:type="dxa"/>
              <w:right w:w="100" w:type="dxa"/>
            </w:tcMar>
            <w:vAlign w:val="center"/>
          </w:tcPr>
          <w:p>
            <w:pPr>
              <w:spacing w:after="0" w:line="260" w:lineRule="auto"/>
            </w:pPr>
            <w:r>
              <w:rPr>
                <w:sz w:val="19"/>
              </w:rPr>
              <w:t>Pull request de release</w:t>
            </w:r>
          </w:p>
        </w:tc>
        <w:tc>
          <w:tcPr>
            <w:tcW w:w="7780" w:type="dxa"/>
            <w:tcMar>
              <w:top w:w="60" w:type="dxa"/>
              <w:left w:w="100" w:type="dxa"/>
              <w:bottom w:w="60" w:type="dxa"/>
              <w:right w:w="100" w:type="dxa"/>
            </w:tcMar>
            <w:vAlign w:val="center"/>
          </w:tcPr>
          <w:p>
            <w:pPr>
              <w:spacing w:after="0" w:line="260" w:lineRule="auto"/>
            </w:pPr>
            <w:r>
              <w:rPr>
                <w:sz w:val="19"/>
              </w:rPr>
              <w:t>Plantilla del Anexo D: historia o defecto, qué cambia, cómo se probó, checklist de la DoD. Tamaño objetivo: ≤ 400 líneas cambiadas; si es mayor, se divide.</w:t>
            </w:r>
          </w:p>
        </w:tc>
      </w:tr>
      <w:tr>
        <w:trPr>
          <w:cantSplit/>
        </w:trPr>
        <w:tc>
          <w:tcPr>
            <w:tcW w:w="2300" w:type="dxa"/>
            <w:tcMar>
              <w:top w:w="60" w:type="dxa"/>
              <w:left w:w="100" w:type="dxa"/>
              <w:bottom w:w="60" w:type="dxa"/>
              <w:right w:w="100" w:type="dxa"/>
            </w:tcMar>
            <w:vAlign w:val="center"/>
          </w:tcPr>
          <w:p>
            <w:pPr>
              <w:spacing w:after="0" w:line="260" w:lineRule="auto"/>
            </w:pPr>
            <w:r>
              <w:rPr>
                <w:sz w:val="19"/>
              </w:rPr>
              <w:t>Revisor</w:t>
            </w:r>
          </w:p>
        </w:tc>
        <w:tc>
          <w:tcPr>
            <w:tcW w:w="7780" w:type="dxa"/>
            <w:tcMar>
              <w:top w:w="60" w:type="dxa"/>
              <w:left w:w="100" w:type="dxa"/>
              <w:bottom w:w="60" w:type="dxa"/>
              <w:right w:w="100" w:type="dxa"/>
            </w:tcMar>
            <w:vAlign w:val="center"/>
          </w:tcPr>
          <w:p>
            <w:pPr>
              <w:spacing w:after="0" w:line="260" w:lineRule="auto"/>
            </w:pPr>
            <w:r>
              <w:rPr>
                <w:sz w:val="19"/>
              </w:rPr>
              <w:t>Asignado según la Sección 6: Galvan para módulos críticos y API; Lujan para interfaz, CI y scripts de prueba. Revisa los commits de develop en 1 día hábil.</w:t>
            </w:r>
          </w:p>
        </w:tc>
      </w:tr>
      <w:tr>
        <w:trPr>
          <w:cantSplit/>
        </w:trPr>
        <w:tc>
          <w:tcPr>
            <w:tcW w:w="2300" w:type="dxa"/>
            <w:tcMar>
              <w:top w:w="60" w:type="dxa"/>
              <w:left w:w="100" w:type="dxa"/>
              <w:bottom w:w="60" w:type="dxa"/>
              <w:right w:w="100" w:type="dxa"/>
            </w:tcMar>
            <w:vAlign w:val="center"/>
          </w:tcPr>
          <w:p>
            <w:pPr>
              <w:spacing w:after="0" w:line="260" w:lineRule="auto"/>
            </w:pPr>
            <w:r>
              <w:rPr>
                <w:sz w:val="19"/>
              </w:rPr>
              <w:t>Merge</w:t>
            </w:r>
          </w:p>
        </w:tc>
        <w:tc>
          <w:tcPr>
            <w:tcW w:w="7780" w:type="dxa"/>
            <w:tcMar>
              <w:top w:w="60" w:type="dxa"/>
              <w:left w:w="100" w:type="dxa"/>
              <w:bottom w:w="60" w:type="dxa"/>
              <w:right w:w="100" w:type="dxa"/>
            </w:tcMar>
            <w:vAlign w:val="center"/>
          </w:tcPr>
          <w:p>
            <w:pPr>
              <w:spacing w:after="0" w:line="260" w:lineRule="auto"/>
            </w:pPr>
            <w:r>
              <w:rPr>
                <w:sz w:val="19"/>
              </w:rPr>
              <w:t>De develop a main: merge commit, para conservar la historia de la versión. Hotfix: PR a main y después merge de main en develop el mismo día.</w:t>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p>
        </w:tc>
      </w:tr>
    </w:tbl>
    <w:p>
      <w:pPr>
        <w:spacing w:after="60" w:line="276" w:lineRule="auto"/>
      </w:pPr>
    </w:p>
    <w:p>
      <w:pPr>
        <w:pStyle w:val="Ttulo2"/>
      </w:pPr>
      <w:r>
        <w:t>10.3 Mensajes de commit</w:t>
      </w:r>
    </w:p>
    <w:p>
      <w:pPr>
        <w:spacing w:after="120" w:line="276" w:lineRule="auto"/>
      </w:pPr>
      <w:r>
        <w:t xml:space="preserve">Formato </w:t>
      </w:r>
      <w:r>
        <w:rPr>
          <w:b/>
        </w:rPr>
        <w:t>Conventional Commits 1.0.0</w:t>
      </w:r>
      <w:r>
        <w:t xml:space="preserve">, verificado por commitlint en el hook </w:t>
      </w:r>
      <w:r>
        <w:rPr>
          <w:rFonts w:ascii="Consolas" w:hAnsi="Consolas" w:cs="Consolas"/>
          <w:sz w:val="19"/>
        </w:rPr>
        <w:t>commit-msg</w:t>
      </w:r>
      <w:r>
        <w:t>. Cada commit referencia la historia o el defecto:</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&lt;tipo&gt;(&lt;ámbito&gt;): &lt;resumen en imperativo, minúsculas, sin punto final&gt;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&lt;cuerpo opcional: qué y por qué&gt;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Refs: US-01            (o Closes #23 para cerrar el issue)</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Tipos:   feat, fix, test, refactor, docs, style, perf, build, ci, chore, revert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Ámbitos: auth, academico, notas, calculo, auditoria, asistencia, importacion,</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boletin, panel, centralizacion, notificaciones, web, e2e, perf, ci, deps, sqap</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Ejemplos: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feat(calculo): calcular la nota trimestral según la RM 001/2026</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test(calculo): agregar los casos frontera 50,5 y 50,4 de la tabla firmada</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fix(boletin): generar en cola los boletines de cursos de más de 50 estudiantes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docs(sqap): actualizar el umbral de M03 en las Secciones 5 y 7</w:t>
      </w:r>
    </w:p>
    <w:p>
      <w:pPr>
        <w:spacing w:after="60" w:line="276" w:lineRule="auto"/>
      </w:pPr>
    </w:p>
    <w:p>
      <w:pPr>
        <w:spacing w:after="120" w:line="276" w:lineRule="auto"/>
      </w:pPr>
      <w:r>
        <w:t xml:space="preserve">Un cambio que rompe compatibilidad (por ejemplo, un contrato de API) lleva </w:t>
      </w:r>
      <w:r>
        <w:rPr>
          <w:rFonts w:ascii="Consolas" w:hAnsi="Consolas" w:cs="Consolas"/>
          <w:sz w:val="19"/>
        </w:rPr>
        <w:t>!</w:t>
      </w:r>
      <w:r>
        <w:t xml:space="preserve"> después del tipo y la nota </w:t>
      </w:r>
      <w:r>
        <w:rPr>
          <w:rFonts w:ascii="Consolas" w:hAnsi="Consolas" w:cs="Consolas"/>
          <w:sz w:val="19"/>
        </w:rPr>
        <w:t>BREAKING CHANGE:</w:t>
      </w:r>
      <w:r>
        <w:t xml:space="preserve"> en el cuerpo.</w:t>
      </w:r>
    </w:p>
    <w:p>
      <w:pPr>
        <w:pStyle w:val="Ttulo2"/>
      </w:pPr>
      <w:r>
        <w:t>10.4 Versiones y releases</w:t>
      </w:r>
    </w:p>
    <w:p>
      <w:pPr>
        <w:numPr>
          <w:ilvl w:val="0"/>
          <w:numId w:val="2"/>
        </w:numPr>
        <w:spacing w:after="80" w:line="276" w:lineRule="auto"/>
      </w:pPr>
      <w:r>
        <w:rPr>
          <w:b/>
        </w:rPr>
        <w:t>Versionado:</w:t>
      </w:r>
      <w:r>
        <w:t xml:space="preserve"> Semantic Versioning 2.0.0. Release candidates </w:t>
      </w:r>
      <w:r>
        <w:rPr>
          <w:rFonts w:ascii="Consolas" w:hAnsi="Consolas" w:cs="Consolas"/>
          <w:sz w:val="19"/>
        </w:rPr>
        <w:t>v1.0.0-rc.1</w:t>
      </w:r>
      <w:r>
        <w:t xml:space="preserve"> (fin de la semana 3) y </w:t>
      </w:r>
      <w:r>
        <w:rPr>
          <w:rFonts w:ascii="Consolas" w:hAnsi="Consolas" w:cs="Consolas"/>
          <w:sz w:val="19"/>
        </w:rPr>
        <w:t>v1.0.0-rc.2</w:t>
      </w:r>
      <w:r>
        <w:t xml:space="preserve"> (semana 4, día 3); versión final </w:t>
      </w:r>
      <w:r>
        <w:rPr>
          <w:rFonts w:ascii="Consolas" w:hAnsi="Consolas" w:cs="Consolas"/>
          <w:sz w:val="19"/>
        </w:rPr>
        <w:t>v1.0.0</w:t>
      </w:r>
      <w:r>
        <w:t xml:space="preserve"> (semana 4, día 5).</w:t>
      </w:r>
    </w:p>
    <w:p>
      <w:pPr>
        <w:numPr>
          <w:ilvl w:val="0"/>
          <w:numId w:val="2"/>
        </w:numPr>
        <w:spacing w:after="80" w:line="276" w:lineRule="auto"/>
      </w:pPr>
      <w:r>
        <w:t xml:space="preserve">Una etiqueta </w:t>
      </w:r>
      <w:r>
        <w:rPr>
          <w:rFonts w:ascii="Consolas" w:hAnsi="Consolas" w:cs="Consolas"/>
          <w:sz w:val="19"/>
        </w:rPr>
        <w:t>vX.Y.Z-rc.N</w:t>
      </w:r>
      <w:r>
        <w:t xml:space="preserve"> sobre </w:t>
      </w:r>
      <w:r>
        <w:rPr>
          <w:rFonts w:ascii="Consolas" w:hAnsi="Consolas" w:cs="Consolas"/>
          <w:sz w:val="19"/>
        </w:rPr>
        <w:t>develop</w:t>
      </w:r>
      <w:r>
        <w:t xml:space="preserve"> ejecuta la etapa Rendimiento (M03, M04) sobre ese commit; la etiqueta </w:t>
      </w:r>
      <w:r>
        <w:rPr>
          <w:rFonts w:ascii="Consolas" w:hAnsi="Consolas" w:cs="Consolas"/>
          <w:sz w:val="19"/>
        </w:rPr>
        <w:t>vX.Y.Z</w:t>
      </w:r>
      <w:r>
        <w:t xml:space="preserve"> sobre </w:t>
      </w:r>
      <w:r>
        <w:rPr>
          <w:rFonts w:ascii="Consolas" w:hAnsi="Consolas" w:cs="Consolas"/>
          <w:sz w:val="19"/>
        </w:rPr>
        <w:t>main</w:t>
      </w:r>
      <w:r>
        <w:t xml:space="preserve"> ejecuta las etapas de aprobación y despliegue a producción. Las etiquetas se crean sobre commits que ya tienen su build en verde.</w:t>
      </w:r>
    </w:p>
    <w:p>
      <w:pPr>
        <w:numPr>
          <w:ilvl w:val="0"/>
          <w:numId w:val="2"/>
        </w:numPr>
        <w:spacing w:after="80" w:line="276" w:lineRule="auto"/>
      </w:pPr>
      <w:r>
        <w:rPr>
          <w:b/>
        </w:rPr>
        <w:t>Producción</w:t>
      </w:r>
      <w:r>
        <w:t xml:space="preserve"> espera una aprobación manual en la etapa </w:t>
      </w:r>
      <w:r>
        <w:rPr>
          <w:rFonts w:ascii="Consolas" w:hAnsi="Consolas" w:cs="Consolas"/>
          <w:sz w:val="19"/>
        </w:rPr>
        <w:t>input</w:t>
      </w:r>
      <w:r>
        <w:t xml:space="preserve"> del </w:t>
      </w:r>
      <w:r>
        <w:rPr>
          <w:rFonts w:ascii="Consolas" w:hAnsi="Consolas" w:cs="Consolas"/>
          <w:sz w:val="19"/>
        </w:rPr>
        <w:t>Jenkinsfile</w:t>
      </w:r>
      <w:r>
        <w:t xml:space="preserve">; aprueba el integrante que </w:t>
      </w:r>
      <w:r>
        <w:rPr>
          <w:b/>
        </w:rPr>
        <w:t>no</w:t>
      </w:r>
      <w:r>
        <w:t xml:space="preserve"> creó la etiqueta (RACI: aprobar un release). La consola del build registra quién aprobó, y la auditoría verifica que no sea quien etiquetó.</w:t>
      </w:r>
    </w:p>
    <w:p>
      <w:pPr>
        <w:numPr>
          <w:ilvl w:val="0"/>
          <w:numId w:val="2"/>
        </w:numPr>
        <w:spacing w:after="80" w:line="276" w:lineRule="auto"/>
      </w:pPr>
      <w:r>
        <w:rPr>
          <w:b/>
        </w:rPr>
        <w:t>CHANGELOG.md</w:t>
      </w:r>
      <w:r>
        <w:t xml:space="preserve"> se actualiza en el PR de release, agrupado por tipo de commit.</w:t>
      </w:r>
    </w:p>
    <w:p>
      <w:pPr>
        <w:numPr>
          <w:ilvl w:val="0"/>
          <w:numId w:val="2"/>
        </w:numPr>
        <w:spacing w:after="80" w:line="276" w:lineRule="auto"/>
      </w:pPr>
      <w:r>
        <w:rPr>
          <w:b/>
        </w:rPr>
        <w:t>Reversión:</w:t>
      </w:r>
      <w:r>
        <w:t xml:space="preserve"> </w:t>
      </w:r>
      <w:r>
        <w:rPr>
          <w:rFonts w:ascii="Consolas" w:hAnsi="Consolas" w:cs="Consolas"/>
          <w:sz w:val="19"/>
        </w:rPr>
        <w:t>git revert</w:t>
      </w:r>
      <w:r>
        <w:t xml:space="preserve"> del commit en develop (o en un hotfix hacia main); el pipeline vuelve a desplegar. Nunca se reescribe el historial de </w:t>
      </w:r>
      <w:r>
        <w:rPr>
          <w:rFonts w:ascii="Consolas" w:hAnsi="Consolas" w:cs="Consolas"/>
          <w:sz w:val="19"/>
        </w:rPr>
        <w:t>develop</w:t>
      </w:r>
      <w:r>
        <w:t xml:space="preserve"> ni de </w:t>
      </w:r>
      <w:r>
        <w:rPr>
          <w:rFonts w:ascii="Consolas" w:hAnsi="Consolas" w:cs="Consolas"/>
          <w:sz w:val="19"/>
        </w:rPr>
        <w:t>main</w:t>
      </w:r>
      <w:r>
        <w:t>.</w:t>
      </w:r>
    </w:p>
    <w:p>
      <w:pPr>
        <w:pStyle w:val="Ttulo2"/>
      </w:pPr>
      <w:r>
        <w:t>10.5 Secretos y control de acceso</w:t>
      </w:r>
    </w:p>
    <w:p>
      <w:pPr>
        <w:numPr>
          <w:ilvl w:val="0"/>
          <w:numId w:val="2"/>
        </w:numPr>
        <w:spacing w:after="80" w:line="276" w:lineRule="auto"/>
      </w:pPr>
      <w:r>
        <w:t xml:space="preserve">Los secretos (URL de bases de datos, </w:t>
      </w:r>
      <w:r>
        <w:rPr>
          <w:rFonts w:ascii="Consolas" w:hAnsi="Consolas" w:cs="Consolas"/>
          <w:sz w:val="19"/>
        </w:rPr>
        <w:t>JWT_SECRET</w:t>
      </w:r>
      <w:r>
        <w:t xml:space="preserve">, Deploy Hooks de Render, token de SonarQube, frase de cifrado de respaldos, clave del proveedor de correo) viven solo en </w:t>
      </w:r>
      <w:r>
        <w:rPr>
          <w:b/>
        </w:rPr>
        <w:t>Jenkins Credentials</w:t>
      </w:r>
      <w:r>
        <w:t xml:space="preserve"> (tipo *secret text*, usados con </w:t>
      </w:r>
      <w:r>
        <w:rPr>
          <w:rFonts w:ascii="Consolas" w:hAnsi="Consolas" w:cs="Consolas"/>
          <w:sz w:val="19"/>
        </w:rPr>
        <w:t>withCredentials</w:t>
      </w:r>
      <w:r>
        <w:t xml:space="preserve">), en el panel de cada plataforma y, para los respaldos, en GitHub Secrets. El repositorio tiene </w:t>
      </w:r>
      <w:r>
        <w:rPr>
          <w:rFonts w:ascii="Consolas" w:hAnsi="Consolas" w:cs="Consolas"/>
          <w:sz w:val="19"/>
        </w:rPr>
        <w:t>.env.example</w:t>
      </w:r>
      <w:r>
        <w:t xml:space="preserve"> sin valores; </w:t>
      </w:r>
      <w:r>
        <w:rPr>
          <w:rFonts w:ascii="Consolas" w:hAnsi="Consolas" w:cs="Consolas"/>
          <w:sz w:val="19"/>
        </w:rPr>
        <w:t>.env</w:t>
      </w:r>
      <w:r>
        <w:t xml:space="preserve"> está en </w:t>
      </w:r>
      <w:r>
        <w:rPr>
          <w:rFonts w:ascii="Consolas" w:hAnsi="Consolas" w:cs="Consolas"/>
          <w:sz w:val="19"/>
        </w:rPr>
        <w:t>.gitignore</w:t>
      </w:r>
      <w:r>
        <w:t>.</w:t>
      </w:r>
    </w:p>
    <w:p>
      <w:pPr>
        <w:numPr>
          <w:ilvl w:val="0"/>
          <w:numId w:val="2"/>
        </w:numPr>
        <w:spacing w:after="80" w:line="276" w:lineRule="auto"/>
      </w:pPr>
      <w:r>
        <w:t xml:space="preserve">Jenkins: solo los dos integrantes tienen cuenta (seguridad basada en matriz); el token de GitHub de Jenkins tiene únicamente permisos de lectura del repositorio y de escritura de estados de commit; el volumen </w:t>
      </w:r>
      <w:r>
        <w:rPr>
          <w:rFonts w:ascii="Consolas" w:hAnsi="Consolas" w:cs="Consolas"/>
          <w:sz w:val="19"/>
        </w:rPr>
        <w:t>jenkins_home</w:t>
      </w:r>
      <w:r>
        <w:t xml:space="preserve"> se respalda junto con el bundle del repositorio cada día 5.</w:t>
      </w:r>
    </w:p>
    <w:p>
      <w:pPr>
        <w:numPr>
          <w:ilvl w:val="0"/>
          <w:numId w:val="2"/>
        </w:numPr>
        <w:spacing w:after="80" w:line="276" w:lineRule="auto"/>
      </w:pPr>
      <w:r>
        <w:t>Acceso: ambos integrantes con rol *Maintain* en GitHub y autenticación en dos pasos obligatoria; el propietario del repositorio es Lujan. Producción: solo los dos integrantes; el cliente accede únicamente a la aplicación.</w:t>
      </w:r>
    </w:p>
    <w:p>
      <w:pPr>
        <w:numPr>
          <w:ilvl w:val="0"/>
          <w:numId w:val="2"/>
        </w:numPr>
        <w:spacing w:after="80" w:line="276" w:lineRule="auto"/>
      </w:pPr>
      <w:r>
        <w:t>Si un secreto se expone, se rota en menos de 1 hora hábil y se registra como defecto S1 (riesgo R12).</w:t>
      </w:r>
    </w:p>
    <w:p>
      <w:pPr>
        <w:pStyle w:val="Ttulo2"/>
      </w:pPr>
      <w:r>
        <w:t>10.6 Respaldos</w:t>
      </w:r>
    </w:p>
    <w:p>
      <w:pPr>
        <w:keepNext/>
        <w:spacing w:before="120" w:after="80" w:line="276" w:lineRule="auto"/>
      </w:pPr>
      <w:r>
        <w:rPr>
          <w:b/>
          <w:color w:val="1F4E79"/>
          <w:sz w:val="19"/>
        </w:rPr>
        <w:t xml:space="preserve">Tabla 22. </w:t>
      </w:r>
      <w:r>
        <w:rPr>
          <w:color w:val="595959"/>
          <w:sz w:val="19"/>
        </w:rPr>
        <w:t>Política de respaldos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100"/>
        <w:gridCol w:w="1800"/>
        <w:gridCol w:w="1500"/>
        <w:gridCol w:w="2180"/>
      </w:tblGrid>
      <w:tr>
        <w:trPr>
          <w:cantSplit/>
          <w:tblHeader/>
        </w:trPr>
        <w:tc>
          <w:tcPr>
            <w:tcW w:w="2500" w:type="dxa"/>
            <w:shd w:val="clear" w:color="auto" w:fill="DDEBF7"/>
            <w:tcMar>
              <w:top w:w="60" w:type="dxa"/>
              <w:left w:w="100" w:type="dxa"/>
              <w:bottom w:w="60" w:type="dxa"/>
              <w:right w:w="100" w:type="dxa"/>
            </w:tcMar>
          </w:tcPr>
          <w:p>
            <w:pPr>
              <w:spacing w:after="0" w:line="260" w:lineRule="auto"/>
            </w:pPr>
            <w:r>
              <w:rPr>
                <w:b/>
                <w:sz w:val="18"/>
              </w:rPr>
              <w:t>Qué</w:t>
            </w:r>
          </w:p>
        </w:tc>
        <w:tc>
          <w:tcPr>
            <w:tcW w:w="2100" w:type="dxa"/>
            <w:shd w:val="clear" w:color="auto" w:fill="DDEBF7"/>
            <w:tcMar>
              <w:top w:w="60" w:type="dxa"/>
              <w:left w:w="100" w:type="dxa"/>
              <w:bottom w:w="60" w:type="dxa"/>
              <w:right w:w="100" w:type="dxa"/>
            </w:tcMar>
          </w:tcPr>
          <w:p>
            <w:pPr>
              <w:spacing w:after="0" w:line="260" w:lineRule="auto"/>
            </w:pPr>
            <w:r>
              <w:rPr>
                <w:b/>
                <w:sz w:val="18"/>
              </w:rPr>
              <w:t>Frecuencia</w:t>
            </w:r>
          </w:p>
        </w:tc>
        <w:tc>
          <w:tcPr>
            <w:tcW w:w="1800" w:type="dxa"/>
            <w:shd w:val="clear" w:color="auto" w:fill="DDEBF7"/>
            <w:tcMar>
              <w:top w:w="60" w:type="dxa"/>
              <w:left w:w="100" w:type="dxa"/>
              <w:bottom w:w="60" w:type="dxa"/>
              <w:right w:w="100" w:type="dxa"/>
            </w:tcMar>
          </w:tcPr>
          <w:p>
            <w:pPr>
              <w:spacing w:after="0" w:line="260" w:lineRule="auto"/>
            </w:pPr>
            <w:r>
              <w:rPr>
                <w:b/>
                <w:sz w:val="18"/>
              </w:rPr>
              <w:t>Retención</w:t>
            </w:r>
          </w:p>
        </w:tc>
        <w:tc>
          <w:tcPr>
            <w:tcW w:w="1500" w:type="dxa"/>
            <w:shd w:val="clear" w:color="auto" w:fill="DDEBF7"/>
            <w:tcMar>
              <w:top w:w="60" w:type="dxa"/>
              <w:left w:w="100" w:type="dxa"/>
              <w:bottom w:w="60" w:type="dxa"/>
              <w:right w:w="100" w:type="dxa"/>
            </w:tcMar>
          </w:tcPr>
          <w:p>
            <w:pPr>
              <w:spacing w:after="0" w:line="260" w:lineRule="auto"/>
            </w:pPr>
            <w:r>
              <w:rPr>
                <w:b/>
                <w:sz w:val="18"/>
              </w:rPr>
              <w:t>Responsable</w:t>
            </w:r>
          </w:p>
        </w:tc>
        <w:tc>
          <w:tcPr>
            <w:tcW w:w="2180" w:type="dxa"/>
            <w:shd w:val="clear" w:color="auto" w:fill="DDEBF7"/>
            <w:tcMar>
              <w:top w:w="60" w:type="dxa"/>
              <w:left w:w="100" w:type="dxa"/>
              <w:bottom w:w="60" w:type="dxa"/>
              <w:right w:w="100" w:type="dxa"/>
            </w:tcMar>
          </w:tcPr>
          <w:p>
            <w:pPr>
              <w:spacing w:after="0" w:line="260" w:lineRule="auto"/>
            </w:pPr>
            <w:r>
              <w:rPr>
                <w:b/>
                <w:sz w:val="18"/>
              </w:rPr>
              <w:t>Prueba de restauración</w:t>
            </w:r>
          </w:p>
        </w:tc>
      </w:tr>
      <w:tr>
        <w:trPr>
          <w:cantSplit/>
        </w:trPr>
        <w:tc>
          <w:tcPr>
            <w:tcW w:w="2500" w:type="dxa"/>
            <w:tcMar>
              <w:top w:w="60" w:type="dxa"/>
              <w:left w:w="100" w:type="dxa"/>
              <w:bottom w:w="60" w:type="dxa"/>
              <w:right w:w="100" w:type="dxa"/>
            </w:tcMar>
            <w:vAlign w:val="center"/>
          </w:tcPr>
          <w:p>
            <w:pPr>
              <w:spacing w:after="0" w:line="260" w:lineRule="auto"/>
            </w:pPr>
            <w:r>
              <w:rPr>
                <w:sz w:val="18"/>
              </w:rPr>
              <w:t>Base de datos de producción (</w:t>
            </w:r>
            <w:r>
              <w:rPr>
                <w:rFonts w:ascii="Consolas" w:hAnsi="Consolas" w:cs="Consolas"/>
                <w:sz w:val="17"/>
              </w:rPr>
              <w:t>pg_dump</w:t>
            </w:r>
            <w:r>
              <w:rPr>
                <w:sz w:val="18"/>
              </w:rPr>
              <w:t xml:space="preserve"> cifrado con AES-256)</w:t>
            </w:r>
          </w:p>
        </w:tc>
        <w:tc>
          <w:tcPr>
            <w:tcW w:w="2100" w:type="dxa"/>
            <w:tcMar>
              <w:top w:w="60" w:type="dxa"/>
              <w:left w:w="100" w:type="dxa"/>
              <w:bottom w:w="60" w:type="dxa"/>
              <w:right w:w="100" w:type="dxa"/>
            </w:tcMar>
            <w:vAlign w:val="center"/>
          </w:tcPr>
          <w:p>
            <w:pPr>
              <w:spacing w:after="0" w:line="260" w:lineRule="auto"/>
            </w:pPr>
            <w:r>
              <w:rPr>
                <w:sz w:val="18"/>
              </w:rPr>
              <w:t xml:space="preserve">Diaria, 03:00 (hora de Bolivia), </w:t>
            </w:r>
            <w:r>
              <w:rPr>
                <w:rFonts w:ascii="Consolas" w:hAnsi="Consolas" w:cs="Consolas"/>
                <w:sz w:val="17"/>
              </w:rPr>
              <w:t>backup.yml</w:t>
            </w:r>
          </w:p>
        </w:tc>
        <w:tc>
          <w:tcPr>
            <w:tcW w:w="1800" w:type="dxa"/>
            <w:tcMar>
              <w:top w:w="60" w:type="dxa"/>
              <w:left w:w="100" w:type="dxa"/>
              <w:bottom w:w="60" w:type="dxa"/>
              <w:right w:w="100" w:type="dxa"/>
            </w:tcMar>
            <w:vAlign w:val="center"/>
          </w:tcPr>
          <w:p>
            <w:pPr>
              <w:spacing w:after="0" w:line="260" w:lineRule="auto"/>
            </w:pPr>
            <w:r>
              <w:rPr>
                <w:sz w:val="18"/>
              </w:rPr>
              <w:t>30 días como artefacto del workflow</w:t>
            </w:r>
          </w:p>
        </w:tc>
        <w:tc>
          <w:tcPr>
            <w:tcW w:w="1500" w:type="dxa"/>
            <w:tcMar>
              <w:top w:w="60" w:type="dxa"/>
              <w:left w:w="100" w:type="dxa"/>
              <w:bottom w:w="60" w:type="dxa"/>
              <w:right w:w="100" w:type="dxa"/>
            </w:tcMar>
            <w:vAlign w:val="center"/>
          </w:tcPr>
          <w:p>
            <w:pPr>
              <w:spacing w:after="0" w:line="260" w:lineRule="auto"/>
            </w:pPr>
            <w:r>
              <w:rPr>
                <w:sz w:val="18"/>
              </w:rPr>
              <w:t>Configura Galvan; verifica Lujan</w:t>
            </w:r>
          </w:p>
        </w:tc>
        <w:tc>
          <w:tcPr>
            <w:tcW w:w="2180" w:type="dxa"/>
            <w:tcMar>
              <w:top w:w="60" w:type="dxa"/>
              <w:left w:w="100" w:type="dxa"/>
              <w:bottom w:w="60" w:type="dxa"/>
              <w:right w:w="100" w:type="dxa"/>
            </w:tcMar>
            <w:vAlign w:val="center"/>
          </w:tcPr>
          <w:p>
            <w:pPr>
              <w:spacing w:after="0" w:line="260" w:lineRule="auto"/>
            </w:pPr>
            <w:r>
              <w:rPr>
                <w:sz w:val="18"/>
              </w:rPr>
              <w:t xml:space="preserve">Job </w:t>
            </w:r>
            <w:r>
              <w:rPr>
                <w:rFonts w:ascii="Consolas" w:hAnsi="Consolas" w:cs="Consolas"/>
                <w:sz w:val="17"/>
              </w:rPr>
              <w:t>restaurar</w:t>
            </w:r>
            <w:r>
              <w:rPr>
                <w:sz w:val="18"/>
              </w:rPr>
              <w:t xml:space="preserve"> cada día 5: restaura en un PostgreSQL vacío y compara conteos de tablas (RTO ≤ 2 h, M14)</w:t>
            </w:r>
          </w:p>
        </w:tc>
      </w:tr>
      <w:tr>
        <w:trPr>
          <w:cantSplit/>
        </w:trPr>
        <w:tc>
          <w:tcPr>
            <w:tcW w:w="2500" w:type="dxa"/>
            <w:tcMar>
              <w:top w:w="60" w:type="dxa"/>
              <w:left w:w="100" w:type="dxa"/>
              <w:bottom w:w="60" w:type="dxa"/>
              <w:right w:w="100" w:type="dxa"/>
            </w:tcMar>
            <w:vAlign w:val="center"/>
          </w:tcPr>
          <w:p>
            <w:pPr>
              <w:spacing w:after="0" w:line="260" w:lineRule="auto"/>
            </w:pPr>
            <w:r>
              <w:rPr>
                <w:sz w:val="18"/>
              </w:rPr>
              <w:t>Base de datos de staging</w:t>
            </w:r>
          </w:p>
        </w:tc>
        <w:tc>
          <w:tcPr>
            <w:tcW w:w="2100" w:type="dxa"/>
            <w:tcMar>
              <w:top w:w="60" w:type="dxa"/>
              <w:left w:w="100" w:type="dxa"/>
              <w:bottom w:w="60" w:type="dxa"/>
              <w:right w:w="100" w:type="dxa"/>
            </w:tcMar>
            <w:vAlign w:val="center"/>
          </w:tcPr>
          <w:p>
            <w:pPr>
              <w:spacing w:after="0" w:line="260" w:lineRule="auto"/>
            </w:pPr>
            <w:r>
              <w:rPr>
                <w:sz w:val="18"/>
              </w:rPr>
              <w:t>Se respalda con backup.yml mientras no exista producción (desde el 30/10/2026); en el release v1.0 el secreto DATABASE_URL pasa a la base de producción</w:t>
            </w:r>
          </w:p>
        </w:tc>
        <w:tc>
          <w:tcPr>
            <w:tcW w:w="1800" w:type="dxa"/>
            <w:tcMar>
              <w:top w:w="60" w:type="dxa"/>
              <w:left w:w="100" w:type="dxa"/>
              <w:bottom w:w="60" w:type="dxa"/>
              <w:right w:w="100" w:type="dxa"/>
            </w:tcMar>
            <w:vAlign w:val="center"/>
          </w:tcPr>
          <w:p>
            <w:pPr>
              <w:spacing w:after="0" w:line="260" w:lineRule="auto"/>
            </w:pPr>
            <w:r>
              <w:rPr>
                <w:sz w:val="18"/>
              </w:rPr>
              <w:t>—</w:t>
            </w:r>
          </w:p>
        </w:tc>
        <w:tc>
          <w:tcPr>
            <w:tcW w:w="1500" w:type="dxa"/>
            <w:tcMar>
              <w:top w:w="60" w:type="dxa"/>
              <w:left w:w="100" w:type="dxa"/>
              <w:bottom w:w="60" w:type="dxa"/>
              <w:right w:w="100" w:type="dxa"/>
            </w:tcMar>
            <w:vAlign w:val="center"/>
          </w:tcPr>
          <w:p>
            <w:pPr>
              <w:spacing w:after="0" w:line="260" w:lineRule="auto"/>
            </w:pPr>
            <w:r>
              <w:rPr>
                <w:sz w:val="18"/>
              </w:rPr>
              <w:t>—</w:t>
            </w:r>
          </w:p>
        </w:tc>
        <w:tc>
          <w:tcPr>
            <w:tcW w:w="2180" w:type="dxa"/>
            <w:tcMar>
              <w:top w:w="60" w:type="dxa"/>
              <w:left w:w="100" w:type="dxa"/>
              <w:bottom w:w="60" w:type="dxa"/>
              <w:right w:w="100" w:type="dxa"/>
            </w:tcMar>
            <w:vAlign w:val="center"/>
          </w:tcPr>
          <w:p>
            <w:pPr>
              <w:spacing w:after="0" w:line="260" w:lineRule="auto"/>
            </w:pPr>
            <w:r>
              <w:rPr>
                <w:sz w:val="18"/>
              </w:rPr>
              <w:t>—</w:t>
            </w:r>
          </w:p>
        </w:tc>
      </w:tr>
      <w:tr>
        <w:trPr>
          <w:cantSplit/>
        </w:trPr>
        <w:tc>
          <w:tcPr>
            <w:tcW w:w="2500" w:type="dxa"/>
            <w:tcMar>
              <w:top w:w="60" w:type="dxa"/>
              <w:left w:w="100" w:type="dxa"/>
              <w:bottom w:w="60" w:type="dxa"/>
              <w:right w:w="100" w:type="dxa"/>
            </w:tcMar>
            <w:vAlign w:val="center"/>
          </w:tcPr>
          <w:p>
            <w:pPr>
              <w:spacing w:after="0" w:line="260" w:lineRule="auto"/>
            </w:pPr>
            <w:r>
              <w:rPr>
                <w:sz w:val="18"/>
              </w:rPr>
              <w:t>Repositorio</w:t>
            </w:r>
          </w:p>
        </w:tc>
        <w:tc>
          <w:tcPr>
            <w:tcW w:w="2100" w:type="dxa"/>
            <w:tcMar>
              <w:top w:w="60" w:type="dxa"/>
              <w:left w:w="100" w:type="dxa"/>
              <w:bottom w:w="60" w:type="dxa"/>
              <w:right w:w="100" w:type="dxa"/>
            </w:tcMar>
            <w:vAlign w:val="center"/>
          </w:tcPr>
          <w:p>
            <w:pPr>
              <w:spacing w:after="0" w:line="260" w:lineRule="auto"/>
            </w:pPr>
            <w:r>
              <w:rPr>
                <w:sz w:val="18"/>
              </w:rPr>
              <w:t xml:space="preserve">GitHub es la copia principal; </w:t>
            </w:r>
            <w:r>
              <w:rPr>
                <w:rFonts w:ascii="Consolas" w:hAnsi="Consolas" w:cs="Consolas"/>
                <w:sz w:val="17"/>
              </w:rPr>
              <w:t>git bundle</w:t>
            </w:r>
            <w:r>
              <w:rPr>
                <w:sz w:val="18"/>
              </w:rPr>
              <w:t xml:space="preserve"> completo cada día 5</w:t>
            </w:r>
          </w:p>
        </w:tc>
        <w:tc>
          <w:tcPr>
            <w:tcW w:w="1800" w:type="dxa"/>
            <w:tcMar>
              <w:top w:w="60" w:type="dxa"/>
              <w:left w:w="100" w:type="dxa"/>
              <w:bottom w:w="60" w:type="dxa"/>
              <w:right w:w="100" w:type="dxa"/>
            </w:tcMar>
            <w:vAlign w:val="center"/>
          </w:tcPr>
          <w:p>
            <w:pPr>
              <w:spacing w:after="0" w:line="260" w:lineRule="auto"/>
            </w:pPr>
            <w:r>
              <w:rPr>
                <w:sz w:val="18"/>
              </w:rPr>
              <w:t>4 bundles en el almacenamiento del Líder</w:t>
            </w:r>
          </w:p>
        </w:tc>
        <w:tc>
          <w:tcPr>
            <w:tcW w:w="1500" w:type="dxa"/>
            <w:tcMar>
              <w:top w:w="60" w:type="dxa"/>
              <w:left w:w="100" w:type="dxa"/>
              <w:bottom w:w="60" w:type="dxa"/>
              <w:right w:w="100" w:type="dxa"/>
            </w:tcMar>
            <w:vAlign w:val="center"/>
          </w:tcPr>
          <w:p>
            <w:pPr>
              <w:spacing w:after="0" w:line="260" w:lineRule="auto"/>
            </w:pPr>
            <w:r>
              <w:rPr>
                <w:sz w:val="18"/>
              </w:rPr>
              <w:t>Lujan</w:t>
            </w:r>
          </w:p>
        </w:tc>
        <w:tc>
          <w:tcPr>
            <w:tcW w:w="2180" w:type="dxa"/>
            <w:tcMar>
              <w:top w:w="60" w:type="dxa"/>
              <w:left w:w="100" w:type="dxa"/>
              <w:bottom w:w="60" w:type="dxa"/>
              <w:right w:w="100" w:type="dxa"/>
            </w:tcMar>
            <w:vAlign w:val="center"/>
          </w:tcPr>
          <w:p>
            <w:pPr>
              <w:spacing w:after="0" w:line="260" w:lineRule="auto"/>
            </w:pPr>
            <w:r>
              <w:rPr>
                <w:sz w:val="18"/>
              </w:rPr>
              <w:t>Clonar desde el bundle en la auditoría final</w:t>
            </w:r>
          </w:p>
        </w:tc>
      </w:tr>
      <w:tr>
        <w:trPr>
          <w:cantSplit/>
        </w:trPr>
        <w:tc>
          <w:tcPr>
            <w:tcW w:w="2500" w:type="dxa"/>
            <w:tcMar>
              <w:top w:w="60" w:type="dxa"/>
              <w:left w:w="100" w:type="dxa"/>
              <w:bottom w:w="60" w:type="dxa"/>
              <w:right w:w="100" w:type="dxa"/>
            </w:tcMar>
            <w:vAlign w:val="center"/>
          </w:tcPr>
          <w:p>
            <w:pPr>
              <w:spacing w:after="0" w:line="260" w:lineRule="auto"/>
            </w:pPr>
            <w:r>
              <w:rPr>
                <w:sz w:val="18"/>
              </w:rPr>
              <w:t>Documentos</w:t>
            </w:r>
          </w:p>
        </w:tc>
        <w:tc>
          <w:tcPr>
            <w:tcW w:w="2100" w:type="dxa"/>
            <w:tcMar>
              <w:top w:w="60" w:type="dxa"/>
              <w:left w:w="100" w:type="dxa"/>
              <w:bottom w:w="60" w:type="dxa"/>
              <w:right w:w="100" w:type="dxa"/>
            </w:tcMar>
            <w:vAlign w:val="center"/>
          </w:tcPr>
          <w:p>
            <w:pPr>
              <w:spacing w:after="0" w:line="260" w:lineRule="auto"/>
            </w:pPr>
            <w:r>
              <w:rPr>
                <w:sz w:val="18"/>
              </w:rPr>
              <w:t xml:space="preserve">Versionados en </w:t>
            </w:r>
            <w:r>
              <w:rPr>
                <w:rFonts w:ascii="Consolas" w:hAnsi="Consolas" w:cs="Consolas"/>
                <w:sz w:val="17"/>
              </w:rPr>
              <w:t>docs/</w:t>
            </w:r>
          </w:p>
        </w:tc>
        <w:tc>
          <w:tcPr>
            <w:tcW w:w="1800" w:type="dxa"/>
            <w:tcMar>
              <w:top w:w="60" w:type="dxa"/>
              <w:left w:w="100" w:type="dxa"/>
              <w:bottom w:w="60" w:type="dxa"/>
              <w:right w:w="100" w:type="dxa"/>
            </w:tcMar>
            <w:vAlign w:val="center"/>
          </w:tcPr>
          <w:p>
            <w:pPr>
              <w:spacing w:after="0" w:line="260" w:lineRule="auto"/>
            </w:pPr>
            <w:r>
              <w:rPr>
                <w:sz w:val="18"/>
              </w:rPr>
              <w:t>Toda la vida del proyecto</w:t>
            </w:r>
          </w:p>
        </w:tc>
        <w:tc>
          <w:tcPr>
            <w:tcW w:w="1500" w:type="dxa"/>
            <w:tcMar>
              <w:top w:w="60" w:type="dxa"/>
              <w:left w:w="100" w:type="dxa"/>
              <w:bottom w:w="60" w:type="dxa"/>
              <w:right w:w="100" w:type="dxa"/>
            </w:tcMar>
            <w:vAlign w:val="center"/>
          </w:tcPr>
          <w:p>
            <w:pPr>
              <w:spacing w:after="0" w:line="260" w:lineRule="auto"/>
            </w:pPr>
            <w:r>
              <w:rPr>
                <w:sz w:val="18"/>
              </w:rPr>
              <w:t>Galvan</w:t>
            </w:r>
          </w:p>
        </w:tc>
        <w:tc>
          <w:tcPr>
            <w:tcW w:w="2180" w:type="dxa"/>
            <w:tcMar>
              <w:top w:w="60" w:type="dxa"/>
              <w:left w:w="100" w:type="dxa"/>
              <w:bottom w:w="60" w:type="dxa"/>
              <w:right w:w="100" w:type="dxa"/>
            </w:tcMar>
            <w:vAlign w:val="center"/>
          </w:tcPr>
          <w:p>
            <w:pPr>
              <w:spacing w:after="0" w:line="260" w:lineRule="auto"/>
            </w:pPr>
            <w:r>
              <w:rPr>
                <w:sz w:val="18"/>
              </w:rPr>
              <w:t>Incluidos en el bundle</w:t>
            </w:r>
          </w:p>
        </w:tc>
      </w:tr>
    </w:tbl>
    <w:p>
      <w:pPr>
        <w:spacing w:after="60" w:line="276" w:lineRule="auto"/>
      </w:pPr>
    </w:p>
    <w:p>
      <w:pPr>
        <w:spacing w:after="120" w:line="276" w:lineRule="auto"/>
      </w:pPr>
      <w:r>
        <w:t>Como el repositorio es público, los artefactos del workflow pueden ser descargados por cualquier usuario de GitHub; por eso el respaldo se cifra antes de subirlo y la frase de cifrado está solo en GitHub Secrets. La base gratuita de Render vence a los 30 días y no tiene respaldos propios; el respaldo diario y la restauración probada cubren ese riesgo (R10).</w:t>
      </w:r>
    </w:p>
    <w:p>
      <w:pPr>
        <w:pStyle w:val="Ttulo2"/>
      </w:pPr>
      <w:r>
        <w:t>10.7 Control de cambios de las historias de usuario</w:t>
      </w:r>
    </w:p>
    <w:p>
      <w:pPr>
        <w:spacing w:after="120" w:line="276" w:lineRule="auto"/>
      </w:pPr>
      <w:r>
        <w:t>Un cambio de historia (nueva, modificada, dividida o descartada) o de un criterio de aceptación sigue este procedimiento:</w:t>
      </w:r>
    </w:p>
    <w:p>
      <w:pPr>
        <w:spacing w:after="80" w:line="276" w:lineRule="auto"/>
        <w:ind w:left="432" w:hanging="360"/>
      </w:pPr>
      <w:r>
        <w:t xml:space="preserve">1. Cualquier integrante o el cliente abre un issue con el formulario </w:t>
      </w:r>
      <w:r>
        <w:rPr>
          <w:b/>
        </w:rPr>
        <w:t>Solicitud de cambio</w:t>
      </w:r>
      <w:r>
        <w:t xml:space="preserve"> (Anexo D): historia afectada, cambio pedido, motivo y quién lo pide.</w:t>
      </w:r>
    </w:p>
    <w:p>
      <w:pPr>
        <w:spacing w:after="80" w:line="276" w:lineRule="auto"/>
        <w:ind w:left="432" w:hanging="360"/>
      </w:pPr>
      <w:r>
        <w:t>2. El Líder evalúa el impacto en 1 día hábil: puntos de historia, sprint afectado, criterios y pruebas a cambiar, y si toca un RNF o un umbral del SQAP.</w:t>
      </w:r>
    </w:p>
    <w:p>
      <w:pPr>
        <w:spacing w:after="80" w:line="276" w:lineRule="auto"/>
        <w:ind w:left="432" w:hanging="360"/>
      </w:pPr>
      <w:r>
        <w:t>3. Decisión: el Líder aprueba o rechaza con el cliente (RACI). Si el cambio está dentro del sprint en curso, solo entra si no compromete el objetivo del sprint; si no, va al siguiente. Si cambia el alcance aprobado, también lo aprueba el docente.</w:t>
      </w:r>
    </w:p>
    <w:p>
      <w:pPr>
        <w:spacing w:after="80" w:line="276" w:lineRule="auto"/>
        <w:ind w:left="432" w:hanging="360"/>
      </w:pPr>
      <w:r>
        <w:t>4. Si se aprueba, en un mismo PR se actualizan la pila de producto (</w:t>
      </w:r>
      <w:r>
        <w:rPr>
          <w:rFonts w:ascii="Consolas" w:hAnsi="Consolas" w:cs="Consolas"/>
          <w:sz w:val="19"/>
        </w:rPr>
        <w:t>backlog_v2_4sprints.xlsx</w:t>
      </w:r>
      <w:r>
        <w:t xml:space="preserve"> y GitHub Projects), los criterios de aceptación y las pruebas; si cambia un RNF o un umbral, también el SQAP según la Sección 16.</w:t>
      </w:r>
    </w:p>
    <w:p>
      <w:pPr>
        <w:spacing w:after="80" w:line="276" w:lineRule="auto"/>
        <w:ind w:left="432" w:hanging="360"/>
      </w:pPr>
      <w:r>
        <w:t>5. Los identificadores nunca se reutilizan: una historia descartada queda con estado Descartada y una historia dividida genera identificadores nuevos (por ejemplo, US-21 y US-22) con referencia a la original.</w:t>
      </w:r>
    </w:p>
    <w:p>
      <w:pPr>
        <w:spacing w:after="80" w:line="276" w:lineRule="auto"/>
        <w:ind w:left="432" w:hanging="360"/>
      </w:pPr>
      <w:r>
        <w:t>6. El cambio se comunica en la revisión del sprint y queda en el acta.</w:t>
      </w:r>
    </w:p>
    <w:p>
      <w:pPr>
        <w:pStyle w:val="Ttulo1"/>
      </w:pPr>
      <w:r>
        <w:t>11. Control de proveedores</w:t>
      </w:r>
    </w:p>
    <w:p>
      <w:pPr>
        <w:spacing w:after="120" w:line="276" w:lineRule="auto"/>
      </w:pPr>
      <w:r>
        <w:t xml:space="preserve">CalisFacu depende de librerías de npm y de servicios en la nube. Ninguna dependencia entra al proyecto sin cumplir los criterios de la Tabla siguiente, y cada una tiene una fila en la hoja Componentes de terceros de </w:t>
      </w:r>
      <w:r>
        <w:rPr>
          <w:rFonts w:ascii="Consolas" w:hAnsi="Consolas" w:cs="Consolas"/>
          <w:sz w:val="19"/>
        </w:rPr>
        <w:t>matrices-sqap.xlsx</w:t>
      </w:r>
      <w:r>
        <w:t>.</w:t>
      </w:r>
    </w:p>
    <w:p>
      <w:pPr>
        <w:keepNext/>
        <w:spacing w:before="120" w:after="80" w:line="276" w:lineRule="auto"/>
      </w:pPr>
      <w:r>
        <w:rPr>
          <w:b/>
          <w:color w:val="1F4E79"/>
          <w:sz w:val="19"/>
        </w:rPr>
        <w:t xml:space="preserve">Tabla 23. </w:t>
      </w:r>
      <w:r>
        <w:rPr>
          <w:color w:val="595959"/>
          <w:sz w:val="19"/>
        </w:rPr>
        <w:t>Criterios de selección de dependencias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7880"/>
      </w:tblGrid>
      <w:tr>
        <w:trPr>
          <w:cantSplit/>
          <w:tblHeader/>
        </w:trPr>
        <w:tc>
          <w:tcPr>
            <w:tcW w:w="2200" w:type="dxa"/>
            <w:shd w:val="clear" w:color="auto" w:fill="DDEBF7"/>
            <w:tcMar>
              <w:top w:w="60" w:type="dxa"/>
              <w:left w:w="100" w:type="dxa"/>
              <w:bottom w:w="60" w:type="dxa"/>
              <w:right w:w="100" w:type="dxa"/>
            </w:tcMar>
          </w:tcPr>
          <w:p>
            <w:pPr>
              <w:spacing w:after="0" w:line="260" w:lineRule="auto"/>
            </w:pPr>
            <w:r>
              <w:rPr>
                <w:b/>
                <w:sz w:val="20"/>
              </w:rPr>
              <w:t>Criterio</w:t>
            </w:r>
          </w:p>
        </w:tc>
        <w:tc>
          <w:tcPr>
            <w:tcW w:w="7880" w:type="dxa"/>
            <w:shd w:val="clear" w:color="auto" w:fill="DDEBF7"/>
            <w:tcMar>
              <w:top w:w="60" w:type="dxa"/>
              <w:left w:w="100" w:type="dxa"/>
              <w:bottom w:w="60" w:type="dxa"/>
              <w:right w:w="100" w:type="dxa"/>
            </w:tcMar>
          </w:tcPr>
          <w:p>
            <w:pPr>
              <w:spacing w:after="0" w:line="260" w:lineRule="auto"/>
            </w:pPr>
            <w:r>
              <w:rPr>
                <w:b/>
                <w:sz w:val="20"/>
              </w:rPr>
              <w:t>Regla para aceptar una dependencia</w:t>
            </w:r>
          </w:p>
        </w:tc>
      </w:tr>
      <w:tr>
        <w:trPr>
          <w:cantSplit/>
        </w:trPr>
        <w:tc>
          <w:tcPr>
            <w:tcW w:w="2200" w:type="dxa"/>
            <w:tcMar>
              <w:top w:w="60" w:type="dxa"/>
              <w:left w:w="100" w:type="dxa"/>
              <w:bottom w:w="60" w:type="dxa"/>
              <w:right w:w="100" w:type="dxa"/>
            </w:tcMar>
            <w:vAlign w:val="center"/>
          </w:tcPr>
          <w:p>
            <w:pPr>
              <w:spacing w:after="0" w:line="260" w:lineRule="auto"/>
            </w:pPr>
            <w:r>
              <w:rPr>
                <w:sz w:val="20"/>
              </w:rPr>
              <w:t>Licencia</w:t>
            </w:r>
          </w:p>
        </w:tc>
        <w:tc>
          <w:tcPr>
            <w:tcW w:w="7880" w:type="dxa"/>
            <w:tcMar>
              <w:top w:w="60" w:type="dxa"/>
              <w:left w:w="100" w:type="dxa"/>
              <w:bottom w:w="60" w:type="dxa"/>
              <w:right w:w="100" w:type="dxa"/>
            </w:tcMar>
            <w:vAlign w:val="center"/>
          </w:tcPr>
          <w:p>
            <w:pPr>
              <w:spacing w:after="0" w:line="260" w:lineRule="auto"/>
            </w:pPr>
            <w:r>
              <w:rPr>
                <w:sz w:val="20"/>
              </w:rPr>
              <w:t xml:space="preserve">Permisiva y compatible: MIT, Apache-2.0, BSD-2-Clause, BSD-3-Clause, ISC o 0BSD. La etapa Dependencias del </w:t>
            </w:r>
            <w:r>
              <w:rPr>
                <w:rFonts w:ascii="Consolas" w:hAnsi="Consolas" w:cs="Consolas"/>
                <w:sz w:val="19"/>
              </w:rPr>
              <w:t>Jenkinsfile</w:t>
            </w:r>
            <w:r>
              <w:rPr>
                <w:sz w:val="20"/>
              </w:rPr>
              <w:t xml:space="preserve"> la verifica con </w:t>
            </w:r>
            <w:r>
              <w:rPr>
                <w:rFonts w:ascii="Consolas" w:hAnsi="Consolas" w:cs="Consolas"/>
                <w:sz w:val="19"/>
              </w:rPr>
              <w:t>license-checker --onlyAllow</w:t>
            </w:r>
            <w:r>
              <w:rPr>
                <w:sz w:val="20"/>
              </w:rPr>
              <w:t>.</w:t>
            </w:r>
          </w:p>
        </w:tc>
      </w:tr>
      <w:tr>
        <w:trPr>
          <w:cantSplit/>
        </w:trPr>
        <w:tc>
          <w:tcPr>
            <w:tcW w:w="2200" w:type="dxa"/>
            <w:tcMar>
              <w:top w:w="60" w:type="dxa"/>
              <w:left w:w="100" w:type="dxa"/>
              <w:bottom w:w="60" w:type="dxa"/>
              <w:right w:w="100" w:type="dxa"/>
            </w:tcMar>
            <w:vAlign w:val="center"/>
          </w:tcPr>
          <w:p>
            <w:pPr>
              <w:spacing w:after="0" w:line="260" w:lineRule="auto"/>
            </w:pPr>
            <w:r>
              <w:rPr>
                <w:sz w:val="20"/>
              </w:rPr>
              <w:t>Mantenimiento activo</w:t>
            </w:r>
          </w:p>
        </w:tc>
        <w:tc>
          <w:tcPr>
            <w:tcW w:w="7880" w:type="dxa"/>
            <w:tcMar>
              <w:top w:w="60" w:type="dxa"/>
              <w:left w:w="100" w:type="dxa"/>
              <w:bottom w:w="60" w:type="dxa"/>
              <w:right w:w="100" w:type="dxa"/>
            </w:tcMar>
            <w:vAlign w:val="center"/>
          </w:tcPr>
          <w:p>
            <w:pPr>
              <w:spacing w:after="0" w:line="260" w:lineRule="auto"/>
            </w:pPr>
            <w:r>
              <w:rPr>
                <w:sz w:val="20"/>
              </w:rPr>
              <w:t>Al menos un release en los últimos 12 meses y repositorio no archivado.</w:t>
            </w:r>
          </w:p>
        </w:tc>
      </w:tr>
      <w:tr>
        <w:trPr>
          <w:cantSplit/>
        </w:trPr>
        <w:tc>
          <w:tcPr>
            <w:tcW w:w="2200" w:type="dxa"/>
            <w:tcMar>
              <w:top w:w="60" w:type="dxa"/>
              <w:left w:w="100" w:type="dxa"/>
              <w:bottom w:w="60" w:type="dxa"/>
              <w:right w:w="100" w:type="dxa"/>
            </w:tcMar>
            <w:vAlign w:val="center"/>
          </w:tcPr>
          <w:p>
            <w:pPr>
              <w:spacing w:after="0" w:line="260" w:lineRule="auto"/>
            </w:pPr>
            <w:r>
              <w:rPr>
                <w:sz w:val="20"/>
              </w:rPr>
              <w:t>Comunidad</w:t>
            </w:r>
          </w:p>
        </w:tc>
        <w:tc>
          <w:tcPr>
            <w:tcW w:w="7880" w:type="dxa"/>
            <w:tcMar>
              <w:top w:w="60" w:type="dxa"/>
              <w:left w:w="100" w:type="dxa"/>
              <w:bottom w:w="60" w:type="dxa"/>
              <w:right w:w="100" w:type="dxa"/>
            </w:tcMar>
            <w:vAlign w:val="center"/>
          </w:tcPr>
          <w:p>
            <w:pPr>
              <w:spacing w:after="0" w:line="260" w:lineRule="auto"/>
            </w:pPr>
            <w:r>
              <w:rPr>
                <w:sz w:val="20"/>
              </w:rPr>
              <w:t>Uso amplio (más de 10 000 descargas semanales en npm) o recomendación en la documentación oficial de NestJS o React.</w:t>
            </w:r>
          </w:p>
        </w:tc>
      </w:tr>
      <w:tr>
        <w:trPr>
          <w:cantSplit/>
        </w:trPr>
        <w:tc>
          <w:tcPr>
            <w:tcW w:w="2200" w:type="dxa"/>
            <w:tcMar>
              <w:top w:w="60" w:type="dxa"/>
              <w:left w:w="100" w:type="dxa"/>
              <w:bottom w:w="60" w:type="dxa"/>
              <w:right w:w="100" w:type="dxa"/>
            </w:tcMar>
            <w:vAlign w:val="center"/>
          </w:tcPr>
          <w:p>
            <w:pPr>
              <w:spacing w:after="0" w:line="260" w:lineRule="auto"/>
            </w:pPr>
            <w:r>
              <w:rPr>
                <w:sz w:val="20"/>
              </w:rPr>
              <w:t>Seguridad</w:t>
            </w:r>
          </w:p>
        </w:tc>
        <w:tc>
          <w:tcPr>
            <w:tcW w:w="7880" w:type="dxa"/>
            <w:tcMar>
              <w:top w:w="60" w:type="dxa"/>
              <w:left w:w="100" w:type="dxa"/>
              <w:bottom w:w="60" w:type="dxa"/>
              <w:right w:w="100" w:type="dxa"/>
            </w:tcMar>
            <w:vAlign w:val="center"/>
          </w:tcPr>
          <w:p>
            <w:pPr>
              <w:spacing w:after="0" w:line="260" w:lineRule="auto"/>
            </w:pPr>
            <w:r>
              <w:rPr>
                <w:sz w:val="20"/>
              </w:rPr>
              <w:t>0 vulnerabilidades altas o críticas conocidas al agregarla (M08).</w:t>
            </w:r>
          </w:p>
        </w:tc>
      </w:tr>
      <w:tr>
        <w:trPr>
          <w:cantSplit/>
        </w:trPr>
        <w:tc>
          <w:tcPr>
            <w:tcW w:w="2200" w:type="dxa"/>
            <w:tcMar>
              <w:top w:w="60" w:type="dxa"/>
              <w:left w:w="100" w:type="dxa"/>
              <w:bottom w:w="60" w:type="dxa"/>
              <w:right w:w="100" w:type="dxa"/>
            </w:tcMar>
            <w:vAlign w:val="center"/>
          </w:tcPr>
          <w:p>
            <w:pPr>
              <w:spacing w:after="0" w:line="260" w:lineRule="auto"/>
            </w:pPr>
            <w:r>
              <w:rPr>
                <w:sz w:val="20"/>
              </w:rPr>
              <w:t>Necesidad</w:t>
            </w:r>
          </w:p>
        </w:tc>
        <w:tc>
          <w:tcPr>
            <w:tcW w:w="7880" w:type="dxa"/>
            <w:tcMar>
              <w:top w:w="60" w:type="dxa"/>
              <w:left w:w="100" w:type="dxa"/>
              <w:bottom w:w="60" w:type="dxa"/>
              <w:right w:w="100" w:type="dxa"/>
            </w:tcMar>
            <w:vAlign w:val="center"/>
          </w:tcPr>
          <w:p>
            <w:pPr>
              <w:spacing w:after="0" w:line="260" w:lineRule="auto"/>
            </w:pPr>
            <w:r>
              <w:rPr>
                <w:sz w:val="20"/>
              </w:rPr>
              <w:t>No existe ya una dependencia del proyecto que cubra la misma función.</w:t>
            </w:r>
          </w:p>
        </w:tc>
      </w:tr>
    </w:tbl>
    <w:p>
      <w:pPr>
        <w:spacing w:after="60" w:line="276" w:lineRule="auto"/>
      </w:pPr>
    </w:p>
    <w:p>
      <w:pPr>
        <w:spacing w:after="120" w:line="276" w:lineRule="auto"/>
      </w:pPr>
      <w:r>
        <w:rPr>
          <w:b/>
        </w:rPr>
        <w:t>Procedimiento para agregar una dependencia:</w:t>
      </w:r>
      <w:r>
        <w:t xml:space="preserve"> PR con la justificación en la descripción y la fila nueva en la hoja Componentes de terceros; lo aprueba el Arquitecto (Lujan) o, si lo propone Lujan, el Responsable SQA. </w:t>
      </w:r>
      <w:r>
        <w:rPr>
          <w:b/>
        </w:rPr>
        <w:t>Monitoreo:</w:t>
      </w:r>
      <w:r>
        <w:t xml:space="preserve"> Dependabot revisa npm y GitHub Actions una vez por semana y abre PR de actualización; </w:t>
      </w:r>
      <w:r>
        <w:rPr>
          <w:rFonts w:ascii="Consolas" w:hAnsi="Consolas" w:cs="Consolas"/>
          <w:sz w:val="19"/>
        </w:rPr>
        <w:t>npm audit --audit-level=high</w:t>
      </w:r>
      <w:r>
        <w:t xml:space="preserve"> corre en cada PR; el primer lunes de cada mes Lujan revisa la hoja y actualiza la fecha de última revisión. Una alerta alta o crítica se trata como defecto S2.</w:t>
      </w:r>
    </w:p>
    <w:p>
      <w:pPr>
        <w:keepNext/>
        <w:spacing w:before="120" w:after="80" w:line="276" w:lineRule="auto"/>
      </w:pPr>
      <w:r>
        <w:rPr>
          <w:b/>
          <w:color w:val="1F4E79"/>
          <w:sz w:val="19"/>
        </w:rPr>
        <w:t xml:space="preserve">Tabla 24. </w:t>
      </w:r>
      <w:r>
        <w:rPr>
          <w:color w:val="595959"/>
          <w:sz w:val="19"/>
        </w:rPr>
        <w:t>Dependencias directas principales (las versiones exactas están en package-lock.json)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700"/>
        <w:gridCol w:w="1700"/>
        <w:gridCol w:w="4680"/>
      </w:tblGrid>
      <w:tr>
        <w:trPr>
          <w:cantSplit/>
          <w:tblHeader/>
        </w:trPr>
        <w:tc>
          <w:tcPr>
            <w:tcW w:w="3700" w:type="dxa"/>
            <w:shd w:val="clear" w:color="auto" w:fill="DDEBF7"/>
            <w:tcMar>
              <w:top w:w="60" w:type="dxa"/>
              <w:left w:w="100" w:type="dxa"/>
              <w:bottom w:w="60" w:type="dxa"/>
              <w:right w:w="100" w:type="dxa"/>
            </w:tcMar>
          </w:tcPr>
          <w:p>
            <w:pPr>
              <w:spacing w:after="0" w:line="260" w:lineRule="auto"/>
            </w:pPr>
            <w:r>
              <w:rPr>
                <w:b/>
                <w:sz w:val="19"/>
              </w:rPr>
              <w:t>Componente</w:t>
            </w:r>
          </w:p>
        </w:tc>
        <w:tc>
          <w:tcPr>
            <w:tcW w:w="1700" w:type="dxa"/>
            <w:shd w:val="clear" w:color="auto" w:fill="DDEBF7"/>
            <w:tcMar>
              <w:top w:w="60" w:type="dxa"/>
              <w:left w:w="100" w:type="dxa"/>
              <w:bottom w:w="60" w:type="dxa"/>
              <w:right w:w="100" w:type="dxa"/>
            </w:tcMar>
          </w:tcPr>
          <w:p>
            <w:pPr>
              <w:spacing w:after="0" w:line="260" w:lineRule="auto"/>
            </w:pPr>
            <w:r>
              <w:rPr>
                <w:b/>
                <w:sz w:val="19"/>
              </w:rPr>
              <w:t>Licencia</w:t>
            </w:r>
          </w:p>
        </w:tc>
        <w:tc>
          <w:tcPr>
            <w:tcW w:w="4680" w:type="dxa"/>
            <w:shd w:val="clear" w:color="auto" w:fill="DDEBF7"/>
            <w:tcMar>
              <w:top w:w="60" w:type="dxa"/>
              <w:left w:w="100" w:type="dxa"/>
              <w:bottom w:w="60" w:type="dxa"/>
              <w:right w:w="100" w:type="dxa"/>
            </w:tcMar>
          </w:tcPr>
          <w:p>
            <w:pPr>
              <w:spacing w:after="0" w:line="260" w:lineRule="auto"/>
            </w:pPr>
            <w:r>
              <w:rPr>
                <w:b/>
                <w:sz w:val="19"/>
              </w:rPr>
              <w:t>Uso en CalisFacu</w:t>
            </w:r>
          </w:p>
        </w:tc>
      </w:tr>
      <w:tr>
        <w:trPr>
          <w:cantSplit/>
        </w:trPr>
        <w:tc>
          <w:tcPr>
            <w:tcW w:w="3700" w:type="dxa"/>
            <w:tcMar>
              <w:top w:w="60" w:type="dxa"/>
              <w:left w:w="100" w:type="dxa"/>
              <w:bottom w:w="60" w:type="dxa"/>
              <w:right w:w="100" w:type="dxa"/>
            </w:tcMar>
            <w:vAlign w:val="center"/>
          </w:tcPr>
          <w:p>
            <w:pPr>
              <w:spacing w:after="0" w:line="260" w:lineRule="auto"/>
            </w:pPr>
            <w:r>
              <w:rPr>
                <w:sz w:val="19"/>
              </w:rPr>
              <w:t>NestJS (</w:t>
            </w:r>
            <w:r>
              <w:rPr>
                <w:rFonts w:ascii="Consolas" w:hAnsi="Consolas" w:cs="Consolas"/>
                <w:sz w:val="18"/>
              </w:rPr>
              <w:t>@nestjs/*</w:t>
            </w:r>
            <w:r>
              <w:rPr>
                <w:sz w:val="19"/>
              </w:rPr>
              <w:t>)</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Framework de la API</w:t>
            </w:r>
          </w:p>
        </w:tc>
      </w:tr>
      <w:tr>
        <w:trPr>
          <w:cantSplit/>
        </w:trPr>
        <w:tc>
          <w:tcPr>
            <w:tcW w:w="3700" w:type="dxa"/>
            <w:tcMar>
              <w:top w:w="60" w:type="dxa"/>
              <w:left w:w="100" w:type="dxa"/>
              <w:bottom w:w="60" w:type="dxa"/>
              <w:right w:w="100" w:type="dxa"/>
            </w:tcMar>
            <w:vAlign w:val="center"/>
          </w:tcPr>
          <w:p>
            <w:pPr>
              <w:spacing w:after="0" w:line="260" w:lineRule="auto"/>
            </w:pPr>
            <w:r>
              <w:rPr>
                <w:sz w:val="19"/>
              </w:rPr>
              <w:t>TypeORM (</w:t>
            </w:r>
            <w:r>
              <w:rPr>
                <w:rFonts w:ascii="Consolas" w:hAnsi="Consolas" w:cs="Consolas"/>
                <w:sz w:val="18"/>
              </w:rPr>
              <w:t>typeorm</w:t>
            </w:r>
            <w:r>
              <w:rPr>
                <w:sz w:val="19"/>
              </w:rPr>
              <w:t xml:space="preserve">, </w:t>
            </w:r>
            <w:r>
              <w:rPr>
                <w:rFonts w:ascii="Consolas" w:hAnsi="Consolas" w:cs="Consolas"/>
                <w:sz w:val="18"/>
              </w:rPr>
              <w:t>@nestjs/typeorm</w:t>
            </w:r>
            <w:r>
              <w:rPr>
                <w:sz w:val="19"/>
              </w:rPr>
              <w:t xml:space="preserve">) + </w:t>
            </w:r>
            <w:r>
              <w:rPr>
                <w:rFonts w:ascii="Consolas" w:hAnsi="Consolas" w:cs="Consolas"/>
                <w:sz w:val="18"/>
              </w:rPr>
              <w:t>pg</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ORM, entidades y migraciones de PostgreSQL</w:t>
            </w:r>
          </w:p>
        </w:tc>
      </w:tr>
      <w:tr>
        <w:trPr>
          <w:cantSplit/>
        </w:trPr>
        <w:tc>
          <w:tcPr>
            <w:tcW w:w="3700" w:type="dxa"/>
            <w:tcMar>
              <w:top w:w="60" w:type="dxa"/>
              <w:left w:w="100" w:type="dxa"/>
              <w:bottom w:w="60" w:type="dxa"/>
              <w:right w:w="100" w:type="dxa"/>
            </w:tcMar>
            <w:vAlign w:val="center"/>
          </w:tcPr>
          <w:p>
            <w:pPr>
              <w:spacing w:after="0" w:line="260" w:lineRule="auto"/>
            </w:pPr>
            <w:r>
              <w:rPr>
                <w:sz w:val="19"/>
              </w:rPr>
              <w:t xml:space="preserve">Passport + </w:t>
            </w:r>
            <w:r>
              <w:rPr>
                <w:rFonts w:ascii="Consolas" w:hAnsi="Consolas" w:cs="Consolas"/>
                <w:sz w:val="18"/>
              </w:rPr>
              <w:t>@nestjs/jwt</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Autenticación (US-17)</w:t>
            </w:r>
          </w:p>
        </w:tc>
      </w:tr>
      <w:tr>
        <w:trPr>
          <w:cantSplit/>
        </w:trPr>
        <w:tc>
          <w:tcPr>
            <w:tcW w:w="3700" w:type="dxa"/>
            <w:tcMar>
              <w:top w:w="60" w:type="dxa"/>
              <w:left w:w="100" w:type="dxa"/>
              <w:bottom w:w="60" w:type="dxa"/>
              <w:right w:w="100" w:type="dxa"/>
            </w:tcMar>
            <w:vAlign w:val="center"/>
          </w:tcPr>
          <w:p>
            <w:pPr>
              <w:spacing w:after="0" w:line="260" w:lineRule="auto"/>
            </w:pPr>
            <w:r>
              <w:rPr>
                <w:sz w:val="19"/>
              </w:rPr>
              <w:t>argon2</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Hash de contraseñas</w:t>
            </w:r>
          </w:p>
        </w:tc>
      </w:tr>
      <w:tr>
        <w:trPr>
          <w:cantSplit/>
        </w:trPr>
        <w:tc>
          <w:tcPr>
            <w:tcW w:w="3700" w:type="dxa"/>
            <w:tcMar>
              <w:top w:w="60" w:type="dxa"/>
              <w:left w:w="100" w:type="dxa"/>
              <w:bottom w:w="60" w:type="dxa"/>
              <w:right w:w="100" w:type="dxa"/>
            </w:tcMar>
            <w:vAlign w:val="center"/>
          </w:tcPr>
          <w:p>
            <w:pPr>
              <w:spacing w:after="0" w:line="260" w:lineRule="auto"/>
            </w:pPr>
            <w:r>
              <w:rPr>
                <w:sz w:val="19"/>
              </w:rPr>
              <w:t>class-validator / class-transformer</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Validación de DTO</w:t>
            </w:r>
          </w:p>
        </w:tc>
      </w:tr>
      <w:tr>
        <w:trPr>
          <w:cantSplit/>
        </w:trPr>
        <w:tc>
          <w:tcPr>
            <w:tcW w:w="3700" w:type="dxa"/>
            <w:tcMar>
              <w:top w:w="60" w:type="dxa"/>
              <w:left w:w="100" w:type="dxa"/>
              <w:bottom w:w="60" w:type="dxa"/>
              <w:right w:w="100" w:type="dxa"/>
            </w:tcMar>
            <w:vAlign w:val="center"/>
          </w:tcPr>
          <w:p>
            <w:pPr>
              <w:spacing w:after="0" w:line="260" w:lineRule="auto"/>
            </w:pPr>
            <w:r>
              <w:rPr>
                <w:sz w:val="19"/>
              </w:rPr>
              <w:t>decimal.js</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Aritmética exacta del cálculo de notas (RNF-01)</w:t>
            </w:r>
          </w:p>
        </w:tc>
      </w:tr>
      <w:tr>
        <w:trPr>
          <w:cantSplit/>
        </w:trPr>
        <w:tc>
          <w:tcPr>
            <w:tcW w:w="3700" w:type="dxa"/>
            <w:tcMar>
              <w:top w:w="60" w:type="dxa"/>
              <w:left w:w="100" w:type="dxa"/>
              <w:bottom w:w="60" w:type="dxa"/>
              <w:right w:w="100" w:type="dxa"/>
            </w:tcMar>
            <w:vAlign w:val="center"/>
          </w:tcPr>
          <w:p>
            <w:pPr>
              <w:spacing w:after="0" w:line="260" w:lineRule="auto"/>
            </w:pPr>
            <w:r>
              <w:rPr>
                <w:sz w:val="19"/>
              </w:rPr>
              <w:t>pdfkit</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Boletín en PDF (US-07); se usa directo, sin pdfmake</w:t>
            </w:r>
          </w:p>
        </w:tc>
      </w:tr>
      <w:tr>
        <w:trPr>
          <w:cantSplit/>
        </w:trPr>
        <w:tc>
          <w:tcPr>
            <w:tcW w:w="3700" w:type="dxa"/>
            <w:tcMar>
              <w:top w:w="60" w:type="dxa"/>
              <w:left w:w="100" w:type="dxa"/>
              <w:bottom w:w="60" w:type="dxa"/>
              <w:right w:w="100" w:type="dxa"/>
            </w:tcMar>
            <w:vAlign w:val="center"/>
          </w:tcPr>
          <w:p>
            <w:pPr>
              <w:spacing w:after="0" w:line="260" w:lineRule="auto"/>
            </w:pPr>
            <w:r>
              <w:rPr>
                <w:sz w:val="19"/>
              </w:rPr>
              <w:t>BullMQ + ioredis</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Cola de boletines (RNF-03, R05)</w:t>
            </w:r>
          </w:p>
        </w:tc>
      </w:tr>
      <w:tr>
        <w:trPr>
          <w:cantSplit/>
        </w:trPr>
        <w:tc>
          <w:tcPr>
            <w:tcW w:w="3700" w:type="dxa"/>
            <w:tcMar>
              <w:top w:w="60" w:type="dxa"/>
              <w:left w:w="100" w:type="dxa"/>
              <w:bottom w:w="60" w:type="dxa"/>
              <w:right w:w="100" w:type="dxa"/>
            </w:tcMar>
            <w:vAlign w:val="center"/>
          </w:tcPr>
          <w:p>
            <w:pPr>
              <w:spacing w:after="0" w:line="260" w:lineRule="auto"/>
            </w:pPr>
            <w:r>
              <w:rPr>
                <w:sz w:val="19"/>
              </w:rPr>
              <w:t>exceljs</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Importación (US-05) y exportación a Excel (US-09)</w:t>
            </w:r>
          </w:p>
        </w:tc>
      </w:tr>
      <w:tr>
        <w:trPr>
          <w:cantSplit/>
        </w:trPr>
        <w:tc>
          <w:tcPr>
            <w:tcW w:w="3700" w:type="dxa"/>
            <w:tcMar>
              <w:top w:w="60" w:type="dxa"/>
              <w:left w:w="100" w:type="dxa"/>
              <w:bottom w:w="60" w:type="dxa"/>
              <w:right w:w="100" w:type="dxa"/>
            </w:tcMar>
            <w:vAlign w:val="center"/>
          </w:tcPr>
          <w:p>
            <w:pPr>
              <w:spacing w:after="0" w:line="260" w:lineRule="auto"/>
            </w:pPr>
            <w:r>
              <w:rPr>
                <w:sz w:val="19"/>
              </w:rPr>
              <w:t>React, Vite</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Aplicación web</w:t>
            </w:r>
          </w:p>
        </w:tc>
      </w:tr>
      <w:tr>
        <w:trPr>
          <w:cantSplit/>
        </w:trPr>
        <w:tc>
          <w:tcPr>
            <w:tcW w:w="3700" w:type="dxa"/>
            <w:tcMar>
              <w:top w:w="60" w:type="dxa"/>
              <w:left w:w="100" w:type="dxa"/>
              <w:bottom w:w="60" w:type="dxa"/>
              <w:right w:w="100" w:type="dxa"/>
            </w:tcMar>
            <w:vAlign w:val="center"/>
          </w:tcPr>
          <w:p>
            <w:pPr>
              <w:spacing w:after="0" w:line="260" w:lineRule="auto"/>
            </w:pPr>
            <w:r>
              <w:rPr>
                <w:sz w:val="19"/>
              </w:rPr>
              <w:t>Jest, Supertest, Vitest, Cypress</w:t>
            </w:r>
          </w:p>
        </w:tc>
        <w:tc>
          <w:tcPr>
            <w:tcW w:w="1700" w:type="dxa"/>
            <w:tcMar>
              <w:top w:w="60" w:type="dxa"/>
              <w:left w:w="100" w:type="dxa"/>
              <w:bottom w:w="60" w:type="dxa"/>
              <w:right w:w="100" w:type="dxa"/>
            </w:tcMar>
            <w:vAlign w:val="center"/>
          </w:tcPr>
          <w:p>
            <w:pPr>
              <w:spacing w:after="0" w:line="260" w:lineRule="auto"/>
            </w:pPr>
            <w:r>
              <w:rPr>
                <w:sz w:val="19"/>
              </w:rPr>
              <w:t>MIT</w:t>
            </w:r>
          </w:p>
        </w:tc>
        <w:tc>
          <w:tcPr>
            <w:tcW w:w="4680" w:type="dxa"/>
            <w:tcMar>
              <w:top w:w="60" w:type="dxa"/>
              <w:left w:w="100" w:type="dxa"/>
              <w:bottom w:w="60" w:type="dxa"/>
              <w:right w:w="100" w:type="dxa"/>
            </w:tcMar>
            <w:vAlign w:val="center"/>
          </w:tcPr>
          <w:p>
            <w:pPr>
              <w:spacing w:after="0" w:line="260" w:lineRule="auto"/>
            </w:pPr>
            <w:r>
              <w:rPr>
                <w:sz w:val="19"/>
              </w:rPr>
              <w:t>Pruebas</w:t>
            </w:r>
          </w:p>
        </w:tc>
      </w:tr>
      <w:tr>
        <w:trPr>
          <w:cantSplit/>
        </w:trPr>
        <w:tc>
          <w:tcPr>
            <w:tcW w:w="3700" w:type="dxa"/>
            <w:tcMar>
              <w:top w:w="60" w:type="dxa"/>
              <w:left w:w="100" w:type="dxa"/>
              <w:bottom w:w="60" w:type="dxa"/>
              <w:right w:w="100" w:type="dxa"/>
            </w:tcMar>
            <w:vAlign w:val="center"/>
          </w:tcPr>
          <w:p>
            <w:pPr>
              <w:spacing w:after="0" w:line="260" w:lineRule="auto"/>
            </w:pPr>
            <w:r>
              <w:rPr>
                <w:sz w:val="19"/>
              </w:rPr>
              <w:t>Apache JMeter</w:t>
            </w:r>
          </w:p>
        </w:tc>
        <w:tc>
          <w:tcPr>
            <w:tcW w:w="1700" w:type="dxa"/>
            <w:tcMar>
              <w:top w:w="60" w:type="dxa"/>
              <w:left w:w="100" w:type="dxa"/>
              <w:bottom w:w="60" w:type="dxa"/>
              <w:right w:w="100" w:type="dxa"/>
            </w:tcMar>
            <w:vAlign w:val="center"/>
          </w:tcPr>
          <w:p>
            <w:pPr>
              <w:spacing w:after="0" w:line="260" w:lineRule="auto"/>
            </w:pPr>
            <w:r>
              <w:rPr>
                <w:sz w:val="19"/>
              </w:rPr>
              <w:t>Apache-2.0</w:t>
            </w:r>
          </w:p>
        </w:tc>
        <w:tc>
          <w:tcPr>
            <w:tcW w:w="4680" w:type="dxa"/>
            <w:tcMar>
              <w:top w:w="60" w:type="dxa"/>
              <w:left w:w="100" w:type="dxa"/>
              <w:bottom w:w="60" w:type="dxa"/>
              <w:right w:w="100" w:type="dxa"/>
            </w:tcMar>
            <w:vAlign w:val="center"/>
          </w:tcPr>
          <w:p>
            <w:pPr>
              <w:spacing w:after="0" w:line="260" w:lineRule="auto"/>
            </w:pPr>
            <w:r>
              <w:rPr>
                <w:sz w:val="19"/>
              </w:rPr>
              <w:t>Pruebas de carga</w:t>
            </w:r>
          </w:p>
        </w:tc>
      </w:tr>
    </w:tbl>
    <w:p>
      <w:pPr>
        <w:spacing w:after="60" w:line="276" w:lineRule="auto"/>
      </w:pPr>
    </w:p>
    <w:p>
      <w:pPr>
        <w:keepNext/>
        <w:spacing w:before="120" w:after="80" w:line="276" w:lineRule="auto"/>
      </w:pPr>
      <w:r>
        <w:rPr>
          <w:b/>
          <w:color w:val="1F4E79"/>
          <w:sz w:val="19"/>
        </w:rPr>
        <w:t xml:space="preserve">Tabla 25. </w:t>
      </w:r>
      <w:r>
        <w:rPr>
          <w:color w:val="595959"/>
          <w:sz w:val="19"/>
        </w:rPr>
        <w:t>Proveedores de servicios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1900"/>
        <w:gridCol w:w="2700"/>
        <w:gridCol w:w="3080"/>
      </w:tblGrid>
      <w:tr>
        <w:trPr>
          <w:cantSplit/>
          <w:tblHeader/>
        </w:trPr>
        <w:tc>
          <w:tcPr>
            <w:tcW w:w="2400" w:type="dxa"/>
            <w:shd w:val="clear" w:color="auto" w:fill="DDEBF7"/>
            <w:tcMar>
              <w:top w:w="60" w:type="dxa"/>
              <w:left w:w="100" w:type="dxa"/>
              <w:bottom w:w="60" w:type="dxa"/>
              <w:right w:w="100" w:type="dxa"/>
            </w:tcMar>
          </w:tcPr>
          <w:p>
            <w:pPr>
              <w:spacing w:after="0" w:line="260" w:lineRule="auto"/>
            </w:pPr>
            <w:r>
              <w:rPr>
                <w:b/>
                <w:sz w:val="18"/>
              </w:rPr>
              <w:t>Servicio</w:t>
            </w:r>
          </w:p>
        </w:tc>
        <w:tc>
          <w:tcPr>
            <w:tcW w:w="1900" w:type="dxa"/>
            <w:shd w:val="clear" w:color="auto" w:fill="DDEBF7"/>
            <w:tcMar>
              <w:top w:w="60" w:type="dxa"/>
              <w:left w:w="100" w:type="dxa"/>
              <w:bottom w:w="60" w:type="dxa"/>
              <w:right w:w="100" w:type="dxa"/>
            </w:tcMar>
          </w:tcPr>
          <w:p>
            <w:pPr>
              <w:spacing w:after="0" w:line="260" w:lineRule="auto"/>
            </w:pPr>
            <w:r>
              <w:rPr>
                <w:b/>
                <w:sz w:val="18"/>
              </w:rPr>
              <w:t>Uso</w:t>
            </w:r>
          </w:p>
        </w:tc>
        <w:tc>
          <w:tcPr>
            <w:tcW w:w="2700" w:type="dxa"/>
            <w:shd w:val="clear" w:color="auto" w:fill="DDEBF7"/>
            <w:tcMar>
              <w:top w:w="60" w:type="dxa"/>
              <w:left w:w="100" w:type="dxa"/>
              <w:bottom w:w="60" w:type="dxa"/>
              <w:right w:w="100" w:type="dxa"/>
            </w:tcMar>
          </w:tcPr>
          <w:p>
            <w:pPr>
              <w:spacing w:after="0" w:line="260" w:lineRule="auto"/>
            </w:pPr>
            <w:r>
              <w:rPr>
                <w:b/>
                <w:sz w:val="18"/>
              </w:rPr>
              <w:t>Riesgo</w:t>
            </w:r>
          </w:p>
        </w:tc>
        <w:tc>
          <w:tcPr>
            <w:tcW w:w="3080" w:type="dxa"/>
            <w:shd w:val="clear" w:color="auto" w:fill="DDEBF7"/>
            <w:tcMar>
              <w:top w:w="60" w:type="dxa"/>
              <w:left w:w="100" w:type="dxa"/>
              <w:bottom w:w="60" w:type="dxa"/>
              <w:right w:w="100" w:type="dxa"/>
            </w:tcMar>
          </w:tcPr>
          <w:p>
            <w:pPr>
              <w:spacing w:after="0" w:line="260" w:lineRule="auto"/>
            </w:pPr>
            <w:r>
              <w:rPr>
                <w:b/>
                <w:sz w:val="18"/>
              </w:rPr>
              <w:t>Plan alternativo</w:t>
            </w:r>
          </w:p>
        </w:tc>
      </w:tr>
      <w:tr>
        <w:trPr>
          <w:cantSplit/>
        </w:trPr>
        <w:tc>
          <w:tcPr>
            <w:tcW w:w="2400" w:type="dxa"/>
            <w:tcMar>
              <w:top w:w="60" w:type="dxa"/>
              <w:left w:w="100" w:type="dxa"/>
              <w:bottom w:w="60" w:type="dxa"/>
              <w:right w:w="100" w:type="dxa"/>
            </w:tcMar>
            <w:vAlign w:val="center"/>
          </w:tcPr>
          <w:p>
            <w:pPr>
              <w:spacing w:after="0" w:line="260" w:lineRule="auto"/>
            </w:pPr>
            <w:r>
              <w:rPr>
                <w:sz w:val="18"/>
              </w:rPr>
              <w:t>GitHub (repositorio, Issues, Actions solo para respaldos)</w:t>
            </w:r>
          </w:p>
        </w:tc>
        <w:tc>
          <w:tcPr>
            <w:tcW w:w="1900" w:type="dxa"/>
            <w:tcMar>
              <w:top w:w="60" w:type="dxa"/>
              <w:left w:w="100" w:type="dxa"/>
              <w:bottom w:w="60" w:type="dxa"/>
              <w:right w:w="100" w:type="dxa"/>
            </w:tcMar>
            <w:vAlign w:val="center"/>
          </w:tcPr>
          <w:p>
            <w:pPr>
              <w:spacing w:after="0" w:line="260" w:lineRule="auto"/>
            </w:pPr>
            <w:r>
              <w:rPr>
                <w:sz w:val="18"/>
              </w:rPr>
              <w:t>Código, defectos, respaldos</w:t>
            </w:r>
          </w:p>
        </w:tc>
        <w:tc>
          <w:tcPr>
            <w:tcW w:w="2700" w:type="dxa"/>
            <w:tcMar>
              <w:top w:w="60" w:type="dxa"/>
              <w:left w:w="100" w:type="dxa"/>
              <w:bottom w:w="60" w:type="dxa"/>
              <w:right w:w="100" w:type="dxa"/>
            </w:tcMar>
            <w:vAlign w:val="center"/>
          </w:tcPr>
          <w:p>
            <w:pPr>
              <w:spacing w:after="0" w:line="260" w:lineRule="auto"/>
            </w:pPr>
            <w:r>
              <w:rPr>
                <w:sz w:val="18"/>
              </w:rPr>
              <w:t>Caída temporal del servicio</w:t>
            </w:r>
          </w:p>
        </w:tc>
        <w:tc>
          <w:tcPr>
            <w:tcW w:w="3080" w:type="dxa"/>
            <w:tcMar>
              <w:top w:w="60" w:type="dxa"/>
              <w:left w:w="100" w:type="dxa"/>
              <w:bottom w:w="60" w:type="dxa"/>
              <w:right w:w="100" w:type="dxa"/>
            </w:tcMar>
            <w:vAlign w:val="center"/>
          </w:tcPr>
          <w:p>
            <w:pPr>
              <w:spacing w:after="0" w:line="260" w:lineRule="auto"/>
            </w:pPr>
            <w:r>
              <w:rPr>
                <w:sz w:val="18"/>
              </w:rPr>
              <w:t>Bundle del repositorio (Sección 10.6); los respaldos se ejecutan a mano con el mismo script.</w:t>
            </w:r>
          </w:p>
        </w:tc>
      </w:tr>
      <w:tr>
        <w:trPr>
          <w:cantSplit/>
        </w:trPr>
        <w:tc>
          <w:tcPr>
            <w:tcW w:w="2400" w:type="dxa"/>
            <w:tcMar>
              <w:top w:w="60" w:type="dxa"/>
              <w:left w:w="100" w:type="dxa"/>
              <w:bottom w:w="60" w:type="dxa"/>
              <w:right w:w="100" w:type="dxa"/>
            </w:tcMar>
            <w:vAlign w:val="center"/>
          </w:tcPr>
          <w:p>
            <w:pPr>
              <w:spacing w:after="0" w:line="260" w:lineRule="auto"/>
            </w:pPr>
            <w:r>
              <w:rPr>
                <w:sz w:val="18"/>
              </w:rPr>
              <w:t>Jenkins (autoalojado en Docker)</w:t>
            </w:r>
          </w:p>
        </w:tc>
        <w:tc>
          <w:tcPr>
            <w:tcW w:w="1900" w:type="dxa"/>
            <w:tcMar>
              <w:top w:w="60" w:type="dxa"/>
              <w:left w:w="100" w:type="dxa"/>
              <w:bottom w:w="60" w:type="dxa"/>
              <w:right w:w="100" w:type="dxa"/>
            </w:tcMar>
            <w:vAlign w:val="center"/>
          </w:tcPr>
          <w:p>
            <w:pPr>
              <w:spacing w:after="0" w:line="260" w:lineRule="auto"/>
            </w:pPr>
            <w:r>
              <w:rPr>
                <w:sz w:val="18"/>
              </w:rPr>
              <w:t>CI/CD</w:t>
            </w:r>
          </w:p>
        </w:tc>
        <w:tc>
          <w:tcPr>
            <w:tcW w:w="2700" w:type="dxa"/>
            <w:tcMar>
              <w:top w:w="60" w:type="dxa"/>
              <w:left w:w="100" w:type="dxa"/>
              <w:bottom w:w="60" w:type="dxa"/>
              <w:right w:w="100" w:type="dxa"/>
            </w:tcMar>
            <w:vAlign w:val="center"/>
          </w:tcPr>
          <w:p>
            <w:pPr>
              <w:spacing w:after="0" w:line="260" w:lineRule="auto"/>
            </w:pPr>
            <w:r>
              <w:rPr>
                <w:sz w:val="18"/>
              </w:rPr>
              <w:t>La computadora que lo aloja está apagada o falla</w:t>
            </w:r>
          </w:p>
        </w:tc>
        <w:tc>
          <w:tcPr>
            <w:tcW w:w="3080" w:type="dxa"/>
            <w:tcMar>
              <w:top w:w="60" w:type="dxa"/>
              <w:left w:w="100" w:type="dxa"/>
              <w:bottom w:w="60" w:type="dxa"/>
              <w:right w:w="100" w:type="dxa"/>
            </w:tcMar>
            <w:vAlign w:val="center"/>
          </w:tcPr>
          <w:p>
            <w:pPr>
              <w:spacing w:after="0" w:line="260" w:lineRule="auto"/>
            </w:pPr>
            <w:r>
              <w:rPr>
                <w:sz w:val="18"/>
              </w:rPr>
              <w:t xml:space="preserve">Reinstalación desde </w:t>
            </w:r>
            <w:r>
              <w:rPr>
                <w:rFonts w:ascii="Consolas" w:hAnsi="Consolas" w:cs="Consolas"/>
                <w:sz w:val="17"/>
              </w:rPr>
              <w:t>jenkins/</w:t>
            </w:r>
            <w:r>
              <w:rPr>
                <w:sz w:val="18"/>
              </w:rPr>
              <w:t xml:space="preserve"> probada en la semana 1; restauración de </w:t>
            </w:r>
            <w:r>
              <w:rPr>
                <w:rFonts w:ascii="Consolas" w:hAnsi="Consolas" w:cs="Consolas"/>
                <w:sz w:val="17"/>
              </w:rPr>
              <w:t>jenkins_home</w:t>
            </w:r>
            <w:r>
              <w:rPr>
                <w:sz w:val="18"/>
              </w:rPr>
              <w:t xml:space="preserve"> (R04).</w:t>
            </w:r>
          </w:p>
        </w:tc>
      </w:tr>
      <w:tr>
        <w:trPr>
          <w:cantSplit/>
        </w:trPr>
        <w:tc>
          <w:tcPr>
            <w:tcW w:w="2400" w:type="dxa"/>
            <w:tcMar>
              <w:top w:w="60" w:type="dxa"/>
              <w:left w:w="100" w:type="dxa"/>
              <w:bottom w:w="60" w:type="dxa"/>
              <w:right w:w="100" w:type="dxa"/>
            </w:tcMar>
            <w:vAlign w:val="center"/>
          </w:tcPr>
          <w:p>
            <w:pPr>
              <w:spacing w:after="0" w:line="260" w:lineRule="auto"/>
            </w:pPr>
            <w:r>
              <w:rPr>
                <w:sz w:val="18"/>
              </w:rPr>
              <w:t>Render (API, PostgreSQL, Redis)</w:t>
            </w:r>
          </w:p>
        </w:tc>
        <w:tc>
          <w:tcPr>
            <w:tcW w:w="1900" w:type="dxa"/>
            <w:tcMar>
              <w:top w:w="60" w:type="dxa"/>
              <w:left w:w="100" w:type="dxa"/>
              <w:bottom w:w="60" w:type="dxa"/>
              <w:right w:w="100" w:type="dxa"/>
            </w:tcMar>
            <w:vAlign w:val="center"/>
          </w:tcPr>
          <w:p>
            <w:pPr>
              <w:spacing w:after="0" w:line="260" w:lineRule="auto"/>
            </w:pPr>
            <w:r>
              <w:rPr>
                <w:sz w:val="18"/>
              </w:rPr>
              <w:t>Staging y producción</w:t>
            </w:r>
          </w:p>
        </w:tc>
        <w:tc>
          <w:tcPr>
            <w:tcW w:w="2700" w:type="dxa"/>
            <w:tcMar>
              <w:top w:w="60" w:type="dxa"/>
              <w:left w:w="100" w:type="dxa"/>
              <w:bottom w:w="60" w:type="dxa"/>
              <w:right w:w="100" w:type="dxa"/>
            </w:tcMar>
            <w:vAlign w:val="center"/>
          </w:tcPr>
          <w:p>
            <w:pPr>
              <w:spacing w:after="0" w:line="260" w:lineRule="auto"/>
            </w:pPr>
            <w:r>
              <w:rPr>
                <w:sz w:val="18"/>
              </w:rPr>
              <w:t>Plan gratuito: base que vence a los 30 días, sin respaldos y con suspensión por inactividad</w:t>
            </w:r>
          </w:p>
        </w:tc>
        <w:tc>
          <w:tcPr>
            <w:tcW w:w="3080" w:type="dxa"/>
            <w:tcMar>
              <w:top w:w="60" w:type="dxa"/>
              <w:left w:w="100" w:type="dxa"/>
              <w:bottom w:w="60" w:type="dxa"/>
              <w:right w:w="100" w:type="dxa"/>
            </w:tcMar>
            <w:vAlign w:val="center"/>
          </w:tcPr>
          <w:p>
            <w:pPr>
              <w:spacing w:after="0" w:line="260" w:lineRule="auto"/>
            </w:pPr>
            <w:r>
              <w:rPr>
                <w:sz w:val="18"/>
              </w:rPr>
              <w:t>Respaldo diario cifrado; migración a otro PostgreSQL administrado restaurando el último respaldo (R10).</w:t>
            </w:r>
          </w:p>
        </w:tc>
      </w:tr>
      <w:tr>
        <w:trPr>
          <w:cantSplit/>
        </w:trPr>
        <w:tc>
          <w:tcPr>
            <w:tcW w:w="2400" w:type="dxa"/>
            <w:tcMar>
              <w:top w:w="60" w:type="dxa"/>
              <w:left w:w="100" w:type="dxa"/>
              <w:bottom w:w="60" w:type="dxa"/>
              <w:right w:w="100" w:type="dxa"/>
            </w:tcMar>
            <w:vAlign w:val="center"/>
          </w:tcPr>
          <w:p>
            <w:pPr>
              <w:spacing w:after="0" w:line="260" w:lineRule="auto"/>
            </w:pPr>
            <w:r>
              <w:rPr>
                <w:sz w:val="18"/>
              </w:rPr>
              <w:t>Render (sitio estático)</w:t>
            </w:r>
          </w:p>
        </w:tc>
        <w:tc>
          <w:tcPr>
            <w:tcW w:w="1900" w:type="dxa"/>
            <w:tcMar>
              <w:top w:w="60" w:type="dxa"/>
              <w:left w:w="100" w:type="dxa"/>
              <w:bottom w:w="60" w:type="dxa"/>
              <w:right w:w="100" w:type="dxa"/>
            </w:tcMar>
            <w:vAlign w:val="center"/>
          </w:tcPr>
          <w:p>
            <w:pPr>
              <w:spacing w:after="0" w:line="260" w:lineRule="auto"/>
            </w:pPr>
            <w:r>
              <w:rPr>
                <w:sz w:val="18"/>
              </w:rPr>
              <w:t>Aplicación web</w:t>
            </w:r>
          </w:p>
        </w:tc>
        <w:tc>
          <w:tcPr>
            <w:tcW w:w="2700" w:type="dxa"/>
            <w:tcMar>
              <w:top w:w="60" w:type="dxa"/>
              <w:left w:w="100" w:type="dxa"/>
              <w:bottom w:w="60" w:type="dxa"/>
              <w:right w:w="100" w:type="dxa"/>
            </w:tcMar>
            <w:vAlign w:val="center"/>
          </w:tcPr>
          <w:p>
            <w:pPr>
              <w:spacing w:after="0" w:line="260" w:lineRule="auto"/>
            </w:pPr>
            <w:r>
              <w:rPr>
                <w:sz w:val="18"/>
              </w:rPr>
              <w:t>Límites del plan gratuito</w:t>
            </w:r>
          </w:p>
        </w:tc>
        <w:tc>
          <w:tcPr>
            <w:tcW w:w="3080" w:type="dxa"/>
            <w:tcMar>
              <w:top w:w="60" w:type="dxa"/>
              <w:left w:w="100" w:type="dxa"/>
              <w:bottom w:w="60" w:type="dxa"/>
              <w:right w:w="100" w:type="dxa"/>
            </w:tcMar>
            <w:vAlign w:val="center"/>
          </w:tcPr>
          <w:p>
            <w:pPr>
              <w:spacing w:after="0" w:line="260" w:lineRule="auto"/>
            </w:pPr>
            <w:r>
              <w:rPr>
                <w:sz w:val="18"/>
              </w:rPr>
              <w:t>Build estático desplegable en cualquier hosting estático.</w:t>
            </w:r>
          </w:p>
        </w:tc>
      </w:tr>
      <w:tr>
        <w:trPr>
          <w:cantSplit/>
        </w:trPr>
        <w:tc>
          <w:tcPr>
            <w:tcW w:w="2400" w:type="dxa"/>
            <w:tcMar>
              <w:top w:w="60" w:type="dxa"/>
              <w:left w:w="100" w:type="dxa"/>
              <w:bottom w:w="60" w:type="dxa"/>
              <w:right w:w="100" w:type="dxa"/>
            </w:tcMar>
            <w:vAlign w:val="center"/>
          </w:tcPr>
          <w:p>
            <w:pPr>
              <w:spacing w:after="0" w:line="260" w:lineRule="auto"/>
            </w:pPr>
            <w:r>
              <w:rPr>
                <w:sz w:val="18"/>
              </w:rPr>
              <w:t>SonarQube Cloud</w:t>
            </w:r>
          </w:p>
        </w:tc>
        <w:tc>
          <w:tcPr>
            <w:tcW w:w="1900" w:type="dxa"/>
            <w:tcMar>
              <w:top w:w="60" w:type="dxa"/>
              <w:left w:w="100" w:type="dxa"/>
              <w:bottom w:w="60" w:type="dxa"/>
              <w:right w:w="100" w:type="dxa"/>
            </w:tcMar>
            <w:vAlign w:val="center"/>
          </w:tcPr>
          <w:p>
            <w:pPr>
              <w:spacing w:after="0" w:line="260" w:lineRule="auto"/>
            </w:pPr>
            <w:r>
              <w:rPr>
                <w:sz w:val="18"/>
              </w:rPr>
              <w:t>Quality Gate</w:t>
            </w:r>
          </w:p>
        </w:tc>
        <w:tc>
          <w:tcPr>
            <w:tcW w:w="2700" w:type="dxa"/>
            <w:tcMar>
              <w:top w:w="60" w:type="dxa"/>
              <w:left w:w="100" w:type="dxa"/>
              <w:bottom w:w="60" w:type="dxa"/>
              <w:right w:w="100" w:type="dxa"/>
            </w:tcMar>
            <w:vAlign w:val="center"/>
          </w:tcPr>
          <w:p>
            <w:pPr>
              <w:spacing w:after="0" w:line="260" w:lineRule="auto"/>
            </w:pPr>
            <w:r>
              <w:rPr>
                <w:sz w:val="18"/>
              </w:rPr>
              <w:t>Servicio no disponible</w:t>
            </w:r>
          </w:p>
        </w:tc>
        <w:tc>
          <w:tcPr>
            <w:tcW w:w="3080" w:type="dxa"/>
            <w:tcMar>
              <w:top w:w="60" w:type="dxa"/>
              <w:left w:w="100" w:type="dxa"/>
              <w:bottom w:w="60" w:type="dxa"/>
              <w:right w:w="100" w:type="dxa"/>
            </w:tcMar>
            <w:vAlign w:val="center"/>
          </w:tcPr>
          <w:p>
            <w:pPr>
              <w:spacing w:after="0" w:line="260" w:lineRule="auto"/>
            </w:pPr>
            <w:r>
              <w:rPr>
                <w:sz w:val="18"/>
              </w:rPr>
              <w:t>El PR espera; ESLint y la cobertura de Jest siguen bloqueando.</w:t>
            </w:r>
          </w:p>
        </w:tc>
      </w:tr>
      <w:tr>
        <w:trPr>
          <w:cantSplit/>
        </w:trPr>
        <w:tc>
          <w:tcPr>
            <w:tcW w:w="2400" w:type="dxa"/>
            <w:tcMar>
              <w:top w:w="60" w:type="dxa"/>
              <w:left w:w="100" w:type="dxa"/>
              <w:bottom w:w="60" w:type="dxa"/>
              <w:right w:w="100" w:type="dxa"/>
            </w:tcMar>
            <w:vAlign w:val="center"/>
          </w:tcPr>
          <w:p>
            <w:pPr>
              <w:spacing w:after="0" w:line="260" w:lineRule="auto"/>
            </w:pPr>
            <w:r>
              <w:rPr>
                <w:sz w:val="18"/>
              </w:rPr>
              <w:t>Proveedor de correo con API HTTP</w:t>
            </w:r>
          </w:p>
        </w:tc>
        <w:tc>
          <w:tcPr>
            <w:tcW w:w="1900" w:type="dxa"/>
            <w:tcMar>
              <w:top w:w="60" w:type="dxa"/>
              <w:left w:w="100" w:type="dxa"/>
              <w:bottom w:w="60" w:type="dxa"/>
              <w:right w:w="100" w:type="dxa"/>
            </w:tcMar>
            <w:vAlign w:val="center"/>
          </w:tcPr>
          <w:p>
            <w:pPr>
              <w:spacing w:after="0" w:line="260" w:lineRule="auto"/>
            </w:pPr>
            <w:r>
              <w:rPr>
                <w:sz w:val="18"/>
              </w:rPr>
              <w:t>Avisos de US-08 y US-12</w:t>
            </w:r>
          </w:p>
        </w:tc>
        <w:tc>
          <w:tcPr>
            <w:tcW w:w="2700" w:type="dxa"/>
            <w:tcMar>
              <w:top w:w="60" w:type="dxa"/>
              <w:left w:w="100" w:type="dxa"/>
              <w:bottom w:w="60" w:type="dxa"/>
              <w:right w:w="100" w:type="dxa"/>
            </w:tcMar>
            <w:vAlign w:val="center"/>
          </w:tcPr>
          <w:p>
            <w:pPr>
              <w:spacing w:after="0" w:line="260" w:lineRule="auto"/>
            </w:pPr>
            <w:r>
              <w:rPr>
                <w:sz w:val="18"/>
              </w:rPr>
              <w:t>Render gratuito bloquea los puertos SMTP 25, 465 y 587</w:t>
            </w:r>
          </w:p>
        </w:tc>
        <w:tc>
          <w:tcPr>
            <w:tcW w:w="3080" w:type="dxa"/>
            <w:tcMar>
              <w:top w:w="60" w:type="dxa"/>
              <w:left w:w="100" w:type="dxa"/>
              <w:bottom w:w="60" w:type="dxa"/>
              <w:right w:w="100" w:type="dxa"/>
            </w:tcMar>
            <w:vAlign w:val="center"/>
          </w:tcPr>
          <w:p>
            <w:pPr>
              <w:spacing w:after="0" w:line="260" w:lineRule="auto"/>
            </w:pPr>
            <w:r>
              <w:rPr>
                <w:sz w:val="18"/>
              </w:rPr>
              <w:t>Se usa la API HTTP del proveedor; el aviso dentro del sistema funciona aunque falle el correo.</w:t>
            </w:r>
          </w:p>
        </w:tc>
      </w:tr>
    </w:tbl>
    <w:p>
      <w:pPr>
        <w:spacing w:after="60" w:line="276" w:lineRule="auto"/>
      </w:pPr>
    </w:p>
    <w:p>
      <w:pPr>
        <w:pStyle w:val="Ttulo1"/>
      </w:pPr>
      <w:r>
        <w:t>12. Registros: recolección, mantenimiento y retención</w:t>
      </w:r>
    </w:p>
    <w:p>
      <w:pPr>
        <w:keepNext/>
        <w:spacing w:before="120" w:after="80" w:line="276" w:lineRule="auto"/>
      </w:pPr>
      <w:r>
        <w:rPr>
          <w:b/>
          <w:color w:val="1F4E79"/>
          <w:sz w:val="19"/>
        </w:rPr>
        <w:t xml:space="preserve">Tabla 26. </w:t>
      </w:r>
      <w:r>
        <w:rPr>
          <w:color w:val="595959"/>
          <w:sz w:val="19"/>
        </w:rPr>
        <w:t>Catálogo de evidencias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500"/>
        <w:gridCol w:w="2600"/>
        <w:gridCol w:w="1700"/>
        <w:gridCol w:w="1900"/>
        <w:gridCol w:w="1380"/>
      </w:tblGrid>
      <w:tr>
        <w:trPr>
          <w:cantSplit/>
          <w:tblHeader/>
        </w:trPr>
        <w:tc>
          <w:tcPr>
            <w:tcW w:w="2500" w:type="dxa"/>
            <w:shd w:val="clear" w:color="auto" w:fill="DDEBF7"/>
            <w:tcMar>
              <w:top w:w="60" w:type="dxa"/>
              <w:left w:w="100" w:type="dxa"/>
              <w:bottom w:w="60" w:type="dxa"/>
              <w:right w:w="100" w:type="dxa"/>
            </w:tcMar>
          </w:tcPr>
          <w:p>
            <w:pPr>
              <w:spacing w:after="0" w:line="260" w:lineRule="auto"/>
            </w:pPr>
            <w:r>
              <w:rPr>
                <w:b/>
                <w:sz w:val="18"/>
              </w:rPr>
              <w:t>Evidencia</w:t>
            </w:r>
          </w:p>
        </w:tc>
        <w:tc>
          <w:tcPr>
            <w:tcW w:w="2600" w:type="dxa"/>
            <w:shd w:val="clear" w:color="auto" w:fill="DDEBF7"/>
            <w:tcMar>
              <w:top w:w="60" w:type="dxa"/>
              <w:left w:w="100" w:type="dxa"/>
              <w:bottom w:w="60" w:type="dxa"/>
              <w:right w:w="100" w:type="dxa"/>
            </w:tcMar>
          </w:tcPr>
          <w:p>
            <w:pPr>
              <w:spacing w:after="0" w:line="260" w:lineRule="auto"/>
            </w:pPr>
            <w:r>
              <w:rPr>
                <w:b/>
                <w:sz w:val="18"/>
              </w:rPr>
              <w:t>Ubicación</w:t>
            </w:r>
          </w:p>
        </w:tc>
        <w:tc>
          <w:tcPr>
            <w:tcW w:w="1700" w:type="dxa"/>
            <w:shd w:val="clear" w:color="auto" w:fill="DDEBF7"/>
            <w:tcMar>
              <w:top w:w="60" w:type="dxa"/>
              <w:left w:w="100" w:type="dxa"/>
              <w:bottom w:w="60" w:type="dxa"/>
              <w:right w:w="100" w:type="dxa"/>
            </w:tcMar>
          </w:tcPr>
          <w:p>
            <w:pPr>
              <w:spacing w:after="0" w:line="260" w:lineRule="auto"/>
            </w:pPr>
            <w:r>
              <w:rPr>
                <w:b/>
                <w:sz w:val="18"/>
              </w:rPr>
              <w:t>Formato</w:t>
            </w:r>
          </w:p>
        </w:tc>
        <w:tc>
          <w:tcPr>
            <w:tcW w:w="1900" w:type="dxa"/>
            <w:shd w:val="clear" w:color="auto" w:fill="DDEBF7"/>
            <w:tcMar>
              <w:top w:w="60" w:type="dxa"/>
              <w:left w:w="100" w:type="dxa"/>
              <w:bottom w:w="60" w:type="dxa"/>
              <w:right w:w="100" w:type="dxa"/>
            </w:tcMar>
          </w:tcPr>
          <w:p>
            <w:pPr>
              <w:spacing w:after="0" w:line="260" w:lineRule="auto"/>
            </w:pPr>
            <w:r>
              <w:rPr>
                <w:b/>
                <w:sz w:val="18"/>
              </w:rPr>
              <w:t>Retención</w:t>
            </w:r>
          </w:p>
        </w:tc>
        <w:tc>
          <w:tcPr>
            <w:tcW w:w="1380" w:type="dxa"/>
            <w:shd w:val="clear" w:color="auto" w:fill="DDEBF7"/>
            <w:tcMar>
              <w:top w:w="60" w:type="dxa"/>
              <w:left w:w="100" w:type="dxa"/>
              <w:bottom w:w="60" w:type="dxa"/>
              <w:right w:w="100" w:type="dxa"/>
            </w:tcMar>
          </w:tcPr>
          <w:p>
            <w:pPr>
              <w:spacing w:after="0" w:line="260" w:lineRule="auto"/>
            </w:pPr>
            <w:r>
              <w:rPr>
                <w:b/>
                <w:sz w:val="18"/>
              </w:rPr>
              <w:t>Responsable</w:t>
            </w:r>
          </w:p>
        </w:tc>
      </w:tr>
      <w:tr>
        <w:trPr>
          <w:cantSplit/>
        </w:trPr>
        <w:tc>
          <w:tcPr>
            <w:tcW w:w="2500" w:type="dxa"/>
            <w:tcMar>
              <w:top w:w="60" w:type="dxa"/>
              <w:left w:w="100" w:type="dxa"/>
              <w:bottom w:w="60" w:type="dxa"/>
              <w:right w:w="100" w:type="dxa"/>
            </w:tcMar>
            <w:vAlign w:val="center"/>
          </w:tcPr>
          <w:p>
            <w:pPr>
              <w:spacing w:after="0" w:line="260" w:lineRule="auto"/>
            </w:pPr>
            <w:r>
              <w:rPr>
                <w:sz w:val="18"/>
              </w:rPr>
              <w:t>Actas de revisión, inspección, auditoría, aceptación y postmortem</w:t>
            </w:r>
          </w:p>
        </w:tc>
        <w:tc>
          <w:tcPr>
            <w:tcW w:w="2600" w:type="dxa"/>
            <w:tcMar>
              <w:top w:w="60" w:type="dxa"/>
              <w:left w:w="100" w:type="dxa"/>
              <w:bottom w:w="60" w:type="dxa"/>
              <w:right w:w="100" w:type="dxa"/>
            </w:tcMar>
            <w:vAlign w:val="center"/>
          </w:tcPr>
          <w:p>
            <w:pPr>
              <w:spacing w:after="0" w:line="260" w:lineRule="auto"/>
            </w:pPr>
            <w:r>
              <w:rPr>
                <w:rFonts w:ascii="Consolas" w:hAnsi="Consolas" w:cs="Consolas"/>
                <w:sz w:val="17"/>
              </w:rPr>
              <w:t>docs/actas/</w:t>
            </w:r>
            <w:r>
              <w:rPr>
                <w:sz w:val="18"/>
              </w:rPr>
              <w:t xml:space="preserve"> en el repositorio</w:t>
            </w:r>
          </w:p>
        </w:tc>
        <w:tc>
          <w:tcPr>
            <w:tcW w:w="1700" w:type="dxa"/>
            <w:tcMar>
              <w:top w:w="60" w:type="dxa"/>
              <w:left w:w="100" w:type="dxa"/>
              <w:bottom w:w="60" w:type="dxa"/>
              <w:right w:w="100" w:type="dxa"/>
            </w:tcMar>
            <w:vAlign w:val="center"/>
          </w:tcPr>
          <w:p>
            <w:pPr>
              <w:spacing w:after="0" w:line="260" w:lineRule="auto"/>
            </w:pPr>
            <w:r>
              <w:rPr>
                <w:sz w:val="18"/>
              </w:rPr>
              <w:t>PDF firmado o Markdown con aprobación en el PR</w:t>
            </w:r>
          </w:p>
        </w:tc>
        <w:tc>
          <w:tcPr>
            <w:tcW w:w="1900" w:type="dxa"/>
            <w:tcMar>
              <w:top w:w="60" w:type="dxa"/>
              <w:left w:w="100" w:type="dxa"/>
              <w:bottom w:w="60" w:type="dxa"/>
              <w:right w:w="100" w:type="dxa"/>
            </w:tcMar>
            <w:vAlign w:val="center"/>
          </w:tcPr>
          <w:p>
            <w:pPr>
              <w:spacing w:after="0" w:line="260" w:lineRule="auto"/>
            </w:pPr>
            <w:r>
              <w:rPr>
                <w:sz w:val="18"/>
              </w:rPr>
              <w:t>Toda la vida del proyecto</w:t>
            </w:r>
          </w:p>
        </w:tc>
        <w:tc>
          <w:tcPr>
            <w:tcW w:w="1380" w:type="dxa"/>
            <w:tcMar>
              <w:top w:w="60" w:type="dxa"/>
              <w:left w:w="100" w:type="dxa"/>
              <w:bottom w:w="60" w:type="dxa"/>
              <w:right w:w="100" w:type="dxa"/>
            </w:tcMar>
            <w:vAlign w:val="center"/>
          </w:tcPr>
          <w:p>
            <w:pPr>
              <w:spacing w:after="0" w:line="260" w:lineRule="auto"/>
            </w:pPr>
            <w:r>
              <w:rPr>
                <w:sz w:val="18"/>
              </w:rPr>
              <w:t>Galvan (SQA)</w:t>
            </w:r>
          </w:p>
        </w:tc>
      </w:tr>
      <w:tr>
        <w:trPr>
          <w:cantSplit/>
        </w:trPr>
        <w:tc>
          <w:tcPr>
            <w:tcW w:w="2500" w:type="dxa"/>
            <w:tcMar>
              <w:top w:w="60" w:type="dxa"/>
              <w:left w:w="100" w:type="dxa"/>
              <w:bottom w:w="60" w:type="dxa"/>
              <w:right w:w="100" w:type="dxa"/>
            </w:tcMar>
            <w:vAlign w:val="center"/>
          </w:tcPr>
          <w:p>
            <w:pPr>
              <w:spacing w:after="0" w:line="260" w:lineRule="auto"/>
            </w:pPr>
            <w:r>
              <w:rPr>
                <w:sz w:val="18"/>
              </w:rPr>
              <w:t>Informes de Jest y cobertura (M01, M05, M06, M09, M15)</w:t>
            </w:r>
          </w:p>
        </w:tc>
        <w:tc>
          <w:tcPr>
            <w:tcW w:w="2600" w:type="dxa"/>
            <w:tcMar>
              <w:top w:w="60" w:type="dxa"/>
              <w:left w:w="100" w:type="dxa"/>
              <w:bottom w:w="60" w:type="dxa"/>
              <w:right w:w="100" w:type="dxa"/>
            </w:tcMar>
            <w:vAlign w:val="center"/>
          </w:tcPr>
          <w:p>
            <w:pPr>
              <w:spacing w:after="0" w:line="260" w:lineRule="auto"/>
            </w:pPr>
            <w:r>
              <w:rPr>
                <w:sz w:val="18"/>
              </w:rPr>
              <w:t xml:space="preserve">Test Result y artefactos de cada build de Jenkins; los de cada RC, también en </w:t>
            </w:r>
            <w:r>
              <w:rPr>
                <w:rFonts w:ascii="Consolas" w:hAnsi="Consolas" w:cs="Consolas"/>
                <w:sz w:val="17"/>
              </w:rPr>
              <w:t>docs/evidencias/&lt;versión&gt;/</w:t>
            </w:r>
          </w:p>
        </w:tc>
        <w:tc>
          <w:tcPr>
            <w:tcW w:w="1700" w:type="dxa"/>
            <w:tcMar>
              <w:top w:w="60" w:type="dxa"/>
              <w:left w:w="100" w:type="dxa"/>
              <w:bottom w:w="60" w:type="dxa"/>
              <w:right w:w="100" w:type="dxa"/>
            </w:tcMar>
            <w:vAlign w:val="center"/>
          </w:tcPr>
          <w:p>
            <w:pPr>
              <w:spacing w:after="0" w:line="260" w:lineRule="auto"/>
            </w:pPr>
            <w:r>
              <w:rPr>
                <w:sz w:val="18"/>
              </w:rPr>
              <w:t>JUnit XML, lcov, HTML</w:t>
            </w:r>
          </w:p>
        </w:tc>
        <w:tc>
          <w:tcPr>
            <w:tcW w:w="1900" w:type="dxa"/>
            <w:tcMar>
              <w:top w:w="60" w:type="dxa"/>
              <w:left w:w="100" w:type="dxa"/>
              <w:bottom w:w="60" w:type="dxa"/>
              <w:right w:w="100" w:type="dxa"/>
            </w:tcMar>
            <w:vAlign w:val="center"/>
          </w:tcPr>
          <w:p>
            <w:pPr>
              <w:spacing w:after="0" w:line="260" w:lineRule="auto"/>
            </w:pPr>
            <w:r>
              <w:rPr>
                <w:sz w:val="18"/>
              </w:rPr>
              <w:t>Últimos 30 builds por rama (</w:t>
            </w:r>
            <w:r>
              <w:rPr>
                <w:rFonts w:ascii="Consolas" w:hAnsi="Consolas" w:cs="Consolas"/>
                <w:sz w:val="17"/>
              </w:rPr>
              <w:t>buildDiscarder</w:t>
            </w:r>
            <w:r>
              <w:rPr>
                <w:sz w:val="18"/>
              </w:rPr>
              <w:t>); los de RC, toda la gestión</w:t>
            </w:r>
          </w:p>
        </w:tc>
        <w:tc>
          <w:tcPr>
            <w:tcW w:w="1380" w:type="dxa"/>
            <w:tcMar>
              <w:top w:w="60" w:type="dxa"/>
              <w:left w:w="100" w:type="dxa"/>
              <w:bottom w:w="60" w:type="dxa"/>
              <w:right w:w="100" w:type="dxa"/>
            </w:tcMar>
            <w:vAlign w:val="center"/>
          </w:tcPr>
          <w:p>
            <w:pPr>
              <w:spacing w:after="0" w:line="260" w:lineRule="auto"/>
            </w:pPr>
            <w:r>
              <w:rPr>
                <w:sz w:val="18"/>
              </w:rPr>
              <w:t>Galvan (SQA)</w:t>
            </w:r>
          </w:p>
        </w:tc>
      </w:tr>
      <w:tr>
        <w:trPr>
          <w:cantSplit/>
        </w:trPr>
        <w:tc>
          <w:tcPr>
            <w:tcW w:w="2500" w:type="dxa"/>
            <w:tcMar>
              <w:top w:w="60" w:type="dxa"/>
              <w:left w:w="100" w:type="dxa"/>
              <w:bottom w:w="60" w:type="dxa"/>
              <w:right w:w="100" w:type="dxa"/>
            </w:tcMar>
            <w:vAlign w:val="center"/>
          </w:tcPr>
          <w:p>
            <w:pPr>
              <w:spacing w:after="0" w:line="260" w:lineRule="auto"/>
            </w:pPr>
            <w:r>
              <w:rPr>
                <w:sz w:val="18"/>
              </w:rPr>
              <w:t>Evidencias de Cypress (M02)</w:t>
            </w:r>
          </w:p>
        </w:tc>
        <w:tc>
          <w:tcPr>
            <w:tcW w:w="2600" w:type="dxa"/>
            <w:tcMar>
              <w:top w:w="60" w:type="dxa"/>
              <w:left w:w="100" w:type="dxa"/>
              <w:bottom w:w="60" w:type="dxa"/>
              <w:right w:w="100" w:type="dxa"/>
            </w:tcMar>
            <w:vAlign w:val="center"/>
          </w:tcPr>
          <w:p>
            <w:pPr>
              <w:spacing w:after="0" w:line="260" w:lineRule="auto"/>
            </w:pPr>
            <w:r>
              <w:rPr>
                <w:sz w:val="18"/>
              </w:rPr>
              <w:t xml:space="preserve">Artefactos del build de main; RC en </w:t>
            </w:r>
            <w:r>
              <w:rPr>
                <w:rFonts w:ascii="Consolas" w:hAnsi="Consolas" w:cs="Consolas"/>
                <w:sz w:val="17"/>
              </w:rPr>
              <w:t>docs/evidencias/</w:t>
            </w:r>
          </w:p>
        </w:tc>
        <w:tc>
          <w:tcPr>
            <w:tcW w:w="1700" w:type="dxa"/>
            <w:tcMar>
              <w:top w:w="60" w:type="dxa"/>
              <w:left w:w="100" w:type="dxa"/>
              <w:bottom w:w="60" w:type="dxa"/>
              <w:right w:w="100" w:type="dxa"/>
            </w:tcMar>
            <w:vAlign w:val="center"/>
          </w:tcPr>
          <w:p>
            <w:pPr>
              <w:spacing w:after="0" w:line="260" w:lineRule="auto"/>
            </w:pPr>
            <w:r>
              <w:rPr>
                <w:sz w:val="18"/>
              </w:rPr>
              <w:t>Videos, capturas, JUnit XML</w:t>
            </w:r>
          </w:p>
        </w:tc>
        <w:tc>
          <w:tcPr>
            <w:tcW w:w="1900" w:type="dxa"/>
            <w:tcMar>
              <w:top w:w="60" w:type="dxa"/>
              <w:left w:w="100" w:type="dxa"/>
              <w:bottom w:w="60" w:type="dxa"/>
              <w:right w:w="100" w:type="dxa"/>
            </w:tcMar>
            <w:vAlign w:val="center"/>
          </w:tcPr>
          <w:p>
            <w:pPr>
              <w:spacing w:after="0" w:line="260" w:lineRule="auto"/>
            </w:pPr>
            <w:r>
              <w:rPr>
                <w:sz w:val="18"/>
              </w:rPr>
              <w:t>Últimos 30 builds; RC, toda la gestión</w:t>
            </w:r>
          </w:p>
        </w:tc>
        <w:tc>
          <w:tcPr>
            <w:tcW w:w="1380" w:type="dxa"/>
            <w:tcMar>
              <w:top w:w="60" w:type="dxa"/>
              <w:left w:w="100" w:type="dxa"/>
              <w:bottom w:w="60" w:type="dxa"/>
              <w:right w:w="100" w:type="dxa"/>
            </w:tcMar>
            <w:vAlign w:val="center"/>
          </w:tcPr>
          <w:p>
            <w:pPr>
              <w:spacing w:after="0" w:line="260" w:lineRule="auto"/>
            </w:pPr>
            <w:r>
              <w:rPr>
                <w:sz w:val="18"/>
              </w:rPr>
              <w:t>Galvan (Tester)</w:t>
            </w:r>
          </w:p>
        </w:tc>
      </w:tr>
      <w:tr>
        <w:trPr>
          <w:cantSplit/>
        </w:trPr>
        <w:tc>
          <w:tcPr>
            <w:tcW w:w="2500" w:type="dxa"/>
            <w:tcMar>
              <w:top w:w="60" w:type="dxa"/>
              <w:left w:w="100" w:type="dxa"/>
              <w:bottom w:w="60" w:type="dxa"/>
              <w:right w:w="100" w:type="dxa"/>
            </w:tcMar>
            <w:vAlign w:val="center"/>
          </w:tcPr>
          <w:p>
            <w:pPr>
              <w:spacing w:after="0" w:line="260" w:lineRule="auto"/>
            </w:pPr>
            <w:r>
              <w:rPr>
                <w:sz w:val="18"/>
              </w:rPr>
              <w:t>Dashboards de JMeter (M03, M04)</w:t>
            </w:r>
          </w:p>
        </w:tc>
        <w:tc>
          <w:tcPr>
            <w:tcW w:w="2600" w:type="dxa"/>
            <w:tcMar>
              <w:top w:w="60" w:type="dxa"/>
              <w:left w:w="100" w:type="dxa"/>
              <w:bottom w:w="60" w:type="dxa"/>
              <w:right w:w="100" w:type="dxa"/>
            </w:tcMar>
            <w:vAlign w:val="center"/>
          </w:tcPr>
          <w:p>
            <w:pPr>
              <w:spacing w:after="0" w:line="260" w:lineRule="auto"/>
            </w:pPr>
            <w:r>
              <w:rPr>
                <w:sz w:val="18"/>
              </w:rPr>
              <w:t xml:space="preserve">Artefactos </w:t>
            </w:r>
            <w:r>
              <w:rPr>
                <w:rFonts w:ascii="Consolas" w:hAnsi="Consolas" w:cs="Consolas"/>
                <w:sz w:val="17"/>
              </w:rPr>
              <w:t>perf/**</w:t>
            </w:r>
            <w:r>
              <w:rPr>
                <w:sz w:val="18"/>
              </w:rPr>
              <w:t xml:space="preserve"> del build de cada etiqueta RC</w:t>
            </w:r>
          </w:p>
        </w:tc>
        <w:tc>
          <w:tcPr>
            <w:tcW w:w="1700" w:type="dxa"/>
            <w:tcMar>
              <w:top w:w="60" w:type="dxa"/>
              <w:left w:w="100" w:type="dxa"/>
              <w:bottom w:w="60" w:type="dxa"/>
              <w:right w:w="100" w:type="dxa"/>
            </w:tcMar>
            <w:vAlign w:val="center"/>
          </w:tcPr>
          <w:p>
            <w:pPr>
              <w:spacing w:after="0" w:line="260" w:lineRule="auto"/>
            </w:pPr>
            <w:r>
              <w:rPr>
                <w:sz w:val="18"/>
              </w:rPr>
              <w:t xml:space="preserve">HTML + </w:t>
            </w:r>
            <w:r>
              <w:rPr>
                <w:rFonts w:ascii="Consolas" w:hAnsi="Consolas" w:cs="Consolas"/>
                <w:sz w:val="17"/>
              </w:rPr>
              <w:t>statistics.json</w:t>
            </w:r>
          </w:p>
        </w:tc>
        <w:tc>
          <w:tcPr>
            <w:tcW w:w="1900" w:type="dxa"/>
            <w:tcMar>
              <w:top w:w="60" w:type="dxa"/>
              <w:left w:w="100" w:type="dxa"/>
              <w:bottom w:w="60" w:type="dxa"/>
              <w:right w:w="100" w:type="dxa"/>
            </w:tcMar>
            <w:vAlign w:val="center"/>
          </w:tcPr>
          <w:p>
            <w:pPr>
              <w:spacing w:after="0" w:line="260" w:lineRule="auto"/>
            </w:pPr>
            <w:r>
              <w:rPr>
                <w:sz w:val="18"/>
              </w:rPr>
              <w:t xml:space="preserve">Toda la gestión (copiados a </w:t>
            </w:r>
            <w:r>
              <w:rPr>
                <w:rFonts w:ascii="Consolas" w:hAnsi="Consolas" w:cs="Consolas"/>
                <w:sz w:val="17"/>
              </w:rPr>
              <w:t>docs/evidencias/</w:t>
            </w:r>
            <w:r>
              <w:rPr>
                <w:sz w:val="18"/>
              </w:rPr>
              <w:t>)</w:t>
            </w:r>
          </w:p>
        </w:tc>
        <w:tc>
          <w:tcPr>
            <w:tcW w:w="1380" w:type="dxa"/>
            <w:tcMar>
              <w:top w:w="60" w:type="dxa"/>
              <w:left w:w="100" w:type="dxa"/>
              <w:bottom w:w="60" w:type="dxa"/>
              <w:right w:w="100" w:type="dxa"/>
            </w:tcMar>
            <w:vAlign w:val="center"/>
          </w:tcPr>
          <w:p>
            <w:pPr>
              <w:spacing w:after="0" w:line="260" w:lineRule="auto"/>
            </w:pPr>
            <w:r>
              <w:rPr>
                <w:sz w:val="18"/>
              </w:rPr>
              <w:t>Galvan (Tester)</w:t>
            </w:r>
          </w:p>
        </w:tc>
      </w:tr>
      <w:tr>
        <w:trPr>
          <w:cantSplit/>
        </w:trPr>
        <w:tc>
          <w:tcPr>
            <w:tcW w:w="2500" w:type="dxa"/>
            <w:tcMar>
              <w:top w:w="60" w:type="dxa"/>
              <w:left w:w="100" w:type="dxa"/>
              <w:bottom w:w="60" w:type="dxa"/>
              <w:right w:w="100" w:type="dxa"/>
            </w:tcMar>
            <w:vAlign w:val="center"/>
          </w:tcPr>
          <w:p>
            <w:pPr>
              <w:spacing w:after="0" w:line="260" w:lineRule="auto"/>
            </w:pPr>
            <w:r>
              <w:rPr>
                <w:sz w:val="18"/>
              </w:rPr>
              <w:t>Registros del pipeline</w:t>
            </w:r>
          </w:p>
        </w:tc>
        <w:tc>
          <w:tcPr>
            <w:tcW w:w="2600" w:type="dxa"/>
            <w:tcMar>
              <w:top w:w="60" w:type="dxa"/>
              <w:left w:w="100" w:type="dxa"/>
              <w:bottom w:w="60" w:type="dxa"/>
              <w:right w:w="100" w:type="dxa"/>
            </w:tcMar>
            <w:vAlign w:val="center"/>
          </w:tcPr>
          <w:p>
            <w:pPr>
              <w:spacing w:after="0" w:line="260" w:lineRule="auto"/>
            </w:pPr>
            <w:r>
              <w:rPr>
                <w:sz w:val="18"/>
              </w:rPr>
              <w:t>Console Output de Jenkins</w:t>
            </w:r>
          </w:p>
        </w:tc>
        <w:tc>
          <w:tcPr>
            <w:tcW w:w="1700" w:type="dxa"/>
            <w:tcMar>
              <w:top w:w="60" w:type="dxa"/>
              <w:left w:w="100" w:type="dxa"/>
              <w:bottom w:w="60" w:type="dxa"/>
              <w:right w:w="100" w:type="dxa"/>
            </w:tcMar>
            <w:vAlign w:val="center"/>
          </w:tcPr>
          <w:p>
            <w:pPr>
              <w:spacing w:after="0" w:line="260" w:lineRule="auto"/>
            </w:pPr>
            <w:r>
              <w:rPr>
                <w:sz w:val="18"/>
              </w:rPr>
              <w:t>Texto</w:t>
            </w:r>
          </w:p>
        </w:tc>
        <w:tc>
          <w:tcPr>
            <w:tcW w:w="1900" w:type="dxa"/>
            <w:tcMar>
              <w:top w:w="60" w:type="dxa"/>
              <w:left w:w="100" w:type="dxa"/>
              <w:bottom w:w="60" w:type="dxa"/>
              <w:right w:w="100" w:type="dxa"/>
            </w:tcMar>
            <w:vAlign w:val="center"/>
          </w:tcPr>
          <w:p>
            <w:pPr>
              <w:spacing w:after="0" w:line="260" w:lineRule="auto"/>
            </w:pPr>
            <w:r>
              <w:rPr>
                <w:sz w:val="18"/>
              </w:rPr>
              <w:t>Últimos 30 builds por rama</w:t>
            </w:r>
          </w:p>
        </w:tc>
        <w:tc>
          <w:tcPr>
            <w:tcW w:w="1380" w:type="dxa"/>
            <w:tcMar>
              <w:top w:w="60" w:type="dxa"/>
              <w:left w:w="100" w:type="dxa"/>
              <w:bottom w:w="60" w:type="dxa"/>
              <w:right w:w="100" w:type="dxa"/>
            </w:tcMar>
            <w:vAlign w:val="center"/>
          </w:tcPr>
          <w:p>
            <w:pPr>
              <w:spacing w:after="0" w:line="260" w:lineRule="auto"/>
            </w:pPr>
            <w:r>
              <w:rPr>
                <w:sz w:val="18"/>
              </w:rPr>
              <w:t>Galvan (SQA)</w:t>
            </w:r>
          </w:p>
        </w:tc>
      </w:tr>
      <w:tr>
        <w:trPr>
          <w:cantSplit/>
        </w:trPr>
        <w:tc>
          <w:tcPr>
            <w:tcW w:w="2500" w:type="dxa"/>
            <w:tcMar>
              <w:top w:w="60" w:type="dxa"/>
              <w:left w:w="100" w:type="dxa"/>
              <w:bottom w:w="60" w:type="dxa"/>
              <w:right w:w="100" w:type="dxa"/>
            </w:tcMar>
            <w:vAlign w:val="center"/>
          </w:tcPr>
          <w:p>
            <w:pPr>
              <w:spacing w:after="0" w:line="260" w:lineRule="auto"/>
            </w:pPr>
            <w:r>
              <w:rPr>
                <w:sz w:val="18"/>
              </w:rPr>
              <w:t>Análisis de SonarQube Cloud (M05, M07, M08)</w:t>
            </w:r>
          </w:p>
        </w:tc>
        <w:tc>
          <w:tcPr>
            <w:tcW w:w="2600" w:type="dxa"/>
            <w:tcMar>
              <w:top w:w="60" w:type="dxa"/>
              <w:left w:w="100" w:type="dxa"/>
              <w:bottom w:w="60" w:type="dxa"/>
              <w:right w:w="100" w:type="dxa"/>
            </w:tcMar>
            <w:vAlign w:val="center"/>
          </w:tcPr>
          <w:p>
            <w:pPr>
              <w:spacing w:after="0" w:line="260" w:lineRule="auto"/>
            </w:pPr>
            <w:r>
              <w:rPr>
                <w:sz w:val="18"/>
              </w:rPr>
              <w:t>Proyecto CalisFacu en SonarQube Cloud</w:t>
            </w:r>
          </w:p>
        </w:tc>
        <w:tc>
          <w:tcPr>
            <w:tcW w:w="1700" w:type="dxa"/>
            <w:tcMar>
              <w:top w:w="60" w:type="dxa"/>
              <w:left w:w="100" w:type="dxa"/>
              <w:bottom w:w="60" w:type="dxa"/>
              <w:right w:w="100" w:type="dxa"/>
            </w:tcMar>
            <w:vAlign w:val="center"/>
          </w:tcPr>
          <w:p>
            <w:pPr>
              <w:spacing w:after="0" w:line="260" w:lineRule="auto"/>
            </w:pPr>
            <w:r>
              <w:rPr>
                <w:sz w:val="18"/>
              </w:rPr>
              <w:t>Web</w:t>
            </w:r>
          </w:p>
        </w:tc>
        <w:tc>
          <w:tcPr>
            <w:tcW w:w="1900" w:type="dxa"/>
            <w:tcMar>
              <w:top w:w="60" w:type="dxa"/>
              <w:left w:w="100" w:type="dxa"/>
              <w:bottom w:w="60" w:type="dxa"/>
              <w:right w:w="100" w:type="dxa"/>
            </w:tcMar>
            <w:vAlign w:val="center"/>
          </w:tcPr>
          <w:p>
            <w:pPr>
              <w:spacing w:after="0" w:line="260" w:lineRule="auto"/>
            </w:pPr>
            <w:r>
              <w:rPr>
                <w:sz w:val="18"/>
              </w:rPr>
              <w:t>Toda la gestión</w:t>
            </w:r>
          </w:p>
        </w:tc>
        <w:tc>
          <w:tcPr>
            <w:tcW w:w="1380" w:type="dxa"/>
            <w:tcMar>
              <w:top w:w="60" w:type="dxa"/>
              <w:left w:w="100" w:type="dxa"/>
              <w:bottom w:w="60" w:type="dxa"/>
              <w:right w:w="100" w:type="dxa"/>
            </w:tcMar>
            <w:vAlign w:val="center"/>
          </w:tcPr>
          <w:p>
            <w:pPr>
              <w:spacing w:after="0" w:line="260" w:lineRule="auto"/>
            </w:pPr>
            <w:r>
              <w:rPr>
                <w:sz w:val="18"/>
              </w:rPr>
              <w:t>Galvan (SQA)</w:t>
            </w:r>
          </w:p>
        </w:tc>
      </w:tr>
      <w:tr>
        <w:trPr>
          <w:cantSplit/>
        </w:trPr>
        <w:tc>
          <w:tcPr>
            <w:tcW w:w="2500" w:type="dxa"/>
            <w:tcMar>
              <w:top w:w="60" w:type="dxa"/>
              <w:left w:w="100" w:type="dxa"/>
              <w:bottom w:w="60" w:type="dxa"/>
              <w:right w:w="100" w:type="dxa"/>
            </w:tcMar>
            <w:vAlign w:val="center"/>
          </w:tcPr>
          <w:p>
            <w:pPr>
              <w:spacing w:after="0" w:line="260" w:lineRule="auto"/>
            </w:pPr>
            <w:r>
              <w:rPr>
                <w:sz w:val="18"/>
              </w:rPr>
              <w:t>Pruebas de usabilidad (M11, M12)</w:t>
            </w:r>
          </w:p>
        </w:tc>
        <w:tc>
          <w:tcPr>
            <w:tcW w:w="2600" w:type="dxa"/>
            <w:tcMar>
              <w:top w:w="60" w:type="dxa"/>
              <w:left w:w="100" w:type="dxa"/>
              <w:bottom w:w="60" w:type="dxa"/>
              <w:right w:w="100" w:type="dxa"/>
            </w:tcMar>
            <w:vAlign w:val="center"/>
          </w:tcPr>
          <w:p>
            <w:pPr>
              <w:spacing w:after="0" w:line="260" w:lineRule="auto"/>
            </w:pPr>
            <w:r>
              <w:rPr>
                <w:rFonts w:ascii="Consolas" w:hAnsi="Consolas" w:cs="Consolas"/>
                <w:sz w:val="17"/>
              </w:rPr>
              <w:t>docs/evidencias/usabilidad/</w:t>
            </w:r>
          </w:p>
        </w:tc>
        <w:tc>
          <w:tcPr>
            <w:tcW w:w="1700" w:type="dxa"/>
            <w:tcMar>
              <w:top w:w="60" w:type="dxa"/>
              <w:left w:w="100" w:type="dxa"/>
              <w:bottom w:w="60" w:type="dxa"/>
              <w:right w:w="100" w:type="dxa"/>
            </w:tcMar>
            <w:vAlign w:val="center"/>
          </w:tcPr>
          <w:p>
            <w:pPr>
              <w:spacing w:after="0" w:line="260" w:lineRule="auto"/>
            </w:pPr>
            <w:r>
              <w:rPr>
                <w:sz w:val="18"/>
              </w:rPr>
              <w:t>Planilla y cuestionarios SUS anonimizados</w:t>
            </w:r>
          </w:p>
        </w:tc>
        <w:tc>
          <w:tcPr>
            <w:tcW w:w="1900" w:type="dxa"/>
            <w:tcMar>
              <w:top w:w="60" w:type="dxa"/>
              <w:left w:w="100" w:type="dxa"/>
              <w:bottom w:w="60" w:type="dxa"/>
              <w:right w:w="100" w:type="dxa"/>
            </w:tcMar>
            <w:vAlign w:val="center"/>
          </w:tcPr>
          <w:p>
            <w:pPr>
              <w:spacing w:after="0" w:line="260" w:lineRule="auto"/>
            </w:pPr>
            <w:r>
              <w:rPr>
                <w:sz w:val="18"/>
              </w:rPr>
              <w:t>Toda la gestión</w:t>
            </w:r>
          </w:p>
        </w:tc>
        <w:tc>
          <w:tcPr>
            <w:tcW w:w="1380" w:type="dxa"/>
            <w:tcMar>
              <w:top w:w="60" w:type="dxa"/>
              <w:left w:w="100" w:type="dxa"/>
              <w:bottom w:w="60" w:type="dxa"/>
              <w:right w:w="100" w:type="dxa"/>
            </w:tcMar>
            <w:vAlign w:val="center"/>
          </w:tcPr>
          <w:p>
            <w:pPr>
              <w:spacing w:after="0" w:line="260" w:lineRule="auto"/>
            </w:pPr>
            <w:r>
              <w:rPr>
                <w:sz w:val="18"/>
              </w:rPr>
              <w:t>Galvan (Tester)</w:t>
            </w:r>
          </w:p>
        </w:tc>
      </w:tr>
      <w:tr>
        <w:trPr>
          <w:cantSplit/>
        </w:trPr>
        <w:tc>
          <w:tcPr>
            <w:tcW w:w="2500" w:type="dxa"/>
            <w:tcMar>
              <w:top w:w="60" w:type="dxa"/>
              <w:left w:w="100" w:type="dxa"/>
              <w:bottom w:w="60" w:type="dxa"/>
              <w:right w:w="100" w:type="dxa"/>
            </w:tcMar>
            <w:vAlign w:val="center"/>
          </w:tcPr>
          <w:p>
            <w:pPr>
              <w:spacing w:after="0" w:line="260" w:lineRule="auto"/>
            </w:pPr>
            <w:r>
              <w:rPr>
                <w:sz w:val="18"/>
              </w:rPr>
              <w:t>Disponibilidad (M13)</w:t>
            </w:r>
          </w:p>
        </w:tc>
        <w:tc>
          <w:tcPr>
            <w:tcW w:w="2600" w:type="dxa"/>
            <w:tcMar>
              <w:top w:w="60" w:type="dxa"/>
              <w:left w:w="100" w:type="dxa"/>
              <w:bottom w:w="60" w:type="dxa"/>
              <w:right w:w="100" w:type="dxa"/>
            </w:tcMar>
            <w:vAlign w:val="center"/>
          </w:tcPr>
          <w:p>
            <w:pPr>
              <w:spacing w:after="0" w:line="260" w:lineRule="auto"/>
            </w:pPr>
            <w:r>
              <w:rPr>
                <w:sz w:val="18"/>
              </w:rPr>
              <w:t xml:space="preserve">Panel de UptimeRobot; exportación mensual en </w:t>
            </w:r>
            <w:r>
              <w:rPr>
                <w:rFonts w:ascii="Consolas" w:hAnsi="Consolas" w:cs="Consolas"/>
                <w:sz w:val="17"/>
              </w:rPr>
              <w:t>docs/evidencias/</w:t>
            </w:r>
          </w:p>
        </w:tc>
        <w:tc>
          <w:tcPr>
            <w:tcW w:w="1700" w:type="dxa"/>
            <w:tcMar>
              <w:top w:w="60" w:type="dxa"/>
              <w:left w:w="100" w:type="dxa"/>
              <w:bottom w:w="60" w:type="dxa"/>
              <w:right w:w="100" w:type="dxa"/>
            </w:tcMar>
            <w:vAlign w:val="center"/>
          </w:tcPr>
          <w:p>
            <w:pPr>
              <w:spacing w:after="0" w:line="260" w:lineRule="auto"/>
            </w:pPr>
            <w:r>
              <w:rPr>
                <w:sz w:val="18"/>
              </w:rPr>
              <w:t>CSV</w:t>
            </w:r>
          </w:p>
        </w:tc>
        <w:tc>
          <w:tcPr>
            <w:tcW w:w="1900" w:type="dxa"/>
            <w:tcMar>
              <w:top w:w="60" w:type="dxa"/>
              <w:left w:w="100" w:type="dxa"/>
              <w:bottom w:w="60" w:type="dxa"/>
              <w:right w:w="100" w:type="dxa"/>
            </w:tcMar>
            <w:vAlign w:val="center"/>
          </w:tcPr>
          <w:p>
            <w:pPr>
              <w:spacing w:after="0" w:line="260" w:lineRule="auto"/>
            </w:pPr>
            <w:r>
              <w:rPr>
                <w:sz w:val="18"/>
              </w:rPr>
              <w:t>Toda la gestión</w:t>
            </w:r>
          </w:p>
        </w:tc>
        <w:tc>
          <w:tcPr>
            <w:tcW w:w="1380" w:type="dxa"/>
            <w:tcMar>
              <w:top w:w="60" w:type="dxa"/>
              <w:left w:w="100" w:type="dxa"/>
              <w:bottom w:w="60" w:type="dxa"/>
              <w:right w:w="100" w:type="dxa"/>
            </w:tcMar>
            <w:vAlign w:val="center"/>
          </w:tcPr>
          <w:p>
            <w:pPr>
              <w:spacing w:after="0" w:line="260" w:lineRule="auto"/>
            </w:pPr>
            <w:r>
              <w:rPr>
                <w:sz w:val="18"/>
              </w:rPr>
              <w:t>Galvan (SQA)</w:t>
            </w:r>
          </w:p>
        </w:tc>
      </w:tr>
      <w:tr>
        <w:trPr>
          <w:cantSplit/>
        </w:trPr>
        <w:tc>
          <w:tcPr>
            <w:tcW w:w="2500" w:type="dxa"/>
            <w:tcMar>
              <w:top w:w="60" w:type="dxa"/>
              <w:left w:w="100" w:type="dxa"/>
              <w:bottom w:w="60" w:type="dxa"/>
              <w:right w:w="100" w:type="dxa"/>
            </w:tcMar>
            <w:vAlign w:val="center"/>
          </w:tcPr>
          <w:p>
            <w:pPr>
              <w:spacing w:after="0" w:line="260" w:lineRule="auto"/>
            </w:pPr>
            <w:r>
              <w:rPr>
                <w:sz w:val="18"/>
              </w:rPr>
              <w:t>Respaldos y pruebas de restauración (M14)</w:t>
            </w:r>
          </w:p>
        </w:tc>
        <w:tc>
          <w:tcPr>
            <w:tcW w:w="2600" w:type="dxa"/>
            <w:tcMar>
              <w:top w:w="60" w:type="dxa"/>
              <w:left w:w="100" w:type="dxa"/>
              <w:bottom w:w="60" w:type="dxa"/>
              <w:right w:w="100" w:type="dxa"/>
            </w:tcMar>
            <w:vAlign w:val="center"/>
          </w:tcPr>
          <w:p>
            <w:pPr>
              <w:spacing w:after="0" w:line="260" w:lineRule="auto"/>
            </w:pPr>
            <w:r>
              <w:rPr>
                <w:sz w:val="18"/>
              </w:rPr>
              <w:t xml:space="preserve">Artefactos de </w:t>
            </w:r>
            <w:r>
              <w:rPr>
                <w:rFonts w:ascii="Consolas" w:hAnsi="Consolas" w:cs="Consolas"/>
                <w:sz w:val="17"/>
              </w:rPr>
              <w:t>backup.yml</w:t>
            </w:r>
            <w:r>
              <w:rPr>
                <w:sz w:val="18"/>
              </w:rPr>
              <w:t xml:space="preserve"> (GitHub Actions); resultado del job </w:t>
            </w:r>
            <w:r>
              <w:rPr>
                <w:rFonts w:ascii="Consolas" w:hAnsi="Consolas" w:cs="Consolas"/>
                <w:sz w:val="17"/>
              </w:rPr>
              <w:t>restaurar</w:t>
            </w:r>
          </w:p>
        </w:tc>
        <w:tc>
          <w:tcPr>
            <w:tcW w:w="1700" w:type="dxa"/>
            <w:tcMar>
              <w:top w:w="60" w:type="dxa"/>
              <w:left w:w="100" w:type="dxa"/>
              <w:bottom w:w="60" w:type="dxa"/>
              <w:right w:w="100" w:type="dxa"/>
            </w:tcMar>
            <w:vAlign w:val="center"/>
          </w:tcPr>
          <w:p>
            <w:pPr>
              <w:spacing w:after="0" w:line="260" w:lineRule="auto"/>
            </w:pPr>
            <w:r>
              <w:rPr>
                <w:rFonts w:ascii="Consolas" w:hAnsi="Consolas" w:cs="Consolas"/>
                <w:sz w:val="17"/>
              </w:rPr>
              <w:t>.dump.gpg</w:t>
            </w:r>
            <w:r>
              <w:rPr>
                <w:sz w:val="18"/>
              </w:rPr>
              <w:t>; log</w:t>
            </w:r>
          </w:p>
        </w:tc>
        <w:tc>
          <w:tcPr>
            <w:tcW w:w="1900" w:type="dxa"/>
            <w:tcMar>
              <w:top w:w="60" w:type="dxa"/>
              <w:left w:w="100" w:type="dxa"/>
              <w:bottom w:w="60" w:type="dxa"/>
              <w:right w:w="100" w:type="dxa"/>
            </w:tcMar>
            <w:vAlign w:val="center"/>
          </w:tcPr>
          <w:p>
            <w:pPr>
              <w:spacing w:after="0" w:line="260" w:lineRule="auto"/>
            </w:pPr>
            <w:r>
              <w:rPr>
                <w:sz w:val="18"/>
              </w:rPr>
              <w:t>30 días; resultados, toda la gestión</w:t>
            </w:r>
          </w:p>
        </w:tc>
        <w:tc>
          <w:tcPr>
            <w:tcW w:w="1380" w:type="dxa"/>
            <w:tcMar>
              <w:top w:w="60" w:type="dxa"/>
              <w:left w:w="100" w:type="dxa"/>
              <w:bottom w:w="60" w:type="dxa"/>
              <w:right w:w="100" w:type="dxa"/>
            </w:tcMar>
            <w:vAlign w:val="center"/>
          </w:tcPr>
          <w:p>
            <w:pPr>
              <w:spacing w:after="0" w:line="260" w:lineRule="auto"/>
            </w:pPr>
            <w:r>
              <w:rPr>
                <w:sz w:val="18"/>
              </w:rPr>
              <w:t>Lujan (Dev)</w:t>
            </w:r>
          </w:p>
        </w:tc>
      </w:tr>
      <w:tr>
        <w:trPr>
          <w:cantSplit/>
        </w:trPr>
        <w:tc>
          <w:tcPr>
            <w:tcW w:w="2500" w:type="dxa"/>
            <w:tcMar>
              <w:top w:w="60" w:type="dxa"/>
              <w:left w:w="100" w:type="dxa"/>
              <w:bottom w:w="60" w:type="dxa"/>
              <w:right w:w="100" w:type="dxa"/>
            </w:tcMar>
            <w:vAlign w:val="center"/>
          </w:tcPr>
          <w:p>
            <w:pPr>
              <w:spacing w:after="0" w:line="260" w:lineRule="auto"/>
            </w:pPr>
            <w:r>
              <w:rPr>
                <w:sz w:val="18"/>
              </w:rPr>
              <w:t>Defectos y solicitudes de cambio</w:t>
            </w:r>
          </w:p>
        </w:tc>
        <w:tc>
          <w:tcPr>
            <w:tcW w:w="2600" w:type="dxa"/>
            <w:tcMar>
              <w:top w:w="60" w:type="dxa"/>
              <w:left w:w="100" w:type="dxa"/>
              <w:bottom w:w="60" w:type="dxa"/>
              <w:right w:w="100" w:type="dxa"/>
            </w:tcMar>
            <w:vAlign w:val="center"/>
          </w:tcPr>
          <w:p>
            <w:pPr>
              <w:spacing w:after="0" w:line="260" w:lineRule="auto"/>
            </w:pPr>
            <w:r>
              <w:rPr>
                <w:sz w:val="18"/>
              </w:rPr>
              <w:t>GitHub Issues</w:t>
            </w:r>
          </w:p>
        </w:tc>
        <w:tc>
          <w:tcPr>
            <w:tcW w:w="1700" w:type="dxa"/>
            <w:tcMar>
              <w:top w:w="60" w:type="dxa"/>
              <w:left w:w="100" w:type="dxa"/>
              <w:bottom w:w="60" w:type="dxa"/>
              <w:right w:w="100" w:type="dxa"/>
            </w:tcMar>
            <w:vAlign w:val="center"/>
          </w:tcPr>
          <w:p>
            <w:pPr>
              <w:spacing w:after="0" w:line="260" w:lineRule="auto"/>
            </w:pPr>
            <w:r>
              <w:rPr>
                <w:sz w:val="18"/>
              </w:rPr>
              <w:t>Issue con formulario</w:t>
            </w:r>
          </w:p>
        </w:tc>
        <w:tc>
          <w:tcPr>
            <w:tcW w:w="1900" w:type="dxa"/>
            <w:tcMar>
              <w:top w:w="60" w:type="dxa"/>
              <w:left w:w="100" w:type="dxa"/>
              <w:bottom w:w="60" w:type="dxa"/>
              <w:right w:w="100" w:type="dxa"/>
            </w:tcMar>
            <w:vAlign w:val="center"/>
          </w:tcPr>
          <w:p>
            <w:pPr>
              <w:spacing w:after="0" w:line="260" w:lineRule="auto"/>
            </w:pPr>
            <w:r>
              <w:rPr>
                <w:sz w:val="18"/>
              </w:rPr>
              <w:t>Toda la vida del proyecto</w:t>
            </w:r>
          </w:p>
        </w:tc>
        <w:tc>
          <w:tcPr>
            <w:tcW w:w="1380" w:type="dxa"/>
            <w:tcMar>
              <w:top w:w="60" w:type="dxa"/>
              <w:left w:w="100" w:type="dxa"/>
              <w:bottom w:w="60" w:type="dxa"/>
              <w:right w:w="100" w:type="dxa"/>
            </w:tcMar>
            <w:vAlign w:val="center"/>
          </w:tcPr>
          <w:p>
            <w:pPr>
              <w:spacing w:after="0" w:line="260" w:lineRule="auto"/>
            </w:pPr>
            <w:r>
              <w:rPr>
                <w:sz w:val="18"/>
              </w:rPr>
              <w:t>Lujan (Líder)</w:t>
            </w:r>
          </w:p>
        </w:tc>
      </w:tr>
      <w:tr>
        <w:trPr>
          <w:cantSplit/>
        </w:trPr>
        <w:tc>
          <w:tcPr>
            <w:tcW w:w="2500" w:type="dxa"/>
            <w:tcMar>
              <w:top w:w="60" w:type="dxa"/>
              <w:left w:w="100" w:type="dxa"/>
              <w:bottom w:w="60" w:type="dxa"/>
              <w:right w:w="100" w:type="dxa"/>
            </w:tcMar>
            <w:vAlign w:val="center"/>
          </w:tcPr>
          <w:p>
            <w:pPr>
              <w:spacing w:after="0" w:line="260" w:lineRule="auto"/>
            </w:pPr>
            <w:r>
              <w:rPr>
                <w:sz w:val="18"/>
              </w:rPr>
              <w:t>Revisiones de código</w:t>
            </w:r>
          </w:p>
        </w:tc>
        <w:tc>
          <w:tcPr>
            <w:tcW w:w="2600" w:type="dxa"/>
            <w:tcMar>
              <w:top w:w="60" w:type="dxa"/>
              <w:left w:w="100" w:type="dxa"/>
              <w:bottom w:w="60" w:type="dxa"/>
              <w:right w:w="100" w:type="dxa"/>
            </w:tcMar>
            <w:vAlign w:val="center"/>
          </w:tcPr>
          <w:p>
            <w:pPr>
              <w:spacing w:after="0" w:line="260" w:lineRule="auto"/>
            </w:pPr>
            <w:r>
              <w:rPr>
                <w:sz w:val="18"/>
              </w:rPr>
              <w:t>Pull requests de GitHub</w:t>
            </w:r>
          </w:p>
        </w:tc>
        <w:tc>
          <w:tcPr>
            <w:tcW w:w="1700" w:type="dxa"/>
            <w:tcMar>
              <w:top w:w="60" w:type="dxa"/>
              <w:left w:w="100" w:type="dxa"/>
              <w:bottom w:w="60" w:type="dxa"/>
              <w:right w:w="100" w:type="dxa"/>
            </w:tcMar>
            <w:vAlign w:val="center"/>
          </w:tcPr>
          <w:p>
            <w:pPr>
              <w:spacing w:after="0" w:line="260" w:lineRule="auto"/>
            </w:pPr>
            <w:r>
              <w:rPr>
                <w:sz w:val="18"/>
              </w:rPr>
              <w:t>Comentarios y aprobaciones</w:t>
            </w:r>
          </w:p>
        </w:tc>
        <w:tc>
          <w:tcPr>
            <w:tcW w:w="1900" w:type="dxa"/>
            <w:tcMar>
              <w:top w:w="60" w:type="dxa"/>
              <w:left w:w="100" w:type="dxa"/>
              <w:bottom w:w="60" w:type="dxa"/>
              <w:right w:w="100" w:type="dxa"/>
            </w:tcMar>
            <w:vAlign w:val="center"/>
          </w:tcPr>
          <w:p>
            <w:pPr>
              <w:spacing w:after="0" w:line="260" w:lineRule="auto"/>
            </w:pPr>
            <w:r>
              <w:rPr>
                <w:sz w:val="18"/>
              </w:rPr>
              <w:t>Toda la vida del proyecto</w:t>
            </w:r>
          </w:p>
        </w:tc>
        <w:tc>
          <w:tcPr>
            <w:tcW w:w="1380" w:type="dxa"/>
            <w:tcMar>
              <w:top w:w="60" w:type="dxa"/>
              <w:left w:w="100" w:type="dxa"/>
              <w:bottom w:w="60" w:type="dxa"/>
              <w:right w:w="100" w:type="dxa"/>
            </w:tcMar>
            <w:vAlign w:val="center"/>
          </w:tcPr>
          <w:p>
            <w:pPr>
              <w:spacing w:after="0" w:line="260" w:lineRule="auto"/>
            </w:pPr>
            <w:r>
              <w:rPr>
                <w:sz w:val="18"/>
              </w:rPr>
              <w:t>Lujan (Líder)</w:t>
            </w:r>
          </w:p>
        </w:tc>
      </w:tr>
    </w:tbl>
    <w:p>
      <w:pPr>
        <w:spacing w:after="60" w:line="276" w:lineRule="auto"/>
      </w:pPr>
    </w:p>
    <w:p>
      <w:pPr>
        <w:spacing w:after="120" w:line="276" w:lineRule="auto"/>
      </w:pPr>
      <w:r>
        <w:t xml:space="preserve">El número 30 de la retención de builds está en el plan y en </w:t>
      </w:r>
      <w:r>
        <w:rPr>
          <w:rFonts w:ascii="Consolas" w:hAnsi="Consolas" w:cs="Consolas"/>
          <w:sz w:val="19"/>
        </w:rPr>
        <w:t>options { buildDiscarder(logRotator(numToKeepStr: '30')) }</w:t>
      </w:r>
      <w:r>
        <w:t xml:space="preserve"> del </w:t>
      </w:r>
      <w:r>
        <w:rPr>
          <w:rFonts w:ascii="Consolas" w:hAnsi="Consolas" w:cs="Consolas"/>
          <w:sz w:val="19"/>
        </w:rPr>
        <w:t>Jenkinsfile</w:t>
      </w:r>
      <w:r>
        <w:t xml:space="preserve">; el 30 de los respaldos (días), en </w:t>
      </w:r>
      <w:r>
        <w:rPr>
          <w:rFonts w:ascii="Consolas" w:hAnsi="Consolas" w:cs="Consolas"/>
          <w:sz w:val="19"/>
        </w:rPr>
        <w:t>retention-days: 30</w:t>
      </w:r>
      <w:r>
        <w:t xml:space="preserve"> de </w:t>
      </w:r>
      <w:r>
        <w:rPr>
          <w:rFonts w:ascii="Consolas" w:hAnsi="Consolas" w:cs="Consolas"/>
          <w:sz w:val="19"/>
        </w:rPr>
        <w:t>backup.yml</w:t>
      </w:r>
      <w:r>
        <w:t xml:space="preserve">. Como Jenkins descarta builds viejos, las evidencias de cada release candidate se copian a </w:t>
      </w:r>
      <w:r>
        <w:rPr>
          <w:rFonts w:ascii="Consolas" w:hAnsi="Consolas" w:cs="Consolas"/>
          <w:sz w:val="19"/>
        </w:rPr>
        <w:t>docs/evidencias/</w:t>
      </w:r>
      <w:r>
        <w:t xml:space="preserve"> en la auditoría de cierre.</w:t>
      </w:r>
    </w:p>
    <w:p>
      <w:pPr>
        <w:pStyle w:val="Ttulo1"/>
      </w:pPr>
      <w:r>
        <w:t>13. Capacitación</w:t>
      </w:r>
    </w:p>
    <w:p>
      <w:pPr>
        <w:spacing w:after="120" w:line="276" w:lineRule="auto"/>
      </w:pPr>
      <w:r>
        <w:t>El cambio a NestJS y PostgreSQL deja brechas que deben cerrarse en la semana 1 para no frenar los sprints siguientes (riesgo R08).</w:t>
      </w:r>
    </w:p>
    <w:p>
      <w:pPr>
        <w:keepNext/>
        <w:spacing w:before="120" w:after="80" w:line="276" w:lineRule="auto"/>
      </w:pPr>
      <w:r>
        <w:rPr>
          <w:b/>
          <w:color w:val="1F4E79"/>
          <w:sz w:val="19"/>
        </w:rPr>
        <w:t xml:space="preserve">Tabla 27. </w:t>
      </w:r>
      <w:r>
        <w:rPr>
          <w:color w:val="595959"/>
          <w:sz w:val="19"/>
        </w:rPr>
        <w:t>Competencias y brechas por 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200"/>
        <w:gridCol w:w="3800"/>
        <w:gridCol w:w="2600"/>
        <w:gridCol w:w="1480"/>
      </w:tblGrid>
      <w:tr>
        <w:trPr>
          <w:cantSplit/>
          <w:tblHeader/>
        </w:trPr>
        <w:tc>
          <w:tcPr>
            <w:tcW w:w="2200" w:type="dxa"/>
            <w:shd w:val="clear" w:color="auto" w:fill="DDEBF7"/>
            <w:tcMar>
              <w:top w:w="60" w:type="dxa"/>
              <w:left w:w="100" w:type="dxa"/>
              <w:bottom w:w="60" w:type="dxa"/>
              <w:right w:w="100" w:type="dxa"/>
            </w:tcMar>
          </w:tcPr>
          <w:p>
            <w:pPr>
              <w:spacing w:after="0" w:line="260" w:lineRule="auto"/>
            </w:pPr>
            <w:r>
              <w:rPr>
                <w:b/>
                <w:sz w:val="19"/>
              </w:rPr>
              <w:t>Rol</w:t>
            </w:r>
          </w:p>
        </w:tc>
        <w:tc>
          <w:tcPr>
            <w:tcW w:w="3800" w:type="dxa"/>
            <w:shd w:val="clear" w:color="auto" w:fill="DDEBF7"/>
            <w:tcMar>
              <w:top w:w="60" w:type="dxa"/>
              <w:left w:w="100" w:type="dxa"/>
              <w:bottom w:w="60" w:type="dxa"/>
              <w:right w:w="100" w:type="dxa"/>
            </w:tcMar>
          </w:tcPr>
          <w:p>
            <w:pPr>
              <w:spacing w:after="0" w:line="260" w:lineRule="auto"/>
            </w:pPr>
            <w:r>
              <w:rPr>
                <w:b/>
                <w:sz w:val="19"/>
              </w:rPr>
              <w:t>Competencia requerida</w:t>
            </w:r>
          </w:p>
        </w:tc>
        <w:tc>
          <w:tcPr>
            <w:tcW w:w="2600" w:type="dxa"/>
            <w:shd w:val="clear" w:color="auto" w:fill="DDEBF7"/>
            <w:tcMar>
              <w:top w:w="60" w:type="dxa"/>
              <w:left w:w="100" w:type="dxa"/>
              <w:bottom w:w="60" w:type="dxa"/>
              <w:right w:w="100" w:type="dxa"/>
            </w:tcMar>
          </w:tcPr>
          <w:p>
            <w:pPr>
              <w:spacing w:after="0" w:line="260" w:lineRule="auto"/>
            </w:pPr>
            <w:r>
              <w:rPr>
                <w:b/>
                <w:sz w:val="19"/>
              </w:rPr>
              <w:t>Nivel actual</w:t>
            </w:r>
          </w:p>
        </w:tc>
        <w:tc>
          <w:tcPr>
            <w:tcW w:w="1480" w:type="dxa"/>
            <w:shd w:val="clear" w:color="auto" w:fill="DDEBF7"/>
            <w:tcMar>
              <w:top w:w="60" w:type="dxa"/>
              <w:left w:w="100" w:type="dxa"/>
              <w:bottom w:w="60" w:type="dxa"/>
              <w:right w:w="100" w:type="dxa"/>
            </w:tcMar>
          </w:tcPr>
          <w:p>
            <w:pPr>
              <w:spacing w:after="0" w:line="260" w:lineRule="auto"/>
            </w:pPr>
            <w:r>
              <w:rPr>
                <w:b/>
                <w:sz w:val="19"/>
              </w:rPr>
              <w:t>Brecha</w:t>
            </w:r>
          </w:p>
        </w:tc>
      </w:tr>
      <w:tr>
        <w:trPr>
          <w:cantSplit/>
        </w:trPr>
        <w:tc>
          <w:tcPr>
            <w:tcW w:w="2200" w:type="dxa"/>
            <w:tcMar>
              <w:top w:w="60" w:type="dxa"/>
              <w:left w:w="100" w:type="dxa"/>
              <w:bottom w:w="60" w:type="dxa"/>
              <w:right w:w="100" w:type="dxa"/>
            </w:tcMar>
            <w:vAlign w:val="center"/>
          </w:tcPr>
          <w:p>
            <w:pPr>
              <w:spacing w:after="0" w:line="260" w:lineRule="auto"/>
            </w:pPr>
            <w:r>
              <w:rPr>
                <w:sz w:val="19"/>
              </w:rPr>
              <w:t>Dev backend (Lujan)</w:t>
            </w:r>
          </w:p>
        </w:tc>
        <w:tc>
          <w:tcPr>
            <w:tcW w:w="3800" w:type="dxa"/>
            <w:tcMar>
              <w:top w:w="60" w:type="dxa"/>
              <w:left w:w="100" w:type="dxa"/>
              <w:bottom w:w="60" w:type="dxa"/>
              <w:right w:w="100" w:type="dxa"/>
            </w:tcMar>
            <w:vAlign w:val="center"/>
          </w:tcPr>
          <w:p>
            <w:pPr>
              <w:spacing w:after="0" w:line="260" w:lineRule="auto"/>
            </w:pPr>
            <w:r>
              <w:rPr>
                <w:sz w:val="19"/>
              </w:rPr>
              <w:t>NestJS (módulos, guards, pipes), TypeORM y migraciones, Jest con TDD, BullMQ</w:t>
            </w:r>
          </w:p>
        </w:tc>
        <w:tc>
          <w:tcPr>
            <w:tcW w:w="2600" w:type="dxa"/>
            <w:tcMar>
              <w:top w:w="60" w:type="dxa"/>
              <w:left w:w="100" w:type="dxa"/>
              <w:bottom w:w="60" w:type="dxa"/>
              <w:right w:w="100" w:type="dxa"/>
            </w:tcMar>
            <w:vAlign w:val="center"/>
          </w:tcPr>
          <w:p>
            <w:pPr>
              <w:spacing w:after="0" w:line="260" w:lineRule="auto"/>
            </w:pPr>
            <w:r>
              <w:rPr>
                <w:sz w:val="19"/>
              </w:rPr>
              <w:t>Laravel y PHPUnit (Prácticas 1 y 2 con JUnit)</w:t>
            </w:r>
          </w:p>
        </w:tc>
        <w:tc>
          <w:tcPr>
            <w:tcW w:w="1480" w:type="dxa"/>
            <w:tcMar>
              <w:top w:w="60" w:type="dxa"/>
              <w:left w:w="100" w:type="dxa"/>
              <w:bottom w:w="60" w:type="dxa"/>
              <w:right w:w="100" w:type="dxa"/>
            </w:tcMar>
            <w:vAlign w:val="center"/>
          </w:tcPr>
          <w:p>
            <w:pPr>
              <w:spacing w:after="0" w:line="260" w:lineRule="auto"/>
            </w:pPr>
            <w:r>
              <w:rPr>
                <w:sz w:val="19"/>
              </w:rPr>
              <w:t>Alta en NestJS y TypeORM</w:t>
            </w:r>
          </w:p>
        </w:tc>
      </w:tr>
      <w:tr>
        <w:trPr>
          <w:cantSplit/>
        </w:trPr>
        <w:tc>
          <w:tcPr>
            <w:tcW w:w="2200" w:type="dxa"/>
            <w:tcMar>
              <w:top w:w="60" w:type="dxa"/>
              <w:left w:w="100" w:type="dxa"/>
              <w:bottom w:w="60" w:type="dxa"/>
              <w:right w:w="100" w:type="dxa"/>
            </w:tcMar>
            <w:vAlign w:val="center"/>
          </w:tcPr>
          <w:p>
            <w:pPr>
              <w:spacing w:after="0" w:line="260" w:lineRule="auto"/>
            </w:pPr>
            <w:r>
              <w:rPr>
                <w:sz w:val="19"/>
              </w:rPr>
              <w:t>Frontend / Tester (Galvan)</w:t>
            </w:r>
          </w:p>
        </w:tc>
        <w:tc>
          <w:tcPr>
            <w:tcW w:w="3800" w:type="dxa"/>
            <w:tcMar>
              <w:top w:w="60" w:type="dxa"/>
              <w:left w:w="100" w:type="dxa"/>
              <w:bottom w:w="60" w:type="dxa"/>
              <w:right w:w="100" w:type="dxa"/>
            </w:tcMar>
            <w:vAlign w:val="center"/>
          </w:tcPr>
          <w:p>
            <w:pPr>
              <w:spacing w:after="0" w:line="260" w:lineRule="auto"/>
            </w:pPr>
            <w:r>
              <w:rPr>
                <w:sz w:val="19"/>
              </w:rPr>
              <w:t>React + TypeScript, Cypress con TypeScript, JMeter, Vitest</w:t>
            </w:r>
          </w:p>
        </w:tc>
        <w:tc>
          <w:tcPr>
            <w:tcW w:w="2600" w:type="dxa"/>
            <w:tcMar>
              <w:top w:w="60" w:type="dxa"/>
              <w:left w:w="100" w:type="dxa"/>
              <w:bottom w:w="60" w:type="dxa"/>
              <w:right w:w="100" w:type="dxa"/>
            </w:tcMar>
            <w:vAlign w:val="center"/>
          </w:tcPr>
          <w:p>
            <w:pPr>
              <w:spacing w:after="0" w:line="260" w:lineRule="auto"/>
            </w:pPr>
            <w:r>
              <w:rPr>
                <w:sz w:val="19"/>
              </w:rPr>
              <w:t>Cypress y JMeter (Prácticas 4 y 5)</w:t>
            </w:r>
          </w:p>
        </w:tc>
        <w:tc>
          <w:tcPr>
            <w:tcW w:w="1480" w:type="dxa"/>
            <w:tcMar>
              <w:top w:w="60" w:type="dxa"/>
              <w:left w:w="100" w:type="dxa"/>
              <w:bottom w:w="60" w:type="dxa"/>
              <w:right w:w="100" w:type="dxa"/>
            </w:tcMar>
            <w:vAlign w:val="center"/>
          </w:tcPr>
          <w:p>
            <w:pPr>
              <w:spacing w:after="0" w:line="260" w:lineRule="auto"/>
            </w:pPr>
            <w:r>
              <w:rPr>
                <w:sz w:val="19"/>
              </w:rPr>
              <w:t>Media en React con TypeScript</w:t>
            </w:r>
          </w:p>
        </w:tc>
      </w:tr>
      <w:tr>
        <w:trPr>
          <w:cantSplit/>
        </w:trPr>
        <w:tc>
          <w:tcPr>
            <w:tcW w:w="2200" w:type="dxa"/>
            <w:tcMar>
              <w:top w:w="60" w:type="dxa"/>
              <w:left w:w="100" w:type="dxa"/>
              <w:bottom w:w="60" w:type="dxa"/>
              <w:right w:w="100" w:type="dxa"/>
            </w:tcMar>
            <w:vAlign w:val="center"/>
          </w:tcPr>
          <w:p>
            <w:pPr>
              <w:spacing w:after="0" w:line="260" w:lineRule="auto"/>
            </w:pPr>
            <w:r>
              <w:rPr>
                <w:sz w:val="19"/>
              </w:rPr>
              <w:t>Responsable SQA (Galvan)</w:t>
            </w:r>
          </w:p>
        </w:tc>
        <w:tc>
          <w:tcPr>
            <w:tcW w:w="3800" w:type="dxa"/>
            <w:tcMar>
              <w:top w:w="60" w:type="dxa"/>
              <w:left w:w="100" w:type="dxa"/>
              <w:bottom w:w="60" w:type="dxa"/>
              <w:right w:w="100" w:type="dxa"/>
            </w:tcMar>
            <w:vAlign w:val="center"/>
          </w:tcPr>
          <w:p>
            <w:pPr>
              <w:spacing w:after="0" w:line="260" w:lineRule="auto"/>
            </w:pPr>
            <w:r>
              <w:rPr>
                <w:sz w:val="19"/>
              </w:rPr>
              <w:t>Jenkins Multibranch, credenciales, rulesets, SonarQube Cloud, Husky, IEEE 730 e IEEE 1028</w:t>
            </w:r>
          </w:p>
        </w:tc>
        <w:tc>
          <w:tcPr>
            <w:tcW w:w="2600" w:type="dxa"/>
            <w:tcMar>
              <w:top w:w="60" w:type="dxa"/>
              <w:left w:w="100" w:type="dxa"/>
              <w:bottom w:w="60" w:type="dxa"/>
              <w:right w:w="100" w:type="dxa"/>
            </w:tcMar>
            <w:vAlign w:val="center"/>
          </w:tcPr>
          <w:p>
            <w:pPr>
              <w:spacing w:after="0" w:line="260" w:lineRule="auto"/>
            </w:pPr>
            <w:r>
              <w:rPr>
                <w:sz w:val="19"/>
              </w:rPr>
              <w:t>Jenkins y SonarQube (Prácticas 3 y 6)</w:t>
            </w:r>
          </w:p>
        </w:tc>
        <w:tc>
          <w:tcPr>
            <w:tcW w:w="1480" w:type="dxa"/>
            <w:tcMar>
              <w:top w:w="60" w:type="dxa"/>
              <w:left w:w="100" w:type="dxa"/>
              <w:bottom w:w="60" w:type="dxa"/>
              <w:right w:w="100" w:type="dxa"/>
            </w:tcMar>
            <w:vAlign w:val="center"/>
          </w:tcPr>
          <w:p>
            <w:pPr>
              <w:spacing w:after="0" w:line="260" w:lineRule="auto"/>
            </w:pPr>
            <w:r>
              <w:rPr>
                <w:sz w:val="19"/>
              </w:rPr>
              <w:t>Media en Multibranch</w:t>
            </w:r>
          </w:p>
        </w:tc>
      </w:tr>
      <w:tr>
        <w:trPr>
          <w:cantSplit/>
        </w:trPr>
        <w:tc>
          <w:tcPr>
            <w:tcW w:w="2200" w:type="dxa"/>
            <w:tcMar>
              <w:top w:w="60" w:type="dxa"/>
              <w:left w:w="100" w:type="dxa"/>
              <w:bottom w:w="60" w:type="dxa"/>
              <w:right w:w="100" w:type="dxa"/>
            </w:tcMar>
            <w:vAlign w:val="center"/>
          </w:tcPr>
          <w:p>
            <w:pPr>
              <w:spacing w:after="0" w:line="260" w:lineRule="auto"/>
            </w:pPr>
            <w:r>
              <w:rPr>
                <w:sz w:val="19"/>
              </w:rPr>
              <w:t>Todos</w:t>
            </w:r>
          </w:p>
        </w:tc>
        <w:tc>
          <w:tcPr>
            <w:tcW w:w="3800" w:type="dxa"/>
            <w:tcMar>
              <w:top w:w="60" w:type="dxa"/>
              <w:left w:w="100" w:type="dxa"/>
              <w:bottom w:w="60" w:type="dxa"/>
              <w:right w:w="100" w:type="dxa"/>
            </w:tcMar>
            <w:vAlign w:val="center"/>
          </w:tcPr>
          <w:p>
            <w:pPr>
              <w:spacing w:after="0" w:line="260" w:lineRule="auto"/>
            </w:pPr>
            <w:r>
              <w:rPr>
                <w:sz w:val="19"/>
              </w:rPr>
              <w:t>Reglamento de evaluación del Ministerio (RM 001/2026) y glosario del dominio</w:t>
            </w:r>
          </w:p>
        </w:tc>
        <w:tc>
          <w:tcPr>
            <w:tcW w:w="2600" w:type="dxa"/>
            <w:tcMar>
              <w:top w:w="60" w:type="dxa"/>
              <w:left w:w="100" w:type="dxa"/>
              <w:bottom w:w="60" w:type="dxa"/>
              <w:right w:w="100" w:type="dxa"/>
            </w:tcMar>
            <w:vAlign w:val="center"/>
          </w:tcPr>
          <w:p>
            <w:pPr>
              <w:spacing w:after="0" w:line="260" w:lineRule="auto"/>
            </w:pPr>
            <w:r>
              <w:rPr>
                <w:sz w:val="19"/>
              </w:rPr>
              <w:t>Ninguna</w:t>
            </w:r>
          </w:p>
        </w:tc>
        <w:tc>
          <w:tcPr>
            <w:tcW w:w="1480" w:type="dxa"/>
            <w:tcMar>
              <w:top w:w="60" w:type="dxa"/>
              <w:left w:w="100" w:type="dxa"/>
              <w:bottom w:w="60" w:type="dxa"/>
              <w:right w:w="100" w:type="dxa"/>
            </w:tcMar>
            <w:vAlign w:val="center"/>
          </w:tcPr>
          <w:p>
            <w:pPr>
              <w:spacing w:after="0" w:line="260" w:lineRule="auto"/>
            </w:pPr>
            <w:r>
              <w:rPr>
                <w:sz w:val="19"/>
              </w:rPr>
              <w:t>Alta</w:t>
            </w:r>
          </w:p>
        </w:tc>
      </w:tr>
    </w:tbl>
    <w:p>
      <w:pPr>
        <w:spacing w:after="60" w:line="276" w:lineRule="auto"/>
      </w:pPr>
    </w:p>
    <w:p>
      <w:pPr>
        <w:keepNext/>
        <w:spacing w:before="120" w:after="80" w:line="276" w:lineRule="auto"/>
      </w:pPr>
      <w:r>
        <w:rPr>
          <w:b/>
          <w:color w:val="1F4E79"/>
          <w:sz w:val="19"/>
        </w:rPr>
        <w:t xml:space="preserve">Tabla 28. </w:t>
      </w:r>
      <w:r>
        <w:rPr>
          <w:color w:val="595959"/>
          <w:sz w:val="19"/>
        </w:rPr>
        <w:t>Plan de capacitación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200"/>
        <w:gridCol w:w="1500"/>
        <w:gridCol w:w="2400"/>
        <w:gridCol w:w="1000"/>
        <w:gridCol w:w="1980"/>
      </w:tblGrid>
      <w:tr>
        <w:trPr>
          <w:cantSplit/>
          <w:tblHeader/>
        </w:trPr>
        <w:tc>
          <w:tcPr>
            <w:tcW w:w="3200" w:type="dxa"/>
            <w:shd w:val="clear" w:color="auto" w:fill="DDEBF7"/>
            <w:tcMar>
              <w:top w:w="60" w:type="dxa"/>
              <w:left w:w="100" w:type="dxa"/>
              <w:bottom w:w="60" w:type="dxa"/>
              <w:right w:w="100" w:type="dxa"/>
            </w:tcMar>
          </w:tcPr>
          <w:p>
            <w:pPr>
              <w:spacing w:after="0" w:line="260" w:lineRule="auto"/>
            </w:pPr>
            <w:r>
              <w:rPr>
                <w:b/>
                <w:sz w:val="19"/>
              </w:rPr>
              <w:t>Sesión</w:t>
            </w:r>
          </w:p>
        </w:tc>
        <w:tc>
          <w:tcPr>
            <w:tcW w:w="1500" w:type="dxa"/>
            <w:shd w:val="clear" w:color="auto" w:fill="DDEBF7"/>
            <w:tcMar>
              <w:top w:w="60" w:type="dxa"/>
              <w:left w:w="100" w:type="dxa"/>
              <w:bottom w:w="60" w:type="dxa"/>
              <w:right w:w="100" w:type="dxa"/>
            </w:tcMar>
          </w:tcPr>
          <w:p>
            <w:pPr>
              <w:spacing w:after="0" w:line="260" w:lineRule="auto"/>
            </w:pPr>
            <w:r>
              <w:rPr>
                <w:b/>
                <w:sz w:val="19"/>
              </w:rPr>
              <w:t>Cuándo</w:t>
            </w:r>
          </w:p>
        </w:tc>
        <w:tc>
          <w:tcPr>
            <w:tcW w:w="2400" w:type="dxa"/>
            <w:shd w:val="clear" w:color="auto" w:fill="DDEBF7"/>
            <w:tcMar>
              <w:top w:w="60" w:type="dxa"/>
              <w:left w:w="100" w:type="dxa"/>
              <w:bottom w:w="60" w:type="dxa"/>
              <w:right w:w="100" w:type="dxa"/>
            </w:tcMar>
          </w:tcPr>
          <w:p>
            <w:pPr>
              <w:spacing w:after="0" w:line="260" w:lineRule="auto"/>
            </w:pPr>
            <w:r>
              <w:rPr>
                <w:b/>
                <w:sz w:val="19"/>
              </w:rPr>
              <w:t>Quién la da</w:t>
            </w:r>
          </w:p>
        </w:tc>
        <w:tc>
          <w:tcPr>
            <w:tcW w:w="1000" w:type="dxa"/>
            <w:shd w:val="clear" w:color="auto" w:fill="DDEBF7"/>
            <w:tcMar>
              <w:top w:w="60" w:type="dxa"/>
              <w:left w:w="100" w:type="dxa"/>
              <w:bottom w:w="60" w:type="dxa"/>
              <w:right w:w="100" w:type="dxa"/>
            </w:tcMar>
          </w:tcPr>
          <w:p>
            <w:pPr>
              <w:spacing w:after="0" w:line="260" w:lineRule="auto"/>
            </w:pPr>
            <w:r>
              <w:rPr>
                <w:b/>
                <w:sz w:val="19"/>
              </w:rPr>
              <w:t>Duración</w:t>
            </w:r>
          </w:p>
        </w:tc>
        <w:tc>
          <w:tcPr>
            <w:tcW w:w="1980" w:type="dxa"/>
            <w:shd w:val="clear" w:color="auto" w:fill="DDEBF7"/>
            <w:tcMar>
              <w:top w:w="60" w:type="dxa"/>
              <w:left w:w="100" w:type="dxa"/>
              <w:bottom w:w="60" w:type="dxa"/>
              <w:right w:w="100" w:type="dxa"/>
            </w:tcMar>
          </w:tcPr>
          <w:p>
            <w:pPr>
              <w:spacing w:after="0" w:line="260" w:lineRule="auto"/>
            </w:pPr>
            <w:r>
              <w:rPr>
                <w:b/>
                <w:sz w:val="19"/>
              </w:rPr>
              <w:t>Evidencia</w:t>
            </w:r>
          </w:p>
        </w:tc>
      </w:tr>
      <w:tr>
        <w:trPr>
          <w:cantSplit/>
        </w:trPr>
        <w:tc>
          <w:tcPr>
            <w:tcW w:w="3200" w:type="dxa"/>
            <w:tcMar>
              <w:top w:w="60" w:type="dxa"/>
              <w:left w:w="100" w:type="dxa"/>
              <w:bottom w:w="60" w:type="dxa"/>
              <w:right w:w="100" w:type="dxa"/>
            </w:tcMar>
            <w:vAlign w:val="center"/>
          </w:tcPr>
          <w:p>
            <w:pPr>
              <w:spacing w:after="0" w:line="260" w:lineRule="auto"/>
            </w:pPr>
            <w:r>
              <w:rPr>
                <w:sz w:val="19"/>
              </w:rPr>
              <w:t>Reglamento de evaluación y tabla de casos</w:t>
            </w:r>
          </w:p>
        </w:tc>
        <w:tc>
          <w:tcPr>
            <w:tcW w:w="1500" w:type="dxa"/>
            <w:tcMar>
              <w:top w:w="60" w:type="dxa"/>
              <w:left w:w="100" w:type="dxa"/>
              <w:bottom w:w="60" w:type="dxa"/>
              <w:right w:w="100" w:type="dxa"/>
            </w:tcMar>
            <w:vAlign w:val="center"/>
          </w:tcPr>
          <w:p>
            <w:pPr>
              <w:spacing w:after="0" w:line="260" w:lineRule="auto"/>
            </w:pPr>
            <w:r>
              <w:rPr>
                <w:sz w:val="19"/>
              </w:rPr>
              <w:t>Semana 1, día 1</w:t>
            </w:r>
          </w:p>
        </w:tc>
        <w:tc>
          <w:tcPr>
            <w:tcW w:w="2400" w:type="dxa"/>
            <w:tcMar>
              <w:top w:w="60" w:type="dxa"/>
              <w:left w:w="100" w:type="dxa"/>
              <w:bottom w:w="60" w:type="dxa"/>
              <w:right w:w="100" w:type="dxa"/>
            </w:tcMar>
            <w:vAlign w:val="center"/>
          </w:tcPr>
          <w:p>
            <w:pPr>
              <w:spacing w:after="0" w:line="260" w:lineRule="auto"/>
            </w:pPr>
            <w:r>
              <w:rPr>
                <w:sz w:val="19"/>
              </w:rPr>
              <w:t>Profesor del cliente</w:t>
            </w:r>
          </w:p>
        </w:tc>
        <w:tc>
          <w:tcPr>
            <w:tcW w:w="1000" w:type="dxa"/>
            <w:tcMar>
              <w:top w:w="60" w:type="dxa"/>
              <w:left w:w="100" w:type="dxa"/>
              <w:bottom w:w="60" w:type="dxa"/>
              <w:right w:w="100" w:type="dxa"/>
            </w:tcMar>
            <w:vAlign w:val="center"/>
          </w:tcPr>
          <w:p>
            <w:pPr>
              <w:spacing w:after="0" w:line="260" w:lineRule="auto"/>
            </w:pPr>
            <w:r>
              <w:rPr>
                <w:sz w:val="19"/>
              </w:rPr>
              <w:t>1 h</w:t>
            </w:r>
          </w:p>
        </w:tc>
        <w:tc>
          <w:tcPr>
            <w:tcW w:w="1980" w:type="dxa"/>
            <w:tcMar>
              <w:top w:w="60" w:type="dxa"/>
              <w:left w:w="100" w:type="dxa"/>
              <w:bottom w:w="60" w:type="dxa"/>
              <w:right w:w="100" w:type="dxa"/>
            </w:tcMar>
            <w:vAlign w:val="center"/>
          </w:tcPr>
          <w:p>
            <w:pPr>
              <w:spacing w:after="0" w:line="260" w:lineRule="auto"/>
            </w:pPr>
            <w:r>
              <w:rPr>
                <w:sz w:val="19"/>
              </w:rPr>
              <w:t>Acta y tabla de casos firmada</w:t>
            </w:r>
          </w:p>
        </w:tc>
      </w:tr>
      <w:tr>
        <w:trPr>
          <w:cantSplit/>
        </w:trPr>
        <w:tc>
          <w:tcPr>
            <w:tcW w:w="3200" w:type="dxa"/>
            <w:tcMar>
              <w:top w:w="60" w:type="dxa"/>
              <w:left w:w="100" w:type="dxa"/>
              <w:bottom w:w="60" w:type="dxa"/>
              <w:right w:w="100" w:type="dxa"/>
            </w:tcMar>
            <w:vAlign w:val="center"/>
          </w:tcPr>
          <w:p>
            <w:pPr>
              <w:spacing w:after="0" w:line="260" w:lineRule="auto"/>
            </w:pPr>
            <w:r>
              <w:rPr>
                <w:sz w:val="19"/>
              </w:rPr>
              <w:t>NestJS + TypeORM: módulo de ejemplo con TDD</w:t>
            </w:r>
          </w:p>
        </w:tc>
        <w:tc>
          <w:tcPr>
            <w:tcW w:w="1500" w:type="dxa"/>
            <w:tcMar>
              <w:top w:w="60" w:type="dxa"/>
              <w:left w:w="100" w:type="dxa"/>
              <w:bottom w:w="60" w:type="dxa"/>
              <w:right w:w="100" w:type="dxa"/>
            </w:tcMar>
            <w:vAlign w:val="center"/>
          </w:tcPr>
          <w:p>
            <w:pPr>
              <w:spacing w:after="0" w:line="260" w:lineRule="auto"/>
            </w:pPr>
            <w:r>
              <w:rPr>
                <w:sz w:val="19"/>
              </w:rPr>
              <w:t>Semana 1, día 1</w:t>
            </w:r>
          </w:p>
        </w:tc>
        <w:tc>
          <w:tcPr>
            <w:tcW w:w="2400" w:type="dxa"/>
            <w:tcMar>
              <w:top w:w="60" w:type="dxa"/>
              <w:left w:w="100" w:type="dxa"/>
              <w:bottom w:w="60" w:type="dxa"/>
              <w:right w:w="100" w:type="dxa"/>
            </w:tcMar>
            <w:vAlign w:val="center"/>
          </w:tcPr>
          <w:p>
            <w:pPr>
              <w:spacing w:after="0" w:line="260" w:lineRule="auto"/>
            </w:pPr>
            <w:r>
              <w:rPr>
                <w:sz w:val="19"/>
              </w:rPr>
              <w:t>Lujan (preparada con la documentación oficial)</w:t>
            </w:r>
          </w:p>
        </w:tc>
        <w:tc>
          <w:tcPr>
            <w:tcW w:w="1000" w:type="dxa"/>
            <w:tcMar>
              <w:top w:w="60" w:type="dxa"/>
              <w:left w:w="100" w:type="dxa"/>
              <w:bottom w:w="60" w:type="dxa"/>
              <w:right w:w="100" w:type="dxa"/>
            </w:tcMar>
            <w:vAlign w:val="center"/>
          </w:tcPr>
          <w:p>
            <w:pPr>
              <w:spacing w:after="0" w:line="260" w:lineRule="auto"/>
            </w:pPr>
            <w:r>
              <w:rPr>
                <w:sz w:val="19"/>
              </w:rPr>
              <w:t>2 h</w:t>
            </w:r>
          </w:p>
        </w:tc>
        <w:tc>
          <w:tcPr>
            <w:tcW w:w="1980" w:type="dxa"/>
            <w:tcMar>
              <w:top w:w="60" w:type="dxa"/>
              <w:left w:w="100" w:type="dxa"/>
              <w:bottom w:w="60" w:type="dxa"/>
              <w:right w:w="100" w:type="dxa"/>
            </w:tcMar>
            <w:vAlign w:val="center"/>
          </w:tcPr>
          <w:p>
            <w:pPr>
              <w:spacing w:after="0" w:line="260" w:lineRule="auto"/>
            </w:pPr>
            <w:r>
              <w:rPr>
                <w:sz w:val="19"/>
              </w:rPr>
              <w:t xml:space="preserve">Repositorio de ejemplo en </w:t>
            </w:r>
            <w:r>
              <w:rPr>
                <w:rFonts w:ascii="Consolas" w:hAnsi="Consolas" w:cs="Consolas"/>
                <w:sz w:val="18"/>
              </w:rPr>
              <w:t>docs/capacitacion/</w:t>
            </w:r>
          </w:p>
        </w:tc>
      </w:tr>
      <w:tr>
        <w:trPr>
          <w:cantSplit/>
        </w:trPr>
        <w:tc>
          <w:tcPr>
            <w:tcW w:w="3200" w:type="dxa"/>
            <w:tcMar>
              <w:top w:w="60" w:type="dxa"/>
              <w:left w:w="100" w:type="dxa"/>
              <w:bottom w:w="60" w:type="dxa"/>
              <w:right w:w="100" w:type="dxa"/>
            </w:tcMar>
            <w:vAlign w:val="center"/>
          </w:tcPr>
          <w:p>
            <w:pPr>
              <w:spacing w:after="0" w:line="260" w:lineRule="auto"/>
            </w:pPr>
            <w:r>
              <w:rPr>
                <w:sz w:val="19"/>
              </w:rPr>
              <w:t>Pipeline: Jenkins Multibranch, credenciales, Husky y rulesets</w:t>
            </w:r>
          </w:p>
        </w:tc>
        <w:tc>
          <w:tcPr>
            <w:tcW w:w="1500" w:type="dxa"/>
            <w:tcMar>
              <w:top w:w="60" w:type="dxa"/>
              <w:left w:w="100" w:type="dxa"/>
              <w:bottom w:w="60" w:type="dxa"/>
              <w:right w:w="100" w:type="dxa"/>
            </w:tcMar>
            <w:vAlign w:val="center"/>
          </w:tcPr>
          <w:p>
            <w:pPr>
              <w:spacing w:after="0" w:line="260" w:lineRule="auto"/>
            </w:pPr>
            <w:r>
              <w:rPr>
                <w:sz w:val="19"/>
              </w:rPr>
              <w:t>Semana 1, día 2</w:t>
            </w:r>
          </w:p>
        </w:tc>
        <w:tc>
          <w:tcPr>
            <w:tcW w:w="2400" w:type="dxa"/>
            <w:tcMar>
              <w:top w:w="60" w:type="dxa"/>
              <w:left w:w="100" w:type="dxa"/>
              <w:bottom w:w="60" w:type="dxa"/>
              <w:right w:w="100" w:type="dxa"/>
            </w:tcMar>
            <w:vAlign w:val="center"/>
          </w:tcPr>
          <w:p>
            <w:pPr>
              <w:spacing w:after="0" w:line="260" w:lineRule="auto"/>
            </w:pPr>
            <w:r>
              <w:rPr>
                <w:sz w:val="19"/>
              </w:rPr>
              <w:t>Galvan</w:t>
            </w:r>
          </w:p>
        </w:tc>
        <w:tc>
          <w:tcPr>
            <w:tcW w:w="1000" w:type="dxa"/>
            <w:tcMar>
              <w:top w:w="60" w:type="dxa"/>
              <w:left w:w="100" w:type="dxa"/>
              <w:bottom w:w="60" w:type="dxa"/>
              <w:right w:w="100" w:type="dxa"/>
            </w:tcMar>
            <w:vAlign w:val="center"/>
          </w:tcPr>
          <w:p>
            <w:pPr>
              <w:spacing w:after="0" w:line="260" w:lineRule="auto"/>
            </w:pPr>
            <w:r>
              <w:rPr>
                <w:sz w:val="19"/>
              </w:rPr>
              <w:t>1 h</w:t>
            </w:r>
          </w:p>
        </w:tc>
        <w:tc>
          <w:tcPr>
            <w:tcW w:w="1980" w:type="dxa"/>
            <w:tcMar>
              <w:top w:w="60" w:type="dxa"/>
              <w:left w:w="100" w:type="dxa"/>
              <w:bottom w:w="60" w:type="dxa"/>
              <w:right w:w="100" w:type="dxa"/>
            </w:tcMar>
            <w:vAlign w:val="center"/>
          </w:tcPr>
          <w:p>
            <w:pPr>
              <w:spacing w:after="0" w:line="260" w:lineRule="auto"/>
            </w:pPr>
            <w:r>
              <w:rPr>
                <w:sz w:val="19"/>
              </w:rPr>
              <w:t>Primer PR con el check de Jenkins en verde</w:t>
            </w:r>
          </w:p>
        </w:tc>
      </w:tr>
      <w:tr>
        <w:trPr>
          <w:cantSplit/>
        </w:trPr>
        <w:tc>
          <w:tcPr>
            <w:tcW w:w="3200" w:type="dxa"/>
            <w:tcMar>
              <w:top w:w="60" w:type="dxa"/>
              <w:left w:w="100" w:type="dxa"/>
              <w:bottom w:w="60" w:type="dxa"/>
              <w:right w:w="100" w:type="dxa"/>
            </w:tcMar>
            <w:vAlign w:val="center"/>
          </w:tcPr>
          <w:p>
            <w:pPr>
              <w:spacing w:after="0" w:line="260" w:lineRule="auto"/>
            </w:pPr>
            <w:r>
              <w:rPr>
                <w:sz w:val="19"/>
              </w:rPr>
              <w:t>React + TypeScript y Cypress con TypeScript</w:t>
            </w:r>
          </w:p>
        </w:tc>
        <w:tc>
          <w:tcPr>
            <w:tcW w:w="1500" w:type="dxa"/>
            <w:tcMar>
              <w:top w:w="60" w:type="dxa"/>
              <w:left w:w="100" w:type="dxa"/>
              <w:bottom w:w="60" w:type="dxa"/>
              <w:right w:w="100" w:type="dxa"/>
            </w:tcMar>
            <w:vAlign w:val="center"/>
          </w:tcPr>
          <w:p>
            <w:pPr>
              <w:spacing w:after="0" w:line="260" w:lineRule="auto"/>
            </w:pPr>
            <w:r>
              <w:rPr>
                <w:sz w:val="19"/>
              </w:rPr>
              <w:t>Semana 1, día 2</w:t>
            </w:r>
          </w:p>
        </w:tc>
        <w:tc>
          <w:tcPr>
            <w:tcW w:w="2400" w:type="dxa"/>
            <w:tcMar>
              <w:top w:w="60" w:type="dxa"/>
              <w:left w:w="100" w:type="dxa"/>
              <w:bottom w:w="60" w:type="dxa"/>
              <w:right w:w="100" w:type="dxa"/>
            </w:tcMar>
            <w:vAlign w:val="center"/>
          </w:tcPr>
          <w:p>
            <w:pPr>
              <w:spacing w:after="0" w:line="260" w:lineRule="auto"/>
            </w:pPr>
            <w:r>
              <w:rPr>
                <w:sz w:val="19"/>
              </w:rPr>
              <w:t>Galvan</w:t>
            </w:r>
          </w:p>
        </w:tc>
        <w:tc>
          <w:tcPr>
            <w:tcW w:w="1000" w:type="dxa"/>
            <w:tcMar>
              <w:top w:w="60" w:type="dxa"/>
              <w:left w:w="100" w:type="dxa"/>
              <w:bottom w:w="60" w:type="dxa"/>
              <w:right w:w="100" w:type="dxa"/>
            </w:tcMar>
            <w:vAlign w:val="center"/>
          </w:tcPr>
          <w:p>
            <w:pPr>
              <w:spacing w:after="0" w:line="260" w:lineRule="auto"/>
            </w:pPr>
            <w:r>
              <w:rPr>
                <w:sz w:val="19"/>
              </w:rPr>
              <w:t>1 h</w:t>
            </w:r>
          </w:p>
        </w:tc>
        <w:tc>
          <w:tcPr>
            <w:tcW w:w="1980" w:type="dxa"/>
            <w:tcMar>
              <w:top w:w="60" w:type="dxa"/>
              <w:left w:w="100" w:type="dxa"/>
              <w:bottom w:w="60" w:type="dxa"/>
              <w:right w:w="100" w:type="dxa"/>
            </w:tcMar>
            <w:vAlign w:val="center"/>
          </w:tcPr>
          <w:p>
            <w:pPr>
              <w:spacing w:after="0" w:line="260" w:lineRule="auto"/>
            </w:pPr>
            <w:r>
              <w:rPr>
                <w:sz w:val="19"/>
              </w:rPr>
              <w:t>Primer escenario E2E en verde</w:t>
            </w:r>
          </w:p>
        </w:tc>
      </w:tr>
      <w:tr>
        <w:trPr>
          <w:cantSplit/>
        </w:trPr>
        <w:tc>
          <w:tcPr>
            <w:tcW w:w="3200" w:type="dxa"/>
            <w:tcMar>
              <w:top w:w="60" w:type="dxa"/>
              <w:left w:w="100" w:type="dxa"/>
              <w:bottom w:w="60" w:type="dxa"/>
              <w:right w:w="100" w:type="dxa"/>
            </w:tcMar>
            <w:vAlign w:val="center"/>
          </w:tcPr>
          <w:p>
            <w:pPr>
              <w:spacing w:after="0" w:line="260" w:lineRule="auto"/>
            </w:pPr>
            <w:r>
              <w:rPr>
                <w:sz w:val="19"/>
              </w:rPr>
              <w:t>Pair programming en módulos críticos</w:t>
            </w:r>
          </w:p>
        </w:tc>
        <w:tc>
          <w:tcPr>
            <w:tcW w:w="1500" w:type="dxa"/>
            <w:tcMar>
              <w:top w:w="60" w:type="dxa"/>
              <w:left w:w="100" w:type="dxa"/>
              <w:bottom w:w="60" w:type="dxa"/>
              <w:right w:w="100" w:type="dxa"/>
            </w:tcMar>
            <w:vAlign w:val="center"/>
          </w:tcPr>
          <w:p>
            <w:pPr>
              <w:spacing w:after="0" w:line="260" w:lineRule="auto"/>
            </w:pPr>
            <w:r>
              <w:rPr>
                <w:sz w:val="19"/>
              </w:rPr>
              <w:t>Cada semana, día 3</w:t>
            </w:r>
          </w:p>
        </w:tc>
        <w:tc>
          <w:tcPr>
            <w:tcW w:w="2400" w:type="dxa"/>
            <w:tcMar>
              <w:top w:w="60" w:type="dxa"/>
              <w:left w:w="100" w:type="dxa"/>
              <w:bottom w:w="60" w:type="dxa"/>
              <w:right w:w="100" w:type="dxa"/>
            </w:tcMar>
            <w:vAlign w:val="center"/>
          </w:tcPr>
          <w:p>
            <w:pPr>
              <w:spacing w:after="0" w:line="260" w:lineRule="auto"/>
            </w:pPr>
            <w:r>
              <w:rPr>
                <w:sz w:val="19"/>
              </w:rPr>
              <w:t>Lujan con Galvan</w:t>
            </w:r>
          </w:p>
        </w:tc>
        <w:tc>
          <w:tcPr>
            <w:tcW w:w="1000" w:type="dxa"/>
            <w:tcMar>
              <w:top w:w="60" w:type="dxa"/>
              <w:left w:w="100" w:type="dxa"/>
              <w:bottom w:w="60" w:type="dxa"/>
              <w:right w:w="100" w:type="dxa"/>
            </w:tcMar>
            <w:vAlign w:val="center"/>
          </w:tcPr>
          <w:p>
            <w:pPr>
              <w:spacing w:after="0" w:line="260" w:lineRule="auto"/>
            </w:pPr>
            <w:r>
              <w:rPr>
                <w:sz w:val="19"/>
              </w:rPr>
              <w:t>1 h</w:t>
            </w:r>
          </w:p>
        </w:tc>
        <w:tc>
          <w:tcPr>
            <w:tcW w:w="1980" w:type="dxa"/>
            <w:tcMar>
              <w:top w:w="60" w:type="dxa"/>
              <w:left w:w="100" w:type="dxa"/>
              <w:bottom w:w="60" w:type="dxa"/>
              <w:right w:w="100" w:type="dxa"/>
            </w:tcMar>
            <w:vAlign w:val="center"/>
          </w:tcPr>
          <w:p>
            <w:pPr>
              <w:spacing w:after="0" w:line="260" w:lineRule="auto"/>
            </w:pPr>
            <w:r>
              <w:rPr>
                <w:sz w:val="19"/>
              </w:rPr>
              <w:t>Nota en el issue de la tarea</w:t>
            </w:r>
          </w:p>
        </w:tc>
      </w:tr>
    </w:tbl>
    <w:p>
      <w:pPr>
        <w:spacing w:after="60" w:line="276" w:lineRule="auto"/>
      </w:pPr>
    </w:p>
    <w:p>
      <w:pPr>
        <w:spacing w:after="120" w:line="276" w:lineRule="auto"/>
      </w:pPr>
      <w:r>
        <w:t>Criterio de cierre de la brecha: al terminar la semana 1, cada integrante fusionó al menos un PR en el área de la brecha que pasó todos los checks y la revisión del otro.</w:t>
      </w:r>
    </w:p>
    <w:p>
      <w:pPr>
        <w:pStyle w:val="Ttulo1"/>
      </w:pPr>
      <w:r>
        <w:t>14. Gestión de riesgos</w:t>
      </w:r>
    </w:p>
    <w:p>
      <w:pPr>
        <w:spacing w:after="120" w:line="276" w:lineRule="auto"/>
      </w:pPr>
      <w:r>
        <w:t>Escala de probabilidad (P) e impacto (I) de 1 (bajo) a 3 (alto); exposición = P × I; nivel: 1–2 bajo, 3–4 medio, 6–9 alto. Todo riesgo alto tiene una mitigación que se puede poner como tarea en el tablero, con responsable y momento. El disparador indica cuándo se activa el plan de contingencia. Los riesgos se revisan en cada retrospectiva (día 5).</w:t>
      </w:r>
    </w:p>
    <w:p>
      <w:pPr>
        <w:keepNext/>
        <w:spacing w:before="120" w:after="80" w:line="276" w:lineRule="auto"/>
      </w:pPr>
      <w:r>
        <w:rPr>
          <w:b/>
          <w:color w:val="1F4E79"/>
          <w:sz w:val="19"/>
        </w:rPr>
        <w:t xml:space="preserve">Tabla 29. </w:t>
      </w:r>
      <w:r>
        <w:rPr>
          <w:color w:val="595959"/>
          <w:sz w:val="19"/>
        </w:rPr>
        <w:t>Matriz de riesgos de calidad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80"/>
        <w:gridCol w:w="1700"/>
        <w:gridCol w:w="330"/>
        <w:gridCol w:w="330"/>
        <w:gridCol w:w="650"/>
        <w:gridCol w:w="2350"/>
        <w:gridCol w:w="700"/>
        <w:gridCol w:w="1640"/>
        <w:gridCol w:w="1900"/>
      </w:tblGrid>
      <w:tr>
        <w:trPr>
          <w:cantSplit/>
          <w:tblHeader/>
        </w:trPr>
        <w:tc>
          <w:tcPr>
            <w:tcW w:w="480" w:type="dxa"/>
            <w:shd w:val="clear" w:color="auto" w:fill="DDEBF7"/>
            <w:tcMar>
              <w:top w:w="60" w:type="dxa"/>
              <w:left w:w="100" w:type="dxa"/>
              <w:bottom w:w="60" w:type="dxa"/>
              <w:right w:w="100" w:type="dxa"/>
            </w:tcMar>
          </w:tcPr>
          <w:p>
            <w:pPr>
              <w:spacing w:after="0" w:line="260" w:lineRule="auto"/>
            </w:pPr>
            <w:r>
              <w:rPr>
                <w:b/>
                <w:sz w:val="16"/>
              </w:rPr>
              <w:t>ID</w:t>
            </w:r>
          </w:p>
        </w:tc>
        <w:tc>
          <w:tcPr>
            <w:tcW w:w="1700" w:type="dxa"/>
            <w:shd w:val="clear" w:color="auto" w:fill="DDEBF7"/>
            <w:tcMar>
              <w:top w:w="60" w:type="dxa"/>
              <w:left w:w="100" w:type="dxa"/>
              <w:bottom w:w="60" w:type="dxa"/>
              <w:right w:w="100" w:type="dxa"/>
            </w:tcMar>
          </w:tcPr>
          <w:p>
            <w:pPr>
              <w:spacing w:after="0" w:line="260" w:lineRule="auto"/>
            </w:pPr>
            <w:r>
              <w:rPr>
                <w:b/>
                <w:sz w:val="16"/>
              </w:rPr>
              <w:t>Riesgo</w:t>
            </w:r>
          </w:p>
        </w:tc>
        <w:tc>
          <w:tcPr>
            <w:tcW w:w="330" w:type="dxa"/>
            <w:shd w:val="clear" w:color="auto" w:fill="DDEBF7"/>
            <w:tcMar>
              <w:top w:w="60" w:type="dxa"/>
              <w:left w:w="100" w:type="dxa"/>
              <w:bottom w:w="60" w:type="dxa"/>
              <w:right w:w="100" w:type="dxa"/>
            </w:tcMar>
          </w:tcPr>
          <w:p>
            <w:pPr>
              <w:spacing w:after="0" w:line="260" w:lineRule="auto"/>
            </w:pPr>
            <w:r>
              <w:rPr>
                <w:b/>
                <w:sz w:val="16"/>
              </w:rPr>
              <w:t>P</w:t>
            </w:r>
          </w:p>
        </w:tc>
        <w:tc>
          <w:tcPr>
            <w:tcW w:w="330" w:type="dxa"/>
            <w:shd w:val="clear" w:color="auto" w:fill="DDEBF7"/>
            <w:tcMar>
              <w:top w:w="60" w:type="dxa"/>
              <w:left w:w="100" w:type="dxa"/>
              <w:bottom w:w="60" w:type="dxa"/>
              <w:right w:w="100" w:type="dxa"/>
            </w:tcMar>
          </w:tcPr>
          <w:p>
            <w:pPr>
              <w:spacing w:after="0" w:line="260" w:lineRule="auto"/>
            </w:pPr>
            <w:r>
              <w:rPr>
                <w:b/>
                <w:sz w:val="16"/>
              </w:rPr>
              <w:t>I</w:t>
            </w:r>
          </w:p>
        </w:tc>
        <w:tc>
          <w:tcPr>
            <w:tcW w:w="650" w:type="dxa"/>
            <w:shd w:val="clear" w:color="auto" w:fill="DDEBF7"/>
            <w:tcMar>
              <w:top w:w="60" w:type="dxa"/>
              <w:left w:w="100" w:type="dxa"/>
              <w:bottom w:w="60" w:type="dxa"/>
              <w:right w:w="100" w:type="dxa"/>
            </w:tcMar>
          </w:tcPr>
          <w:p>
            <w:pPr>
              <w:spacing w:after="0" w:line="260" w:lineRule="auto"/>
            </w:pPr>
            <w:r>
              <w:rPr>
                <w:b/>
                <w:sz w:val="16"/>
              </w:rPr>
              <w:t>Exp.</w:t>
            </w:r>
          </w:p>
        </w:tc>
        <w:tc>
          <w:tcPr>
            <w:tcW w:w="2350" w:type="dxa"/>
            <w:shd w:val="clear" w:color="auto" w:fill="DDEBF7"/>
            <w:tcMar>
              <w:top w:w="60" w:type="dxa"/>
              <w:left w:w="100" w:type="dxa"/>
              <w:bottom w:w="60" w:type="dxa"/>
              <w:right w:w="100" w:type="dxa"/>
            </w:tcMar>
          </w:tcPr>
          <w:p>
            <w:pPr>
              <w:spacing w:after="0" w:line="260" w:lineRule="auto"/>
            </w:pPr>
            <w:r>
              <w:rPr>
                <w:b/>
                <w:sz w:val="16"/>
              </w:rPr>
              <w:t>Mitigación accionable</w:t>
            </w:r>
          </w:p>
        </w:tc>
        <w:tc>
          <w:tcPr>
            <w:tcW w:w="700" w:type="dxa"/>
            <w:shd w:val="clear" w:color="auto" w:fill="DDEBF7"/>
            <w:tcMar>
              <w:top w:w="60" w:type="dxa"/>
              <w:left w:w="100" w:type="dxa"/>
              <w:bottom w:w="60" w:type="dxa"/>
              <w:right w:w="100" w:type="dxa"/>
            </w:tcMar>
          </w:tcPr>
          <w:p>
            <w:pPr>
              <w:spacing w:after="0" w:line="260" w:lineRule="auto"/>
            </w:pPr>
            <w:r>
              <w:rPr>
                <w:b/>
                <w:sz w:val="16"/>
              </w:rPr>
              <w:t>Resp.</w:t>
            </w:r>
          </w:p>
        </w:tc>
        <w:tc>
          <w:tcPr>
            <w:tcW w:w="1640" w:type="dxa"/>
            <w:shd w:val="clear" w:color="auto" w:fill="DDEBF7"/>
            <w:tcMar>
              <w:top w:w="60" w:type="dxa"/>
              <w:left w:w="100" w:type="dxa"/>
              <w:bottom w:w="60" w:type="dxa"/>
              <w:right w:w="100" w:type="dxa"/>
            </w:tcMar>
          </w:tcPr>
          <w:p>
            <w:pPr>
              <w:spacing w:after="0" w:line="260" w:lineRule="auto"/>
            </w:pPr>
            <w:r>
              <w:rPr>
                <w:b/>
                <w:sz w:val="16"/>
              </w:rPr>
              <w:t>Disparador</w:t>
            </w:r>
          </w:p>
        </w:tc>
        <w:tc>
          <w:tcPr>
            <w:tcW w:w="1900" w:type="dxa"/>
            <w:shd w:val="clear" w:color="auto" w:fill="DDEBF7"/>
            <w:tcMar>
              <w:top w:w="60" w:type="dxa"/>
              <w:left w:w="100" w:type="dxa"/>
              <w:bottom w:w="60" w:type="dxa"/>
              <w:right w:w="100" w:type="dxa"/>
            </w:tcMar>
          </w:tcPr>
          <w:p>
            <w:pPr>
              <w:spacing w:after="0" w:line="260" w:lineRule="auto"/>
            </w:pPr>
            <w:r>
              <w:rPr>
                <w:b/>
                <w:sz w:val="16"/>
              </w:rPr>
              <w:t>Contingencia</w:t>
            </w:r>
          </w:p>
        </w:tc>
      </w:tr>
      <w:tr>
        <w:trPr>
          <w:cantSplit/>
        </w:trPr>
        <w:tc>
          <w:tcPr>
            <w:tcW w:w="480" w:type="dxa"/>
            <w:tcMar>
              <w:top w:w="60" w:type="dxa"/>
              <w:left w:w="100" w:type="dxa"/>
              <w:bottom w:w="60" w:type="dxa"/>
              <w:right w:w="100" w:type="dxa"/>
            </w:tcMar>
            <w:vAlign w:val="center"/>
          </w:tcPr>
          <w:p>
            <w:pPr>
              <w:spacing w:after="0" w:line="260" w:lineRule="auto"/>
            </w:pPr>
            <w:r>
              <w:rPr>
                <w:sz w:val="16"/>
              </w:rPr>
              <w:t>R01</w:t>
            </w:r>
          </w:p>
        </w:tc>
        <w:tc>
          <w:tcPr>
            <w:tcW w:w="1700" w:type="dxa"/>
            <w:tcMar>
              <w:top w:w="60" w:type="dxa"/>
              <w:left w:w="100" w:type="dxa"/>
              <w:bottom w:w="60" w:type="dxa"/>
              <w:right w:w="100" w:type="dxa"/>
            </w:tcMar>
            <w:vAlign w:val="center"/>
          </w:tcPr>
          <w:p>
            <w:pPr>
              <w:spacing w:after="0" w:line="260" w:lineRule="auto"/>
            </w:pPr>
            <w:r>
              <w:rPr>
                <w:sz w:val="16"/>
              </w:rPr>
              <w:t>Abandono o ausencia prolongada de un integrante (equipo de dos)</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9 Alto</w:t>
            </w:r>
          </w:p>
        </w:tc>
        <w:tc>
          <w:tcPr>
            <w:tcW w:w="2350" w:type="dxa"/>
            <w:tcMar>
              <w:top w:w="60" w:type="dxa"/>
              <w:left w:w="100" w:type="dxa"/>
              <w:bottom w:w="60" w:type="dxa"/>
              <w:right w:w="100" w:type="dxa"/>
            </w:tcMar>
            <w:vAlign w:val="center"/>
          </w:tcPr>
          <w:p>
            <w:pPr>
              <w:spacing w:after="0" w:line="260" w:lineRule="auto"/>
            </w:pPr>
            <w:r>
              <w:rPr>
                <w:sz w:val="16"/>
              </w:rPr>
              <w:t>Cada historia se documenta en el issue antes de cerrarse; todo PR lo revisa el otro; pair programming semanal en módulos críticos.</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Un integrante sin commits ni asistencia 3 días hábiles</w:t>
            </w:r>
          </w:p>
        </w:tc>
        <w:tc>
          <w:tcPr>
            <w:tcW w:w="1900" w:type="dxa"/>
            <w:tcMar>
              <w:top w:w="60" w:type="dxa"/>
              <w:left w:w="100" w:type="dxa"/>
              <w:bottom w:w="60" w:type="dxa"/>
              <w:right w:w="100" w:type="dxa"/>
            </w:tcMar>
            <w:vAlign w:val="center"/>
          </w:tcPr>
          <w:p>
            <w:pPr>
              <w:spacing w:after="0" w:line="260" w:lineRule="auto"/>
            </w:pPr>
            <w:r>
              <w:rPr>
                <w:sz w:val="16"/>
              </w:rPr>
              <w:t>El otro asume; se renegocia el alcance con el docente priorizando US-01 y US-02.</w:t>
            </w:r>
          </w:p>
        </w:tc>
      </w:tr>
      <w:tr>
        <w:trPr>
          <w:cantSplit/>
        </w:trPr>
        <w:tc>
          <w:tcPr>
            <w:tcW w:w="480" w:type="dxa"/>
            <w:tcMar>
              <w:top w:w="60" w:type="dxa"/>
              <w:left w:w="100" w:type="dxa"/>
              <w:bottom w:w="60" w:type="dxa"/>
              <w:right w:w="100" w:type="dxa"/>
            </w:tcMar>
            <w:vAlign w:val="center"/>
          </w:tcPr>
          <w:p>
            <w:pPr>
              <w:spacing w:after="0" w:line="260" w:lineRule="auto"/>
            </w:pPr>
            <w:r>
              <w:rPr>
                <w:sz w:val="16"/>
              </w:rPr>
              <w:t>R02</w:t>
            </w:r>
          </w:p>
        </w:tc>
        <w:tc>
          <w:tcPr>
            <w:tcW w:w="1700" w:type="dxa"/>
            <w:tcMar>
              <w:top w:w="60" w:type="dxa"/>
              <w:left w:w="100" w:type="dxa"/>
              <w:bottom w:w="60" w:type="dxa"/>
              <w:right w:w="100" w:type="dxa"/>
            </w:tcMar>
            <w:vAlign w:val="center"/>
          </w:tcPr>
          <w:p>
            <w:pPr>
              <w:spacing w:after="0" w:line="260" w:lineRule="auto"/>
            </w:pPr>
            <w:r>
              <w:rPr>
                <w:sz w:val="16"/>
              </w:rPr>
              <w:t>Reglas de evaluación mal interpretadas (dimensiones, redondeo, nota anual)</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6 Alto</w:t>
            </w:r>
          </w:p>
        </w:tc>
        <w:tc>
          <w:tcPr>
            <w:tcW w:w="2350" w:type="dxa"/>
            <w:tcMar>
              <w:top w:w="60" w:type="dxa"/>
              <w:left w:w="100" w:type="dxa"/>
              <w:bottom w:w="60" w:type="dxa"/>
              <w:right w:w="100" w:type="dxa"/>
            </w:tcMar>
            <w:vAlign w:val="center"/>
          </w:tcPr>
          <w:p>
            <w:pPr>
              <w:spacing w:after="0" w:line="260" w:lineRule="auto"/>
            </w:pPr>
            <w:r>
              <w:rPr>
                <w:sz w:val="16"/>
              </w:rPr>
              <w:t>Tabla de casos según la RM 001/2026 firmada por el cliente el día 1 de la semana 1; dimensiones configurables por gestión (US-18).</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Un caso de prueba sin resultado acordado</w:t>
            </w:r>
          </w:p>
        </w:tc>
        <w:tc>
          <w:tcPr>
            <w:tcW w:w="1900" w:type="dxa"/>
            <w:tcMar>
              <w:top w:w="60" w:type="dxa"/>
              <w:left w:w="100" w:type="dxa"/>
              <w:bottom w:w="60" w:type="dxa"/>
              <w:right w:w="100" w:type="dxa"/>
            </w:tcMar>
            <w:vAlign w:val="center"/>
          </w:tcPr>
          <w:p>
            <w:pPr>
              <w:spacing w:after="0" w:line="260" w:lineRule="auto"/>
            </w:pPr>
            <w:r>
              <w:rPr>
                <w:sz w:val="16"/>
              </w:rPr>
              <w:t>Sesión con el cliente en 24 h; la regla se congela hasta tener acta.</w:t>
            </w:r>
          </w:p>
        </w:tc>
      </w:tr>
      <w:tr>
        <w:trPr>
          <w:cantSplit/>
        </w:trPr>
        <w:tc>
          <w:tcPr>
            <w:tcW w:w="480" w:type="dxa"/>
            <w:tcMar>
              <w:top w:w="60" w:type="dxa"/>
              <w:left w:w="100" w:type="dxa"/>
              <w:bottom w:w="60" w:type="dxa"/>
              <w:right w:w="100" w:type="dxa"/>
            </w:tcMar>
            <w:vAlign w:val="center"/>
          </w:tcPr>
          <w:p>
            <w:pPr>
              <w:spacing w:after="0" w:line="260" w:lineRule="auto"/>
            </w:pPr>
            <w:r>
              <w:rPr>
                <w:sz w:val="16"/>
              </w:rPr>
              <w:t>R03</w:t>
            </w:r>
          </w:p>
        </w:tc>
        <w:tc>
          <w:tcPr>
            <w:tcW w:w="1700" w:type="dxa"/>
            <w:tcMar>
              <w:top w:w="60" w:type="dxa"/>
              <w:left w:w="100" w:type="dxa"/>
              <w:bottom w:w="60" w:type="dxa"/>
              <w:right w:w="100" w:type="dxa"/>
            </w:tcMar>
            <w:vAlign w:val="center"/>
          </w:tcPr>
          <w:p>
            <w:pPr>
              <w:spacing w:after="0" w:line="260" w:lineRule="auto"/>
            </w:pPr>
            <w:r>
              <w:rPr>
                <w:sz w:val="16"/>
              </w:rPr>
              <w:t>Deuda técnica por presión de cronograma</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6 Alto</w:t>
            </w:r>
          </w:p>
        </w:tc>
        <w:tc>
          <w:tcPr>
            <w:tcW w:w="2350" w:type="dxa"/>
            <w:tcMar>
              <w:top w:w="60" w:type="dxa"/>
              <w:left w:w="100" w:type="dxa"/>
              <w:bottom w:w="60" w:type="dxa"/>
              <w:right w:w="100" w:type="dxa"/>
            </w:tcMar>
            <w:vAlign w:val="center"/>
          </w:tcPr>
          <w:p>
            <w:pPr>
              <w:spacing w:after="0" w:line="260" w:lineRule="auto"/>
            </w:pPr>
            <w:r>
              <w:rPr>
                <w:sz w:val="16"/>
              </w:rPr>
              <w:t>Quality Gate bloqueante (M05, M07); 10 % de las horas de cada sprint para refactorizar.</w:t>
            </w:r>
          </w:p>
        </w:tc>
        <w:tc>
          <w:tcPr>
            <w:tcW w:w="700" w:type="dxa"/>
            <w:tcMar>
              <w:top w:w="60" w:type="dxa"/>
              <w:left w:w="100" w:type="dxa"/>
              <w:bottom w:w="60" w:type="dxa"/>
              <w:right w:w="100" w:type="dxa"/>
            </w:tcMar>
            <w:vAlign w:val="center"/>
          </w:tcPr>
          <w:p>
            <w:pPr>
              <w:spacing w:after="0" w:line="260" w:lineRule="auto"/>
            </w:pPr>
            <w:r>
              <w:rPr>
                <w:sz w:val="16"/>
              </w:rPr>
              <w:t>Galvan</w:t>
            </w:r>
          </w:p>
        </w:tc>
        <w:tc>
          <w:tcPr>
            <w:tcW w:w="1640" w:type="dxa"/>
            <w:tcMar>
              <w:top w:w="60" w:type="dxa"/>
              <w:left w:w="100" w:type="dxa"/>
              <w:bottom w:w="60" w:type="dxa"/>
              <w:right w:w="100" w:type="dxa"/>
            </w:tcMar>
            <w:vAlign w:val="center"/>
          </w:tcPr>
          <w:p>
            <w:pPr>
              <w:spacing w:after="0" w:line="260" w:lineRule="auto"/>
            </w:pPr>
            <w:r>
              <w:rPr>
                <w:sz w:val="16"/>
              </w:rPr>
              <w:t>Quality Gate en rojo en 2 PR seguidos</w:t>
            </w:r>
          </w:p>
        </w:tc>
        <w:tc>
          <w:tcPr>
            <w:tcW w:w="1900" w:type="dxa"/>
            <w:tcMar>
              <w:top w:w="60" w:type="dxa"/>
              <w:left w:w="100" w:type="dxa"/>
              <w:bottom w:w="60" w:type="dxa"/>
              <w:right w:w="100" w:type="dxa"/>
            </w:tcMar>
            <w:vAlign w:val="center"/>
          </w:tcPr>
          <w:p>
            <w:pPr>
              <w:spacing w:after="0" w:line="260" w:lineRule="auto"/>
            </w:pPr>
            <w:r>
              <w:rPr>
                <w:sz w:val="16"/>
              </w:rPr>
              <w:t>Medio día del sprint siguiente solo para estabilizar.</w:t>
            </w:r>
          </w:p>
        </w:tc>
      </w:tr>
      <w:tr>
        <w:trPr>
          <w:cantSplit/>
        </w:trPr>
        <w:tc>
          <w:tcPr>
            <w:tcW w:w="480" w:type="dxa"/>
            <w:tcMar>
              <w:top w:w="60" w:type="dxa"/>
              <w:left w:w="100" w:type="dxa"/>
              <w:bottom w:w="60" w:type="dxa"/>
              <w:right w:w="100" w:type="dxa"/>
            </w:tcMar>
            <w:vAlign w:val="center"/>
          </w:tcPr>
          <w:p>
            <w:pPr>
              <w:spacing w:after="0" w:line="260" w:lineRule="auto"/>
            </w:pPr>
            <w:r>
              <w:rPr>
                <w:sz w:val="16"/>
              </w:rPr>
              <w:t>R04</w:t>
            </w:r>
          </w:p>
        </w:tc>
        <w:tc>
          <w:tcPr>
            <w:tcW w:w="1700" w:type="dxa"/>
            <w:tcMar>
              <w:top w:w="60" w:type="dxa"/>
              <w:left w:w="100" w:type="dxa"/>
              <w:bottom w:w="60" w:type="dxa"/>
              <w:right w:w="100" w:type="dxa"/>
            </w:tcMar>
            <w:vAlign w:val="center"/>
          </w:tcPr>
          <w:p>
            <w:pPr>
              <w:spacing w:after="0" w:line="260" w:lineRule="auto"/>
            </w:pPr>
            <w:r>
              <w:rPr>
                <w:sz w:val="16"/>
              </w:rPr>
              <w:t>Jenkins no disponible (corre en la computadora de Lujan) y bloquea los merges a main</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6 Alto</w:t>
            </w:r>
          </w:p>
        </w:tc>
        <w:tc>
          <w:tcPr>
            <w:tcW w:w="2350" w:type="dxa"/>
            <w:tcMar>
              <w:top w:w="60" w:type="dxa"/>
              <w:left w:w="100" w:type="dxa"/>
              <w:bottom w:w="60" w:type="dxa"/>
              <w:right w:w="100" w:type="dxa"/>
            </w:tcMar>
            <w:vAlign w:val="center"/>
          </w:tcPr>
          <w:p>
            <w:pPr>
              <w:spacing w:after="0" w:line="260" w:lineRule="auto"/>
            </w:pPr>
            <w:r>
              <w:rPr>
                <w:sz w:val="16"/>
              </w:rPr>
              <w:t xml:space="preserve">Jenkins en Docker con </w:t>
            </w:r>
            <w:r>
              <w:rPr>
                <w:rFonts w:ascii="Consolas" w:hAnsi="Consolas" w:cs="Consolas"/>
                <w:sz w:val="15"/>
              </w:rPr>
              <w:t>jenkins/Dockerfile</w:t>
            </w:r>
            <w:r>
              <w:rPr>
                <w:sz w:val="16"/>
              </w:rPr>
              <w:t xml:space="preserve"> y </w:t>
            </w:r>
            <w:r>
              <w:rPr>
                <w:rFonts w:ascii="Consolas" w:hAnsi="Consolas" w:cs="Consolas"/>
                <w:sz w:val="15"/>
              </w:rPr>
              <w:t>docker-compose.yml</w:t>
            </w:r>
            <w:r>
              <w:rPr>
                <w:sz w:val="16"/>
              </w:rPr>
              <w:t xml:space="preserve"> versionados; reinstalación desde cero probada en la semana 1, día 2; respaldo de </w:t>
            </w:r>
            <w:r>
              <w:rPr>
                <w:rFonts w:ascii="Consolas" w:hAnsi="Consolas" w:cs="Consolas"/>
                <w:sz w:val="15"/>
              </w:rPr>
              <w:t>jenkins_home</w:t>
            </w:r>
            <w:r>
              <w:rPr>
                <w:sz w:val="16"/>
              </w:rPr>
              <w:t xml:space="preserve"> cada día 5; computadora encendida en horario hábil.</w:t>
            </w:r>
          </w:p>
        </w:tc>
        <w:tc>
          <w:tcPr>
            <w:tcW w:w="700" w:type="dxa"/>
            <w:tcMar>
              <w:top w:w="60" w:type="dxa"/>
              <w:left w:w="100" w:type="dxa"/>
              <w:bottom w:w="60" w:type="dxa"/>
              <w:right w:w="100" w:type="dxa"/>
            </w:tcMar>
            <w:vAlign w:val="center"/>
          </w:tcPr>
          <w:p>
            <w:pPr>
              <w:spacing w:after="0" w:line="260" w:lineRule="auto"/>
            </w:pPr>
            <w:r>
              <w:rPr>
                <w:sz w:val="16"/>
              </w:rPr>
              <w:t>Galvan</w:t>
            </w:r>
          </w:p>
        </w:tc>
        <w:tc>
          <w:tcPr>
            <w:tcW w:w="1640" w:type="dxa"/>
            <w:tcMar>
              <w:top w:w="60" w:type="dxa"/>
              <w:left w:w="100" w:type="dxa"/>
              <w:bottom w:w="60" w:type="dxa"/>
              <w:right w:w="100" w:type="dxa"/>
            </w:tcMar>
            <w:vAlign w:val="center"/>
          </w:tcPr>
          <w:p>
            <w:pPr>
              <w:spacing w:after="0" w:line="260" w:lineRule="auto"/>
            </w:pPr>
            <w:r>
              <w:rPr>
                <w:sz w:val="16"/>
              </w:rPr>
              <w:t>Jenkins caído más de 2 horas hábiles</w:t>
            </w:r>
          </w:p>
        </w:tc>
        <w:tc>
          <w:tcPr>
            <w:tcW w:w="1900" w:type="dxa"/>
            <w:tcMar>
              <w:top w:w="60" w:type="dxa"/>
              <w:left w:w="100" w:type="dxa"/>
              <w:bottom w:w="60" w:type="dxa"/>
              <w:right w:w="100" w:type="dxa"/>
            </w:tcMar>
            <w:vAlign w:val="center"/>
          </w:tcPr>
          <w:p>
            <w:pPr>
              <w:spacing w:after="0" w:line="260" w:lineRule="auto"/>
            </w:pPr>
            <w:r>
              <w:rPr>
                <w:sz w:val="16"/>
              </w:rPr>
              <w:t xml:space="preserve">Reinstalar en la computadora de Galvan desde </w:t>
            </w:r>
            <w:r>
              <w:rPr>
                <w:rFonts w:ascii="Consolas" w:hAnsi="Consolas" w:cs="Consolas"/>
                <w:sz w:val="15"/>
              </w:rPr>
              <w:t>jenkins/</w:t>
            </w:r>
            <w:r>
              <w:rPr>
                <w:sz w:val="16"/>
              </w:rPr>
              <w:t xml:space="preserve"> y restaurar </w:t>
            </w:r>
            <w:r>
              <w:rPr>
                <w:rFonts w:ascii="Consolas" w:hAnsi="Consolas" w:cs="Consolas"/>
                <w:sz w:val="15"/>
              </w:rPr>
              <w:t>jenkins_home</w:t>
            </w:r>
            <w:r>
              <w:rPr>
                <w:sz w:val="16"/>
              </w:rPr>
              <w:t>; mientras tanto, nada se fusiona a main.</w:t>
            </w:r>
          </w:p>
        </w:tc>
      </w:tr>
      <w:tr>
        <w:trPr>
          <w:cantSplit/>
        </w:trPr>
        <w:tc>
          <w:tcPr>
            <w:tcW w:w="480" w:type="dxa"/>
            <w:tcMar>
              <w:top w:w="60" w:type="dxa"/>
              <w:left w:w="100" w:type="dxa"/>
              <w:bottom w:w="60" w:type="dxa"/>
              <w:right w:w="100" w:type="dxa"/>
            </w:tcMar>
            <w:vAlign w:val="center"/>
          </w:tcPr>
          <w:p>
            <w:pPr>
              <w:spacing w:after="0" w:line="260" w:lineRule="auto"/>
            </w:pPr>
            <w:r>
              <w:rPr>
                <w:sz w:val="16"/>
              </w:rPr>
              <w:t>R05</w:t>
            </w:r>
          </w:p>
        </w:tc>
        <w:tc>
          <w:tcPr>
            <w:tcW w:w="1700" w:type="dxa"/>
            <w:tcMar>
              <w:top w:w="60" w:type="dxa"/>
              <w:left w:w="100" w:type="dxa"/>
              <w:bottom w:w="60" w:type="dxa"/>
              <w:right w:w="100" w:type="dxa"/>
            </w:tcMar>
            <w:vAlign w:val="center"/>
          </w:tcPr>
          <w:p>
            <w:pPr>
              <w:spacing w:after="0" w:line="260" w:lineRule="auto"/>
            </w:pPr>
            <w:r>
              <w:rPr>
                <w:sz w:val="16"/>
              </w:rPr>
              <w:t>Lentitud o fallas al generar boletines en el cierre de trimestre</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9 Alto</w:t>
            </w:r>
          </w:p>
        </w:tc>
        <w:tc>
          <w:tcPr>
            <w:tcW w:w="2350" w:type="dxa"/>
            <w:tcMar>
              <w:top w:w="60" w:type="dxa"/>
              <w:left w:w="100" w:type="dxa"/>
              <w:bottom w:w="60" w:type="dxa"/>
              <w:right w:w="100" w:type="dxa"/>
            </w:tcMar>
            <w:vAlign w:val="center"/>
          </w:tcPr>
          <w:p>
            <w:pPr>
              <w:spacing w:after="0" w:line="260" w:lineRule="auto"/>
            </w:pPr>
            <w:r>
              <w:rPr>
                <w:sz w:val="16"/>
              </w:rPr>
              <w:t>Cola BullMQ para cursos de más de 50 estudiantes (tarea de la semana 3); prueba de carga en cada RC (M03, M04).</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p95 &gt; 2000 ms o tasa de error ≥ 1 % en la etapa Rendimiento</w:t>
            </w:r>
          </w:p>
        </w:tc>
        <w:tc>
          <w:tcPr>
            <w:tcW w:w="1900" w:type="dxa"/>
            <w:tcMar>
              <w:top w:w="60" w:type="dxa"/>
              <w:left w:w="100" w:type="dxa"/>
              <w:bottom w:w="60" w:type="dxa"/>
              <w:right w:w="100" w:type="dxa"/>
            </w:tcMar>
            <w:vAlign w:val="center"/>
          </w:tcPr>
          <w:p>
            <w:pPr>
              <w:spacing w:after="0" w:line="260" w:lineRule="auto"/>
            </w:pPr>
            <w:r>
              <w:rPr>
                <w:sz w:val="16"/>
              </w:rPr>
              <w:t>Generación diferida con aviso al profesor cuando el PDF está listo.</w:t>
            </w:r>
          </w:p>
        </w:tc>
      </w:tr>
      <w:tr>
        <w:trPr>
          <w:cantSplit/>
        </w:trPr>
        <w:tc>
          <w:tcPr>
            <w:tcW w:w="480" w:type="dxa"/>
            <w:tcMar>
              <w:top w:w="60" w:type="dxa"/>
              <w:left w:w="100" w:type="dxa"/>
              <w:bottom w:w="60" w:type="dxa"/>
              <w:right w:w="100" w:type="dxa"/>
            </w:tcMar>
            <w:vAlign w:val="center"/>
          </w:tcPr>
          <w:p>
            <w:pPr>
              <w:spacing w:after="0" w:line="260" w:lineRule="auto"/>
            </w:pPr>
            <w:r>
              <w:rPr>
                <w:sz w:val="16"/>
              </w:rPr>
              <w:t>R06</w:t>
            </w:r>
          </w:p>
        </w:tc>
        <w:tc>
          <w:tcPr>
            <w:tcW w:w="1700" w:type="dxa"/>
            <w:tcMar>
              <w:top w:w="60" w:type="dxa"/>
              <w:left w:w="100" w:type="dxa"/>
              <w:bottom w:w="60" w:type="dxa"/>
              <w:right w:w="100" w:type="dxa"/>
            </w:tcMar>
            <w:vAlign w:val="center"/>
          </w:tcPr>
          <w:p>
            <w:pPr>
              <w:spacing w:after="0" w:line="260" w:lineRule="auto"/>
            </w:pPr>
            <w:r>
              <w:rPr>
                <w:sz w:val="16"/>
              </w:rPr>
              <w:t>Vulnerabilidad crítica en una dependencia</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6 Alto</w:t>
            </w:r>
          </w:p>
        </w:tc>
        <w:tc>
          <w:tcPr>
            <w:tcW w:w="2350" w:type="dxa"/>
            <w:tcMar>
              <w:top w:w="60" w:type="dxa"/>
              <w:left w:w="100" w:type="dxa"/>
              <w:bottom w:w="60" w:type="dxa"/>
              <w:right w:w="100" w:type="dxa"/>
            </w:tcMar>
            <w:vAlign w:val="center"/>
          </w:tcPr>
          <w:p>
            <w:pPr>
              <w:spacing w:after="0" w:line="260" w:lineRule="auto"/>
            </w:pPr>
            <w:r>
              <w:rPr>
                <w:sz w:val="16"/>
              </w:rPr>
              <w:t xml:space="preserve">Dependabot semanal y </w:t>
            </w:r>
            <w:r>
              <w:rPr>
                <w:rFonts w:ascii="Consolas" w:hAnsi="Consolas" w:cs="Consolas"/>
                <w:sz w:val="15"/>
              </w:rPr>
              <w:t>npm audit</w:t>
            </w:r>
            <w:r>
              <w:rPr>
                <w:sz w:val="16"/>
              </w:rPr>
              <w:t xml:space="preserve"> en cada PR (M08); revisión mensual de la hoja de componentes.</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Alerta alta o crítica</w:t>
            </w:r>
          </w:p>
        </w:tc>
        <w:tc>
          <w:tcPr>
            <w:tcW w:w="1900" w:type="dxa"/>
            <w:tcMar>
              <w:top w:w="60" w:type="dxa"/>
              <w:left w:w="100" w:type="dxa"/>
              <w:bottom w:w="60" w:type="dxa"/>
              <w:right w:w="100" w:type="dxa"/>
            </w:tcMar>
            <w:vAlign w:val="center"/>
          </w:tcPr>
          <w:p>
            <w:pPr>
              <w:spacing w:after="0" w:line="260" w:lineRule="auto"/>
            </w:pPr>
            <w:r>
              <w:rPr>
                <w:sz w:val="16"/>
              </w:rPr>
              <w:t>Fijar la última versión segura o reemplazar la librería en 48 h.</w:t>
            </w:r>
          </w:p>
        </w:tc>
      </w:tr>
      <w:tr>
        <w:trPr>
          <w:cantSplit/>
        </w:trPr>
        <w:tc>
          <w:tcPr>
            <w:tcW w:w="480" w:type="dxa"/>
            <w:tcMar>
              <w:top w:w="60" w:type="dxa"/>
              <w:left w:w="100" w:type="dxa"/>
              <w:bottom w:w="60" w:type="dxa"/>
              <w:right w:w="100" w:type="dxa"/>
            </w:tcMar>
            <w:vAlign w:val="center"/>
          </w:tcPr>
          <w:p>
            <w:pPr>
              <w:spacing w:after="0" w:line="260" w:lineRule="auto"/>
            </w:pPr>
            <w:r>
              <w:rPr>
                <w:sz w:val="16"/>
              </w:rPr>
              <w:t>R07</w:t>
            </w:r>
          </w:p>
        </w:tc>
        <w:tc>
          <w:tcPr>
            <w:tcW w:w="1700" w:type="dxa"/>
            <w:tcMar>
              <w:top w:w="60" w:type="dxa"/>
              <w:left w:w="100" w:type="dxa"/>
              <w:bottom w:w="60" w:type="dxa"/>
              <w:right w:w="100" w:type="dxa"/>
            </w:tcMar>
            <w:vAlign w:val="center"/>
          </w:tcPr>
          <w:p>
            <w:pPr>
              <w:spacing w:after="0" w:line="260" w:lineRule="auto"/>
            </w:pPr>
            <w:r>
              <w:rPr>
                <w:sz w:val="16"/>
              </w:rPr>
              <w:t>Datos reales de estudiantes (menores) en ambientes de prueba o en el repositorio</w:t>
            </w:r>
          </w:p>
        </w:tc>
        <w:tc>
          <w:tcPr>
            <w:tcW w:w="330" w:type="dxa"/>
            <w:tcMar>
              <w:top w:w="60" w:type="dxa"/>
              <w:left w:w="100" w:type="dxa"/>
              <w:bottom w:w="60" w:type="dxa"/>
              <w:right w:w="100" w:type="dxa"/>
            </w:tcMar>
            <w:vAlign w:val="center"/>
          </w:tcPr>
          <w:p>
            <w:pPr>
              <w:spacing w:after="0" w:line="260" w:lineRule="auto"/>
              <w:jc w:val="center"/>
            </w:pPr>
            <w:r>
              <w:rPr>
                <w:sz w:val="16"/>
              </w:rPr>
              <w:t>1</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3 Medio</w:t>
            </w:r>
          </w:p>
        </w:tc>
        <w:tc>
          <w:tcPr>
            <w:tcW w:w="2350" w:type="dxa"/>
            <w:tcMar>
              <w:top w:w="60" w:type="dxa"/>
              <w:left w:w="100" w:type="dxa"/>
              <w:bottom w:w="60" w:type="dxa"/>
              <w:right w:w="100" w:type="dxa"/>
            </w:tcMar>
            <w:vAlign w:val="center"/>
          </w:tcPr>
          <w:p>
            <w:pPr>
              <w:spacing w:after="0" w:line="260" w:lineRule="auto"/>
            </w:pPr>
            <w:r>
              <w:rPr>
                <w:sz w:val="16"/>
              </w:rPr>
              <w:t>Seeds sintéticos con faker; prohibido copiar la base de producción; revisión en cada PR.</w:t>
            </w:r>
          </w:p>
        </w:tc>
        <w:tc>
          <w:tcPr>
            <w:tcW w:w="700" w:type="dxa"/>
            <w:tcMar>
              <w:top w:w="60" w:type="dxa"/>
              <w:left w:w="100" w:type="dxa"/>
              <w:bottom w:w="60" w:type="dxa"/>
              <w:right w:w="100" w:type="dxa"/>
            </w:tcMar>
            <w:vAlign w:val="center"/>
          </w:tcPr>
          <w:p>
            <w:pPr>
              <w:spacing w:after="0" w:line="260" w:lineRule="auto"/>
            </w:pPr>
            <w:r>
              <w:rPr>
                <w:sz w:val="16"/>
              </w:rPr>
              <w:t>Galvan</w:t>
            </w:r>
          </w:p>
        </w:tc>
        <w:tc>
          <w:tcPr>
            <w:tcW w:w="1640" w:type="dxa"/>
            <w:tcMar>
              <w:top w:w="60" w:type="dxa"/>
              <w:left w:w="100" w:type="dxa"/>
              <w:bottom w:w="60" w:type="dxa"/>
              <w:right w:w="100" w:type="dxa"/>
            </w:tcMar>
            <w:vAlign w:val="center"/>
          </w:tcPr>
          <w:p>
            <w:pPr>
              <w:spacing w:after="0" w:line="260" w:lineRule="auto"/>
            </w:pPr>
            <w:r>
              <w:rPr>
                <w:sz w:val="16"/>
              </w:rPr>
              <w:t>Aparece un nombre o documento real fuera de producción</w:t>
            </w:r>
          </w:p>
        </w:tc>
        <w:tc>
          <w:tcPr>
            <w:tcW w:w="1900" w:type="dxa"/>
            <w:tcMar>
              <w:top w:w="60" w:type="dxa"/>
              <w:left w:w="100" w:type="dxa"/>
              <w:bottom w:w="60" w:type="dxa"/>
              <w:right w:w="100" w:type="dxa"/>
            </w:tcMar>
            <w:vAlign w:val="center"/>
          </w:tcPr>
          <w:p>
            <w:pPr>
              <w:spacing w:after="0" w:line="260" w:lineRule="auto"/>
            </w:pPr>
            <w:r>
              <w:rPr>
                <w:sz w:val="16"/>
              </w:rPr>
              <w:t>Borrar los datos, rotar credenciales, reescribir el artefacto e informar al docente.</w:t>
            </w:r>
          </w:p>
        </w:tc>
      </w:tr>
      <w:tr>
        <w:trPr>
          <w:cantSplit/>
        </w:trPr>
        <w:tc>
          <w:tcPr>
            <w:tcW w:w="480" w:type="dxa"/>
            <w:tcMar>
              <w:top w:w="60" w:type="dxa"/>
              <w:left w:w="100" w:type="dxa"/>
              <w:bottom w:w="60" w:type="dxa"/>
              <w:right w:w="100" w:type="dxa"/>
            </w:tcMar>
            <w:vAlign w:val="center"/>
          </w:tcPr>
          <w:p>
            <w:pPr>
              <w:spacing w:after="0" w:line="260" w:lineRule="auto"/>
            </w:pPr>
            <w:r>
              <w:rPr>
                <w:sz w:val="16"/>
              </w:rPr>
              <w:t>R08</w:t>
            </w:r>
          </w:p>
        </w:tc>
        <w:tc>
          <w:tcPr>
            <w:tcW w:w="1700" w:type="dxa"/>
            <w:tcMar>
              <w:top w:w="60" w:type="dxa"/>
              <w:left w:w="100" w:type="dxa"/>
              <w:bottom w:w="60" w:type="dxa"/>
              <w:right w:w="100" w:type="dxa"/>
            </w:tcMar>
            <w:vAlign w:val="center"/>
          </w:tcPr>
          <w:p>
            <w:pPr>
              <w:spacing w:after="0" w:line="260" w:lineRule="auto"/>
            </w:pPr>
            <w:r>
              <w:rPr>
                <w:sz w:val="16"/>
              </w:rPr>
              <w:t>Curva de aprendizaje de NestJS, TypeORM y React con TypeScript</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650" w:type="dxa"/>
            <w:tcMar>
              <w:top w:w="60" w:type="dxa"/>
              <w:left w:w="100" w:type="dxa"/>
              <w:bottom w:w="60" w:type="dxa"/>
              <w:right w:w="100" w:type="dxa"/>
            </w:tcMar>
            <w:vAlign w:val="center"/>
          </w:tcPr>
          <w:p>
            <w:pPr>
              <w:spacing w:after="0" w:line="260" w:lineRule="auto"/>
              <w:jc w:val="center"/>
            </w:pPr>
            <w:r>
              <w:rPr>
                <w:sz w:val="16"/>
              </w:rPr>
              <w:t>6 Alto</w:t>
            </w:r>
          </w:p>
        </w:tc>
        <w:tc>
          <w:tcPr>
            <w:tcW w:w="2350" w:type="dxa"/>
            <w:tcMar>
              <w:top w:w="60" w:type="dxa"/>
              <w:left w:w="100" w:type="dxa"/>
              <w:bottom w:w="60" w:type="dxa"/>
              <w:right w:w="100" w:type="dxa"/>
            </w:tcMar>
            <w:vAlign w:val="center"/>
          </w:tcPr>
          <w:p>
            <w:pPr>
              <w:spacing w:after="0" w:line="260" w:lineRule="auto"/>
            </w:pPr>
            <w:r>
              <w:rPr>
                <w:sz w:val="16"/>
              </w:rPr>
              <w:t>Sesiones de capacitación de la semana 1 (Sección 13); módulo de ejemplo con TDD antes de US-01.</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Una tarea supera el doble de sus horas estimadas</w:t>
            </w:r>
          </w:p>
        </w:tc>
        <w:tc>
          <w:tcPr>
            <w:tcW w:w="1900" w:type="dxa"/>
            <w:tcMar>
              <w:top w:w="60" w:type="dxa"/>
              <w:left w:w="100" w:type="dxa"/>
              <w:bottom w:w="60" w:type="dxa"/>
              <w:right w:w="100" w:type="dxa"/>
            </w:tcMar>
            <w:vAlign w:val="center"/>
          </w:tcPr>
          <w:p>
            <w:pPr>
              <w:spacing w:after="0" w:line="260" w:lineRule="auto"/>
            </w:pPr>
            <w:r>
              <w:rPr>
                <w:sz w:val="16"/>
              </w:rPr>
              <w:t>Pair programming inmediato y reestimación en la planificación siguiente.</w:t>
            </w:r>
          </w:p>
        </w:tc>
      </w:tr>
      <w:tr>
        <w:trPr>
          <w:cantSplit/>
        </w:trPr>
        <w:tc>
          <w:tcPr>
            <w:tcW w:w="480" w:type="dxa"/>
            <w:tcMar>
              <w:top w:w="60" w:type="dxa"/>
              <w:left w:w="100" w:type="dxa"/>
              <w:bottom w:w="60" w:type="dxa"/>
              <w:right w:w="100" w:type="dxa"/>
            </w:tcMar>
            <w:vAlign w:val="center"/>
          </w:tcPr>
          <w:p>
            <w:pPr>
              <w:spacing w:after="0" w:line="260" w:lineRule="auto"/>
            </w:pPr>
            <w:r>
              <w:rPr>
                <w:sz w:val="16"/>
              </w:rPr>
              <w:t>R09</w:t>
            </w:r>
          </w:p>
        </w:tc>
        <w:tc>
          <w:tcPr>
            <w:tcW w:w="1700" w:type="dxa"/>
            <w:tcMar>
              <w:top w:w="60" w:type="dxa"/>
              <w:left w:w="100" w:type="dxa"/>
              <w:bottom w:w="60" w:type="dxa"/>
              <w:right w:w="100" w:type="dxa"/>
            </w:tcMar>
            <w:vAlign w:val="center"/>
          </w:tcPr>
          <w:p>
            <w:pPr>
              <w:spacing w:after="0" w:line="260" w:lineRule="auto"/>
            </w:pPr>
            <w:r>
              <w:rPr>
                <w:sz w:val="16"/>
              </w:rPr>
              <w:t>Velocidad insuficiente para 4 sprints de una semana (la semana 1 está sobrecargada)</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9 Alto</w:t>
            </w:r>
          </w:p>
        </w:tc>
        <w:tc>
          <w:tcPr>
            <w:tcW w:w="2350" w:type="dxa"/>
            <w:tcMar>
              <w:top w:w="60" w:type="dxa"/>
              <w:left w:w="100" w:type="dxa"/>
              <w:bottom w:w="60" w:type="dxa"/>
              <w:right w:w="100" w:type="dxa"/>
            </w:tcMar>
            <w:vAlign w:val="center"/>
          </w:tcPr>
          <w:p>
            <w:pPr>
              <w:spacing w:after="0" w:line="260" w:lineRule="auto"/>
            </w:pPr>
            <w:r>
              <w:rPr>
                <w:sz w:val="16"/>
              </w:rPr>
              <w:t>Medir la velocidad el día 5 de la semana 1; regla de recorte acordada: salen primero US-08 y US-12 (prioridad baja).</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Menos del 80 % de los puntos de la semana 1 terminados</w:t>
            </w:r>
          </w:p>
        </w:tc>
        <w:tc>
          <w:tcPr>
            <w:tcW w:w="1900" w:type="dxa"/>
            <w:tcMar>
              <w:top w:w="60" w:type="dxa"/>
              <w:left w:w="100" w:type="dxa"/>
              <w:bottom w:w="60" w:type="dxa"/>
              <w:right w:w="100" w:type="dxa"/>
            </w:tcMar>
            <w:vAlign w:val="center"/>
          </w:tcPr>
          <w:p>
            <w:pPr>
              <w:spacing w:after="0" w:line="260" w:lineRule="auto"/>
            </w:pPr>
            <w:r>
              <w:rPr>
                <w:sz w:val="16"/>
              </w:rPr>
              <w:t>Aplicar el recorte y comunicarlo al cliente y al docente en la revisión del sprint.</w:t>
            </w:r>
          </w:p>
        </w:tc>
      </w:tr>
      <w:tr>
        <w:trPr>
          <w:cantSplit/>
        </w:trPr>
        <w:tc>
          <w:tcPr>
            <w:tcW w:w="480" w:type="dxa"/>
            <w:tcMar>
              <w:top w:w="60" w:type="dxa"/>
              <w:left w:w="100" w:type="dxa"/>
              <w:bottom w:w="60" w:type="dxa"/>
              <w:right w:w="100" w:type="dxa"/>
            </w:tcMar>
            <w:vAlign w:val="center"/>
          </w:tcPr>
          <w:p>
            <w:pPr>
              <w:spacing w:after="0" w:line="260" w:lineRule="auto"/>
            </w:pPr>
            <w:r>
              <w:rPr>
                <w:sz w:val="16"/>
              </w:rPr>
              <w:t>R10</w:t>
            </w:r>
          </w:p>
        </w:tc>
        <w:tc>
          <w:tcPr>
            <w:tcW w:w="1700" w:type="dxa"/>
            <w:tcMar>
              <w:top w:w="60" w:type="dxa"/>
              <w:left w:w="100" w:type="dxa"/>
              <w:bottom w:w="60" w:type="dxa"/>
              <w:right w:w="100" w:type="dxa"/>
            </w:tcMar>
            <w:vAlign w:val="center"/>
          </w:tcPr>
          <w:p>
            <w:pPr>
              <w:spacing w:after="0" w:line="260" w:lineRule="auto"/>
            </w:pPr>
            <w:r>
              <w:rPr>
                <w:sz w:val="16"/>
              </w:rPr>
              <w:t>Límites del plan gratuito de Render (base que vence a los 30 días, sin respaldos, suspensión)</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650" w:type="dxa"/>
            <w:tcMar>
              <w:top w:w="60" w:type="dxa"/>
              <w:left w:w="100" w:type="dxa"/>
              <w:bottom w:w="60" w:type="dxa"/>
              <w:right w:w="100" w:type="dxa"/>
            </w:tcMar>
            <w:vAlign w:val="center"/>
          </w:tcPr>
          <w:p>
            <w:pPr>
              <w:spacing w:after="0" w:line="260" w:lineRule="auto"/>
              <w:jc w:val="center"/>
            </w:pPr>
            <w:r>
              <w:rPr>
                <w:sz w:val="16"/>
              </w:rPr>
              <w:t>4 Medio</w:t>
            </w:r>
          </w:p>
        </w:tc>
        <w:tc>
          <w:tcPr>
            <w:tcW w:w="2350" w:type="dxa"/>
            <w:tcMar>
              <w:top w:w="60" w:type="dxa"/>
              <w:left w:w="100" w:type="dxa"/>
              <w:bottom w:w="60" w:type="dxa"/>
              <w:right w:w="100" w:type="dxa"/>
            </w:tcMar>
            <w:vAlign w:val="center"/>
          </w:tcPr>
          <w:p>
            <w:pPr>
              <w:spacing w:after="0" w:line="260" w:lineRule="auto"/>
            </w:pPr>
            <w:r>
              <w:rPr>
                <w:sz w:val="16"/>
              </w:rPr>
              <w:t>Respaldo diario cifrado y restauración probada (M14); monitor de disponibilidad (M13).</w:t>
            </w:r>
          </w:p>
        </w:tc>
        <w:tc>
          <w:tcPr>
            <w:tcW w:w="700" w:type="dxa"/>
            <w:tcMar>
              <w:top w:w="60" w:type="dxa"/>
              <w:left w:w="100" w:type="dxa"/>
              <w:bottom w:w="60" w:type="dxa"/>
              <w:right w:w="100" w:type="dxa"/>
            </w:tcMar>
            <w:vAlign w:val="center"/>
          </w:tcPr>
          <w:p>
            <w:pPr>
              <w:spacing w:after="0" w:line="260" w:lineRule="auto"/>
            </w:pPr>
            <w:r>
              <w:rPr>
                <w:sz w:val="16"/>
              </w:rPr>
              <w:t>Galvan</w:t>
            </w:r>
          </w:p>
        </w:tc>
        <w:tc>
          <w:tcPr>
            <w:tcW w:w="1640" w:type="dxa"/>
            <w:tcMar>
              <w:top w:w="60" w:type="dxa"/>
              <w:left w:w="100" w:type="dxa"/>
              <w:bottom w:w="60" w:type="dxa"/>
              <w:right w:w="100" w:type="dxa"/>
            </w:tcMar>
            <w:vAlign w:val="center"/>
          </w:tcPr>
          <w:p>
            <w:pPr>
              <w:spacing w:after="0" w:line="260" w:lineRule="auto"/>
            </w:pPr>
            <w:r>
              <w:rPr>
                <w:sz w:val="16"/>
              </w:rPr>
              <w:t>Aviso de vencimiento o restauración fallida</w:t>
            </w:r>
          </w:p>
        </w:tc>
        <w:tc>
          <w:tcPr>
            <w:tcW w:w="1900" w:type="dxa"/>
            <w:tcMar>
              <w:top w:w="60" w:type="dxa"/>
              <w:left w:w="100" w:type="dxa"/>
              <w:bottom w:w="60" w:type="dxa"/>
              <w:right w:w="100" w:type="dxa"/>
            </w:tcMar>
            <w:vAlign w:val="center"/>
          </w:tcPr>
          <w:p>
            <w:pPr>
              <w:spacing w:after="0" w:line="260" w:lineRule="auto"/>
            </w:pPr>
            <w:r>
              <w:rPr>
                <w:sz w:val="16"/>
              </w:rPr>
              <w:t>Restaurar el último respaldo en otro PostgreSQL administrado y actualizar el secreto.</w:t>
            </w:r>
          </w:p>
        </w:tc>
      </w:tr>
      <w:tr>
        <w:trPr>
          <w:cantSplit/>
        </w:trPr>
        <w:tc>
          <w:tcPr>
            <w:tcW w:w="480" w:type="dxa"/>
            <w:tcMar>
              <w:top w:w="60" w:type="dxa"/>
              <w:left w:w="100" w:type="dxa"/>
              <w:bottom w:w="60" w:type="dxa"/>
              <w:right w:w="100" w:type="dxa"/>
            </w:tcMar>
            <w:vAlign w:val="center"/>
          </w:tcPr>
          <w:p>
            <w:pPr>
              <w:spacing w:after="0" w:line="260" w:lineRule="auto"/>
            </w:pPr>
            <w:r>
              <w:rPr>
                <w:sz w:val="16"/>
              </w:rPr>
              <w:t>R11</w:t>
            </w:r>
          </w:p>
        </w:tc>
        <w:tc>
          <w:tcPr>
            <w:tcW w:w="1700" w:type="dxa"/>
            <w:tcMar>
              <w:top w:w="60" w:type="dxa"/>
              <w:left w:w="100" w:type="dxa"/>
              <w:bottom w:w="60" w:type="dxa"/>
              <w:right w:w="100" w:type="dxa"/>
            </w:tcMar>
            <w:vAlign w:val="center"/>
          </w:tcPr>
          <w:p>
            <w:pPr>
              <w:spacing w:after="0" w:line="260" w:lineRule="auto"/>
            </w:pPr>
            <w:r>
              <w:rPr>
                <w:sz w:val="16"/>
              </w:rPr>
              <w:t>Cambio de la normativa de evaluación durante la gestión</w:t>
            </w:r>
          </w:p>
        </w:tc>
        <w:tc>
          <w:tcPr>
            <w:tcW w:w="330" w:type="dxa"/>
            <w:tcMar>
              <w:top w:w="60" w:type="dxa"/>
              <w:left w:w="100" w:type="dxa"/>
              <w:bottom w:w="60" w:type="dxa"/>
              <w:right w:w="100" w:type="dxa"/>
            </w:tcMar>
            <w:vAlign w:val="center"/>
          </w:tcPr>
          <w:p>
            <w:pPr>
              <w:spacing w:after="0" w:line="260" w:lineRule="auto"/>
              <w:jc w:val="center"/>
            </w:pPr>
            <w:r>
              <w:rPr>
                <w:sz w:val="16"/>
              </w:rPr>
              <w:t>1</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3 Medio</w:t>
            </w:r>
          </w:p>
        </w:tc>
        <w:tc>
          <w:tcPr>
            <w:tcW w:w="2350" w:type="dxa"/>
            <w:tcMar>
              <w:top w:w="60" w:type="dxa"/>
              <w:left w:w="100" w:type="dxa"/>
              <w:bottom w:w="60" w:type="dxa"/>
              <w:right w:w="100" w:type="dxa"/>
            </w:tcMar>
            <w:vAlign w:val="center"/>
          </w:tcPr>
          <w:p>
            <w:pPr>
              <w:spacing w:after="0" w:line="260" w:lineRule="auto"/>
            </w:pPr>
            <w:r>
              <w:rPr>
                <w:sz w:val="16"/>
              </w:rPr>
              <w:t>Puntajes de dimensiones como parámetros por gestión, no en el código (US-18).</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Nueva resolución del Ministerio</w:t>
            </w:r>
          </w:p>
        </w:tc>
        <w:tc>
          <w:tcPr>
            <w:tcW w:w="1900" w:type="dxa"/>
            <w:tcMar>
              <w:top w:w="60" w:type="dxa"/>
              <w:left w:w="100" w:type="dxa"/>
              <w:bottom w:w="60" w:type="dxa"/>
              <w:right w:w="100" w:type="dxa"/>
            </w:tcMar>
            <w:vAlign w:val="center"/>
          </w:tcPr>
          <w:p>
            <w:pPr>
              <w:spacing w:after="0" w:line="260" w:lineRule="auto"/>
            </w:pPr>
            <w:r>
              <w:rPr>
                <w:sz w:val="16"/>
              </w:rPr>
              <w:t>Configurar la nueva gestión y agregar sus casos a la tabla firmada.</w:t>
            </w:r>
          </w:p>
        </w:tc>
      </w:tr>
      <w:tr>
        <w:trPr>
          <w:cantSplit/>
        </w:trPr>
        <w:tc>
          <w:tcPr>
            <w:tcW w:w="480" w:type="dxa"/>
            <w:tcMar>
              <w:top w:w="60" w:type="dxa"/>
              <w:left w:w="100" w:type="dxa"/>
              <w:bottom w:w="60" w:type="dxa"/>
              <w:right w:w="100" w:type="dxa"/>
            </w:tcMar>
            <w:vAlign w:val="center"/>
          </w:tcPr>
          <w:p>
            <w:pPr>
              <w:spacing w:after="0" w:line="260" w:lineRule="auto"/>
            </w:pPr>
            <w:r>
              <w:rPr>
                <w:sz w:val="16"/>
              </w:rPr>
              <w:t>R12</w:t>
            </w:r>
          </w:p>
        </w:tc>
        <w:tc>
          <w:tcPr>
            <w:tcW w:w="1700" w:type="dxa"/>
            <w:tcMar>
              <w:top w:w="60" w:type="dxa"/>
              <w:left w:w="100" w:type="dxa"/>
              <w:bottom w:w="60" w:type="dxa"/>
              <w:right w:w="100" w:type="dxa"/>
            </w:tcMar>
            <w:vAlign w:val="center"/>
          </w:tcPr>
          <w:p>
            <w:pPr>
              <w:spacing w:after="0" w:line="260" w:lineRule="auto"/>
            </w:pPr>
            <w:r>
              <w:rPr>
                <w:sz w:val="16"/>
              </w:rPr>
              <w:t>Exposición de un secreto (token o URL de base de datos)</w:t>
            </w:r>
          </w:p>
        </w:tc>
        <w:tc>
          <w:tcPr>
            <w:tcW w:w="330" w:type="dxa"/>
            <w:tcMar>
              <w:top w:w="60" w:type="dxa"/>
              <w:left w:w="100" w:type="dxa"/>
              <w:bottom w:w="60" w:type="dxa"/>
              <w:right w:w="100" w:type="dxa"/>
            </w:tcMar>
            <w:vAlign w:val="center"/>
          </w:tcPr>
          <w:p>
            <w:pPr>
              <w:spacing w:after="0" w:line="260" w:lineRule="auto"/>
              <w:jc w:val="center"/>
            </w:pPr>
            <w:r>
              <w:rPr>
                <w:sz w:val="16"/>
              </w:rPr>
              <w:t>1</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3 Medio</w:t>
            </w:r>
          </w:p>
        </w:tc>
        <w:tc>
          <w:tcPr>
            <w:tcW w:w="2350" w:type="dxa"/>
            <w:tcMar>
              <w:top w:w="60" w:type="dxa"/>
              <w:left w:w="100" w:type="dxa"/>
              <w:bottom w:w="60" w:type="dxa"/>
              <w:right w:w="100" w:type="dxa"/>
            </w:tcMar>
            <w:vAlign w:val="center"/>
          </w:tcPr>
          <w:p>
            <w:pPr>
              <w:spacing w:after="0" w:line="260" w:lineRule="auto"/>
            </w:pPr>
            <w:r>
              <w:rPr>
                <w:sz w:val="16"/>
              </w:rPr>
              <w:t xml:space="preserve">Secretos solo en Jenkins Credentials (y GitHub Secrets para respaldos); </w:t>
            </w:r>
            <w:r>
              <w:rPr>
                <w:rFonts w:ascii="Consolas" w:hAnsi="Consolas" w:cs="Consolas"/>
                <w:sz w:val="15"/>
              </w:rPr>
              <w:t>withCredentials</w:t>
            </w:r>
            <w:r>
              <w:rPr>
                <w:sz w:val="16"/>
              </w:rPr>
              <w:t xml:space="preserve"> enmascara su valor en la consola; escaneo de secretos de GitHub activado.</w:t>
            </w:r>
          </w:p>
        </w:tc>
        <w:tc>
          <w:tcPr>
            <w:tcW w:w="700" w:type="dxa"/>
            <w:tcMar>
              <w:top w:w="60" w:type="dxa"/>
              <w:left w:w="100" w:type="dxa"/>
              <w:bottom w:w="60" w:type="dxa"/>
              <w:right w:w="100" w:type="dxa"/>
            </w:tcMar>
            <w:vAlign w:val="center"/>
          </w:tcPr>
          <w:p>
            <w:pPr>
              <w:spacing w:after="0" w:line="260" w:lineRule="auto"/>
            </w:pPr>
            <w:r>
              <w:rPr>
                <w:sz w:val="16"/>
              </w:rPr>
              <w:t>Galvan</w:t>
            </w:r>
          </w:p>
        </w:tc>
        <w:tc>
          <w:tcPr>
            <w:tcW w:w="1640" w:type="dxa"/>
            <w:tcMar>
              <w:top w:w="60" w:type="dxa"/>
              <w:left w:w="100" w:type="dxa"/>
              <w:bottom w:w="60" w:type="dxa"/>
              <w:right w:w="100" w:type="dxa"/>
            </w:tcMar>
            <w:vAlign w:val="center"/>
          </w:tcPr>
          <w:p>
            <w:pPr>
              <w:spacing w:after="0" w:line="260" w:lineRule="auto"/>
            </w:pPr>
            <w:r>
              <w:rPr>
                <w:sz w:val="16"/>
              </w:rPr>
              <w:t>Alerta de escaneo de secretos o secreto visible en un log</w:t>
            </w:r>
          </w:p>
        </w:tc>
        <w:tc>
          <w:tcPr>
            <w:tcW w:w="1900" w:type="dxa"/>
            <w:tcMar>
              <w:top w:w="60" w:type="dxa"/>
              <w:left w:w="100" w:type="dxa"/>
              <w:bottom w:w="60" w:type="dxa"/>
              <w:right w:w="100" w:type="dxa"/>
            </w:tcMar>
            <w:vAlign w:val="center"/>
          </w:tcPr>
          <w:p>
            <w:pPr>
              <w:spacing w:after="0" w:line="260" w:lineRule="auto"/>
            </w:pPr>
            <w:r>
              <w:rPr>
                <w:sz w:val="16"/>
              </w:rPr>
              <w:t>Rotar en menos de 1 hora hábil y registrar un defecto S1.</w:t>
            </w:r>
          </w:p>
        </w:tc>
      </w:tr>
      <w:tr>
        <w:trPr>
          <w:cantSplit/>
        </w:trPr>
        <w:tc>
          <w:tcPr>
            <w:tcW w:w="480" w:type="dxa"/>
            <w:tcMar>
              <w:top w:w="60" w:type="dxa"/>
              <w:left w:w="100" w:type="dxa"/>
              <w:bottom w:w="60" w:type="dxa"/>
              <w:right w:w="100" w:type="dxa"/>
            </w:tcMar>
            <w:vAlign w:val="center"/>
          </w:tcPr>
          <w:p>
            <w:pPr>
              <w:spacing w:after="0" w:line="260" w:lineRule="auto"/>
            </w:pPr>
            <w:r>
              <w:rPr>
                <w:sz w:val="16"/>
              </w:rPr>
              <w:t>R13</w:t>
            </w:r>
          </w:p>
        </w:tc>
        <w:tc>
          <w:tcPr>
            <w:tcW w:w="1700" w:type="dxa"/>
            <w:tcMar>
              <w:top w:w="60" w:type="dxa"/>
              <w:left w:w="100" w:type="dxa"/>
              <w:bottom w:w="60" w:type="dxa"/>
              <w:right w:w="100" w:type="dxa"/>
            </w:tcMar>
            <w:vAlign w:val="center"/>
          </w:tcPr>
          <w:p>
            <w:pPr>
              <w:spacing w:after="0" w:line="260" w:lineRule="auto"/>
            </w:pPr>
            <w:r>
              <w:rPr>
                <w:sz w:val="16"/>
              </w:rPr>
              <w:t>Cliente no disponible para inspección, demo o aceptación</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3</w:t>
            </w:r>
          </w:p>
        </w:tc>
        <w:tc>
          <w:tcPr>
            <w:tcW w:w="650" w:type="dxa"/>
            <w:tcMar>
              <w:top w:w="60" w:type="dxa"/>
              <w:left w:w="100" w:type="dxa"/>
              <w:bottom w:w="60" w:type="dxa"/>
              <w:right w:w="100" w:type="dxa"/>
            </w:tcMar>
            <w:vAlign w:val="center"/>
          </w:tcPr>
          <w:p>
            <w:pPr>
              <w:spacing w:after="0" w:line="260" w:lineRule="auto"/>
              <w:jc w:val="center"/>
            </w:pPr>
            <w:r>
              <w:rPr>
                <w:sz w:val="16"/>
              </w:rPr>
              <w:t>6 Alto</w:t>
            </w:r>
          </w:p>
        </w:tc>
        <w:tc>
          <w:tcPr>
            <w:tcW w:w="2350" w:type="dxa"/>
            <w:tcMar>
              <w:top w:w="60" w:type="dxa"/>
              <w:left w:w="100" w:type="dxa"/>
              <w:bottom w:w="60" w:type="dxa"/>
              <w:right w:w="100" w:type="dxa"/>
            </w:tcMar>
            <w:vAlign w:val="center"/>
          </w:tcPr>
          <w:p>
            <w:pPr>
              <w:spacing w:after="0" w:line="260" w:lineRule="auto"/>
            </w:pPr>
            <w:r>
              <w:rPr>
                <w:sz w:val="16"/>
              </w:rPr>
              <w:t>Calendario de revisiones acordado con el cliente el día 1 de la semana 1, con un suplente nombrado.</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El cliente cancela una revisión</w:t>
            </w:r>
          </w:p>
        </w:tc>
        <w:tc>
          <w:tcPr>
            <w:tcW w:w="1900" w:type="dxa"/>
            <w:tcMar>
              <w:top w:w="60" w:type="dxa"/>
              <w:left w:w="100" w:type="dxa"/>
              <w:bottom w:w="60" w:type="dxa"/>
              <w:right w:w="100" w:type="dxa"/>
            </w:tcMar>
            <w:vAlign w:val="center"/>
          </w:tcPr>
          <w:p>
            <w:pPr>
              <w:spacing w:after="0" w:line="260" w:lineRule="auto"/>
            </w:pPr>
            <w:r>
              <w:rPr>
                <w:sz w:val="16"/>
              </w:rPr>
              <w:t>Revisión asíncrona sobre staging con un plazo de 24 h; si no hay respuesta, se escala al docente.</w:t>
            </w:r>
          </w:p>
        </w:tc>
      </w:tr>
      <w:tr>
        <w:trPr>
          <w:cantSplit/>
        </w:trPr>
        <w:tc>
          <w:tcPr>
            <w:tcW w:w="480" w:type="dxa"/>
            <w:tcMar>
              <w:top w:w="60" w:type="dxa"/>
              <w:left w:w="100" w:type="dxa"/>
              <w:bottom w:w="60" w:type="dxa"/>
              <w:right w:w="100" w:type="dxa"/>
            </w:tcMar>
            <w:vAlign w:val="center"/>
          </w:tcPr>
          <w:p>
            <w:pPr>
              <w:spacing w:after="0" w:line="260" w:lineRule="auto"/>
            </w:pPr>
            <w:r>
              <w:rPr>
                <w:sz w:val="16"/>
              </w:rPr>
              <w:t>R14</w:t>
            </w:r>
          </w:p>
        </w:tc>
        <w:tc>
          <w:tcPr>
            <w:tcW w:w="1700" w:type="dxa"/>
            <w:tcMar>
              <w:top w:w="60" w:type="dxa"/>
              <w:left w:w="100" w:type="dxa"/>
              <w:bottom w:w="60" w:type="dxa"/>
              <w:right w:w="100" w:type="dxa"/>
            </w:tcMar>
            <w:vAlign w:val="center"/>
          </w:tcPr>
          <w:p>
            <w:pPr>
              <w:spacing w:after="0" w:line="260" w:lineRule="auto"/>
            </w:pPr>
            <w:r>
              <w:rPr>
                <w:sz w:val="16"/>
              </w:rPr>
              <w:t>Cambios de historias tarde en el sprint</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330" w:type="dxa"/>
            <w:tcMar>
              <w:top w:w="60" w:type="dxa"/>
              <w:left w:w="100" w:type="dxa"/>
              <w:bottom w:w="60" w:type="dxa"/>
              <w:right w:w="100" w:type="dxa"/>
            </w:tcMar>
            <w:vAlign w:val="center"/>
          </w:tcPr>
          <w:p>
            <w:pPr>
              <w:spacing w:after="0" w:line="260" w:lineRule="auto"/>
              <w:jc w:val="center"/>
            </w:pPr>
            <w:r>
              <w:rPr>
                <w:sz w:val="16"/>
              </w:rPr>
              <w:t>2</w:t>
            </w:r>
          </w:p>
        </w:tc>
        <w:tc>
          <w:tcPr>
            <w:tcW w:w="650" w:type="dxa"/>
            <w:tcMar>
              <w:top w:w="60" w:type="dxa"/>
              <w:left w:w="100" w:type="dxa"/>
              <w:bottom w:w="60" w:type="dxa"/>
              <w:right w:w="100" w:type="dxa"/>
            </w:tcMar>
            <w:vAlign w:val="center"/>
          </w:tcPr>
          <w:p>
            <w:pPr>
              <w:spacing w:after="0" w:line="260" w:lineRule="auto"/>
              <w:jc w:val="center"/>
            </w:pPr>
            <w:r>
              <w:rPr>
                <w:sz w:val="16"/>
              </w:rPr>
              <w:t>4 Medio</w:t>
            </w:r>
          </w:p>
        </w:tc>
        <w:tc>
          <w:tcPr>
            <w:tcW w:w="2350" w:type="dxa"/>
            <w:tcMar>
              <w:top w:w="60" w:type="dxa"/>
              <w:left w:w="100" w:type="dxa"/>
              <w:bottom w:w="60" w:type="dxa"/>
              <w:right w:w="100" w:type="dxa"/>
            </w:tcMar>
            <w:vAlign w:val="center"/>
          </w:tcPr>
          <w:p>
            <w:pPr>
              <w:spacing w:after="0" w:line="260" w:lineRule="auto"/>
            </w:pPr>
            <w:r>
              <w:rPr>
                <w:sz w:val="16"/>
              </w:rPr>
              <w:t>Procedimiento de cambio de la Sección 10.7: solo entra si no compromete el objetivo del sprint.</w:t>
            </w:r>
          </w:p>
        </w:tc>
        <w:tc>
          <w:tcPr>
            <w:tcW w:w="700" w:type="dxa"/>
            <w:tcMar>
              <w:top w:w="60" w:type="dxa"/>
              <w:left w:w="100" w:type="dxa"/>
              <w:bottom w:w="60" w:type="dxa"/>
              <w:right w:w="100" w:type="dxa"/>
            </w:tcMar>
            <w:vAlign w:val="center"/>
          </w:tcPr>
          <w:p>
            <w:pPr>
              <w:spacing w:after="0" w:line="260" w:lineRule="auto"/>
            </w:pPr>
            <w:r>
              <w:rPr>
                <w:sz w:val="16"/>
              </w:rPr>
              <w:t>Lujan</w:t>
            </w:r>
          </w:p>
        </w:tc>
        <w:tc>
          <w:tcPr>
            <w:tcW w:w="1640" w:type="dxa"/>
            <w:tcMar>
              <w:top w:w="60" w:type="dxa"/>
              <w:left w:w="100" w:type="dxa"/>
              <w:bottom w:w="60" w:type="dxa"/>
              <w:right w:w="100" w:type="dxa"/>
            </w:tcMar>
            <w:vAlign w:val="center"/>
          </w:tcPr>
          <w:p>
            <w:pPr>
              <w:spacing w:after="0" w:line="260" w:lineRule="auto"/>
            </w:pPr>
            <w:r>
              <w:rPr>
                <w:sz w:val="16"/>
              </w:rPr>
              <w:t>Solicitud de cambio después del día 3</w:t>
            </w:r>
          </w:p>
        </w:tc>
        <w:tc>
          <w:tcPr>
            <w:tcW w:w="1900" w:type="dxa"/>
            <w:tcMar>
              <w:top w:w="60" w:type="dxa"/>
              <w:left w:w="100" w:type="dxa"/>
              <w:bottom w:w="60" w:type="dxa"/>
              <w:right w:w="100" w:type="dxa"/>
            </w:tcMar>
            <w:vAlign w:val="center"/>
          </w:tcPr>
          <w:p>
            <w:pPr>
              <w:spacing w:after="0" w:line="260" w:lineRule="auto"/>
            </w:pPr>
            <w:r>
              <w:rPr>
                <w:sz w:val="16"/>
              </w:rPr>
              <w:t>El cambio pasa al sprint siguiente o a la Release 2.</w:t>
            </w:r>
          </w:p>
        </w:tc>
      </w:tr>
    </w:tbl>
    <w:p>
      <w:pPr>
        <w:spacing w:after="60" w:line="276" w:lineRule="auto"/>
      </w:pPr>
    </w:p>
    <w:p>
      <w:pPr>
        <w:pStyle w:val="Ttulo1"/>
      </w:pPr>
      <w:r>
        <w:t>15. Glosario</w:t>
      </w:r>
    </w:p>
    <w:p>
      <w:pPr>
        <w:spacing w:after="120" w:line="276" w:lineRule="auto"/>
      </w:pPr>
      <w:r>
        <w:t>Términos del dominio (primera parte de la tabla) y técnicos (segunda parte). El código, la interfaz y las pruebas usan estos mismos términos.</w:t>
      </w:r>
    </w:p>
    <w:p>
      <w:pPr>
        <w:keepNext/>
        <w:spacing w:before="120" w:after="80" w:line="276" w:lineRule="auto"/>
      </w:pPr>
      <w:r>
        <w:rPr>
          <w:b/>
          <w:color w:val="1F4E79"/>
          <w:sz w:val="19"/>
        </w:rPr>
        <w:t xml:space="preserve">Tabla 30. </w:t>
      </w:r>
      <w:r>
        <w:rPr>
          <w:color w:val="595959"/>
          <w:sz w:val="19"/>
        </w:rPr>
        <w:t>Glosario</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7480"/>
      </w:tblGrid>
      <w:tr>
        <w:trPr>
          <w:cantSplit/>
          <w:tblHeader/>
        </w:trPr>
        <w:tc>
          <w:tcPr>
            <w:tcW w:w="2600" w:type="dxa"/>
            <w:shd w:val="clear" w:color="auto" w:fill="DDEBF7"/>
            <w:tcMar>
              <w:top w:w="60" w:type="dxa"/>
              <w:left w:w="100" w:type="dxa"/>
              <w:bottom w:w="60" w:type="dxa"/>
              <w:right w:w="100" w:type="dxa"/>
            </w:tcMar>
          </w:tcPr>
          <w:p>
            <w:pPr>
              <w:spacing w:after="0" w:line="260" w:lineRule="auto"/>
            </w:pPr>
            <w:r>
              <w:rPr>
                <w:b/>
                <w:sz w:val="19"/>
              </w:rPr>
              <w:t>Término</w:t>
            </w:r>
          </w:p>
        </w:tc>
        <w:tc>
          <w:tcPr>
            <w:tcW w:w="7480" w:type="dxa"/>
            <w:shd w:val="clear" w:color="auto" w:fill="DDEBF7"/>
            <w:tcMar>
              <w:top w:w="60" w:type="dxa"/>
              <w:left w:w="100" w:type="dxa"/>
              <w:bottom w:w="60" w:type="dxa"/>
              <w:right w:w="100" w:type="dxa"/>
            </w:tcMar>
          </w:tcPr>
          <w:p>
            <w:pPr>
              <w:spacing w:after="0" w:line="260" w:lineRule="auto"/>
            </w:pPr>
            <w:r>
              <w:rPr>
                <w:b/>
                <w:sz w:val="19"/>
              </w:rPr>
              <w:t>Definición</w:t>
            </w:r>
          </w:p>
        </w:tc>
      </w:tr>
      <w:tr>
        <w:trPr>
          <w:cantSplit/>
        </w:trPr>
        <w:tc>
          <w:tcPr>
            <w:tcW w:w="2600" w:type="dxa"/>
            <w:tcMar>
              <w:top w:w="60" w:type="dxa"/>
              <w:left w:w="100" w:type="dxa"/>
              <w:bottom w:w="60" w:type="dxa"/>
              <w:right w:w="100" w:type="dxa"/>
            </w:tcMar>
            <w:vAlign w:val="center"/>
          </w:tcPr>
          <w:p>
            <w:pPr>
              <w:spacing w:after="0" w:line="260" w:lineRule="auto"/>
            </w:pPr>
            <w:r>
              <w:rPr>
                <w:sz w:val="19"/>
              </w:rPr>
              <w:t>Actividad</w:t>
            </w:r>
          </w:p>
        </w:tc>
        <w:tc>
          <w:tcPr>
            <w:tcW w:w="7480" w:type="dxa"/>
            <w:tcMar>
              <w:top w:w="60" w:type="dxa"/>
              <w:left w:w="100" w:type="dxa"/>
              <w:bottom w:w="60" w:type="dxa"/>
              <w:right w:w="100" w:type="dxa"/>
            </w:tcMar>
            <w:vAlign w:val="center"/>
          </w:tcPr>
          <w:p>
            <w:pPr>
              <w:spacing w:after="0" w:line="260" w:lineRule="auto"/>
            </w:pPr>
            <w:r>
              <w:rPr>
                <w:sz w:val="19"/>
              </w:rPr>
              <w:t>Tarea evaluada (examen, práctica, exposición) dentro de una dimensión; se califica de 1 a 100.</w:t>
            </w:r>
          </w:p>
        </w:tc>
      </w:tr>
      <w:tr>
        <w:trPr>
          <w:cantSplit/>
        </w:trPr>
        <w:tc>
          <w:tcPr>
            <w:tcW w:w="2600" w:type="dxa"/>
            <w:tcMar>
              <w:top w:w="60" w:type="dxa"/>
              <w:left w:w="100" w:type="dxa"/>
              <w:bottom w:w="60" w:type="dxa"/>
              <w:right w:w="100" w:type="dxa"/>
            </w:tcMar>
            <w:vAlign w:val="center"/>
          </w:tcPr>
          <w:p>
            <w:pPr>
              <w:spacing w:after="0" w:line="260" w:lineRule="auto"/>
            </w:pPr>
            <w:r>
              <w:rPr>
                <w:sz w:val="19"/>
              </w:rPr>
              <w:t>Año de escolaridad</w:t>
            </w:r>
          </w:p>
        </w:tc>
        <w:tc>
          <w:tcPr>
            <w:tcW w:w="7480" w:type="dxa"/>
            <w:tcMar>
              <w:top w:w="60" w:type="dxa"/>
              <w:left w:w="100" w:type="dxa"/>
              <w:bottom w:w="60" w:type="dxa"/>
              <w:right w:w="100" w:type="dxa"/>
            </w:tcMar>
            <w:vAlign w:val="center"/>
          </w:tcPr>
          <w:p>
            <w:pPr>
              <w:spacing w:after="0" w:line="260" w:lineRule="auto"/>
            </w:pPr>
            <w:r>
              <w:rPr>
                <w:sz w:val="19"/>
              </w:rPr>
              <w:t>Grado que cursa el estudiante dentro de su nivel (por ejemplo, 3.º de Secundaria).</w:t>
            </w:r>
          </w:p>
        </w:tc>
      </w:tr>
      <w:tr>
        <w:trPr>
          <w:cantSplit/>
        </w:trPr>
        <w:tc>
          <w:tcPr>
            <w:tcW w:w="2600" w:type="dxa"/>
            <w:tcMar>
              <w:top w:w="60" w:type="dxa"/>
              <w:left w:w="100" w:type="dxa"/>
              <w:bottom w:w="60" w:type="dxa"/>
              <w:right w:w="100" w:type="dxa"/>
            </w:tcMar>
            <w:vAlign w:val="center"/>
          </w:tcPr>
          <w:p>
            <w:pPr>
              <w:spacing w:after="0" w:line="260" w:lineRule="auto"/>
            </w:pPr>
            <w:r>
              <w:rPr>
                <w:sz w:val="19"/>
              </w:rPr>
              <w:t>Autoevaluación</w:t>
            </w:r>
          </w:p>
        </w:tc>
        <w:tc>
          <w:tcPr>
            <w:tcW w:w="7480" w:type="dxa"/>
            <w:tcMar>
              <w:top w:w="60" w:type="dxa"/>
              <w:left w:w="100" w:type="dxa"/>
              <w:bottom w:w="60" w:type="dxa"/>
              <w:right w:w="100" w:type="dxa"/>
            </w:tcMar>
            <w:vAlign w:val="center"/>
          </w:tcPr>
          <w:p>
            <w:pPr>
              <w:spacing w:after="0" w:line="260" w:lineRule="auto"/>
            </w:pPr>
            <w:r>
              <w:rPr>
                <w:sz w:val="19"/>
              </w:rPr>
              <w:t>Dimensión en la que el estudiante valora su propio desempeño; 5 puntos según la RM 001/2026.</w:t>
            </w:r>
          </w:p>
        </w:tc>
      </w:tr>
      <w:tr>
        <w:trPr>
          <w:cantSplit/>
        </w:trPr>
        <w:tc>
          <w:tcPr>
            <w:tcW w:w="2600" w:type="dxa"/>
            <w:tcMar>
              <w:top w:w="60" w:type="dxa"/>
              <w:left w:w="100" w:type="dxa"/>
              <w:bottom w:w="60" w:type="dxa"/>
              <w:right w:w="100" w:type="dxa"/>
            </w:tcMar>
            <w:vAlign w:val="center"/>
          </w:tcPr>
          <w:p>
            <w:pPr>
              <w:spacing w:after="0" w:line="260" w:lineRule="auto"/>
            </w:pPr>
            <w:r>
              <w:rPr>
                <w:sz w:val="19"/>
              </w:rPr>
              <w:t>Boletín</w:t>
            </w:r>
          </w:p>
        </w:tc>
        <w:tc>
          <w:tcPr>
            <w:tcW w:w="7480" w:type="dxa"/>
            <w:tcMar>
              <w:top w:w="60" w:type="dxa"/>
              <w:left w:w="100" w:type="dxa"/>
              <w:bottom w:w="60" w:type="dxa"/>
              <w:right w:w="100" w:type="dxa"/>
            </w:tcMar>
            <w:vAlign w:val="center"/>
          </w:tcPr>
          <w:p>
            <w:pPr>
              <w:spacing w:after="0" w:line="260" w:lineRule="auto"/>
            </w:pPr>
            <w:r>
              <w:rPr>
                <w:sz w:val="19"/>
              </w:rPr>
              <w:t>Documento PDF con las notas trimestrales y anuales y la asistencia de un estudiante (US-07).</w:t>
            </w:r>
          </w:p>
        </w:tc>
      </w:tr>
      <w:tr>
        <w:trPr>
          <w:cantSplit/>
        </w:trPr>
        <w:tc>
          <w:tcPr>
            <w:tcW w:w="2600" w:type="dxa"/>
            <w:tcMar>
              <w:top w:w="60" w:type="dxa"/>
              <w:left w:w="100" w:type="dxa"/>
              <w:bottom w:w="60" w:type="dxa"/>
              <w:right w:w="100" w:type="dxa"/>
            </w:tcMar>
            <w:vAlign w:val="center"/>
          </w:tcPr>
          <w:p>
            <w:pPr>
              <w:spacing w:after="0" w:line="260" w:lineRule="auto"/>
            </w:pPr>
            <w:r>
              <w:rPr>
                <w:sz w:val="19"/>
              </w:rPr>
              <w:t>Centralizador</w:t>
            </w:r>
          </w:p>
        </w:tc>
        <w:tc>
          <w:tcPr>
            <w:tcW w:w="7480" w:type="dxa"/>
            <w:tcMar>
              <w:top w:w="60" w:type="dxa"/>
              <w:left w:w="100" w:type="dxa"/>
              <w:bottom w:w="60" w:type="dxa"/>
              <w:right w:w="100" w:type="dxa"/>
            </w:tcMar>
            <w:vAlign w:val="center"/>
          </w:tcPr>
          <w:p>
            <w:pPr>
              <w:spacing w:after="0" w:line="260" w:lineRule="auto"/>
            </w:pPr>
            <w:r>
              <w:rPr>
                <w:sz w:val="19"/>
              </w:rPr>
              <w:t>Planilla consolidada de un curso con las notas de todas sus materias, con el formato oficial (US-09).</w:t>
            </w:r>
          </w:p>
        </w:tc>
      </w:tr>
      <w:tr>
        <w:trPr>
          <w:cantSplit/>
        </w:trPr>
        <w:tc>
          <w:tcPr>
            <w:tcW w:w="2600" w:type="dxa"/>
            <w:tcMar>
              <w:top w:w="60" w:type="dxa"/>
              <w:left w:w="100" w:type="dxa"/>
              <w:bottom w:w="60" w:type="dxa"/>
              <w:right w:w="100" w:type="dxa"/>
            </w:tcMar>
            <w:vAlign w:val="center"/>
          </w:tcPr>
          <w:p>
            <w:pPr>
              <w:spacing w:after="0" w:line="260" w:lineRule="auto"/>
            </w:pPr>
            <w:r>
              <w:rPr>
                <w:sz w:val="19"/>
              </w:rPr>
              <w:t>Código SIE</w:t>
            </w:r>
          </w:p>
        </w:tc>
        <w:tc>
          <w:tcPr>
            <w:tcW w:w="7480" w:type="dxa"/>
            <w:tcMar>
              <w:top w:w="60" w:type="dxa"/>
              <w:left w:w="100" w:type="dxa"/>
              <w:bottom w:w="60" w:type="dxa"/>
              <w:right w:w="100" w:type="dxa"/>
            </w:tcMar>
            <w:vAlign w:val="center"/>
          </w:tcPr>
          <w:p>
            <w:pPr>
              <w:spacing w:after="0" w:line="260" w:lineRule="auto"/>
            </w:pPr>
            <w:r>
              <w:rPr>
                <w:sz w:val="19"/>
              </w:rPr>
              <w:t>Código de la unidad educativa en el Sistema de Información Educativa del Ministerio de Educación.</w:t>
            </w:r>
          </w:p>
        </w:tc>
      </w:tr>
      <w:tr>
        <w:trPr>
          <w:cantSplit/>
        </w:trPr>
        <w:tc>
          <w:tcPr>
            <w:tcW w:w="2600" w:type="dxa"/>
            <w:tcMar>
              <w:top w:w="60" w:type="dxa"/>
              <w:left w:w="100" w:type="dxa"/>
              <w:bottom w:w="60" w:type="dxa"/>
              <w:right w:w="100" w:type="dxa"/>
            </w:tcMar>
            <w:vAlign w:val="center"/>
          </w:tcPr>
          <w:p>
            <w:pPr>
              <w:spacing w:after="0" w:line="260" w:lineRule="auto"/>
            </w:pPr>
            <w:r>
              <w:rPr>
                <w:sz w:val="19"/>
              </w:rPr>
              <w:t>Curso</w:t>
            </w:r>
          </w:p>
        </w:tc>
        <w:tc>
          <w:tcPr>
            <w:tcW w:w="7480" w:type="dxa"/>
            <w:tcMar>
              <w:top w:w="60" w:type="dxa"/>
              <w:left w:w="100" w:type="dxa"/>
              <w:bottom w:w="60" w:type="dxa"/>
              <w:right w:w="100" w:type="dxa"/>
            </w:tcMar>
            <w:vAlign w:val="center"/>
          </w:tcPr>
          <w:p>
            <w:pPr>
              <w:spacing w:after="0" w:line="260" w:lineRule="auto"/>
            </w:pPr>
            <w:r>
              <w:rPr>
                <w:sz w:val="19"/>
              </w:rPr>
              <w:t>Combinación de año de escolaridad y paralelo en una gestión (por ejemplo, 3.º A de Secundaria, 2026).</w:t>
            </w:r>
          </w:p>
        </w:tc>
      </w:tr>
      <w:tr>
        <w:trPr>
          <w:cantSplit/>
        </w:trPr>
        <w:tc>
          <w:tcPr>
            <w:tcW w:w="2600" w:type="dxa"/>
            <w:tcMar>
              <w:top w:w="60" w:type="dxa"/>
              <w:left w:w="100" w:type="dxa"/>
              <w:bottom w:w="60" w:type="dxa"/>
              <w:right w:w="100" w:type="dxa"/>
            </w:tcMar>
            <w:vAlign w:val="center"/>
          </w:tcPr>
          <w:p>
            <w:pPr>
              <w:spacing w:after="0" w:line="260" w:lineRule="auto"/>
            </w:pPr>
            <w:r>
              <w:rPr>
                <w:sz w:val="19"/>
              </w:rPr>
              <w:t>Dimensión</w:t>
            </w:r>
          </w:p>
        </w:tc>
        <w:tc>
          <w:tcPr>
            <w:tcW w:w="7480" w:type="dxa"/>
            <w:tcMar>
              <w:top w:w="60" w:type="dxa"/>
              <w:left w:w="100" w:type="dxa"/>
              <w:bottom w:w="60" w:type="dxa"/>
              <w:right w:w="100" w:type="dxa"/>
            </w:tcMar>
            <w:vAlign w:val="center"/>
          </w:tcPr>
          <w:p>
            <w:pPr>
              <w:spacing w:after="0" w:line="260" w:lineRule="auto"/>
            </w:pPr>
            <w:r>
              <w:rPr>
                <w:sz w:val="19"/>
              </w:rPr>
              <w:t>Componente de la evaluación con puntaje máximo fijado por el Ministerio: Ser, Saber, Hacer y Autoevaluación.</w:t>
            </w:r>
          </w:p>
        </w:tc>
      </w:tr>
      <w:tr>
        <w:trPr>
          <w:cantSplit/>
        </w:trPr>
        <w:tc>
          <w:tcPr>
            <w:tcW w:w="2600" w:type="dxa"/>
            <w:tcMar>
              <w:top w:w="60" w:type="dxa"/>
              <w:left w:w="100" w:type="dxa"/>
              <w:bottom w:w="60" w:type="dxa"/>
              <w:right w:w="100" w:type="dxa"/>
            </w:tcMar>
            <w:vAlign w:val="center"/>
          </w:tcPr>
          <w:p>
            <w:pPr>
              <w:spacing w:after="0" w:line="260" w:lineRule="auto"/>
            </w:pPr>
            <w:r>
              <w:rPr>
                <w:sz w:val="19"/>
              </w:rPr>
              <w:t>Gestión</w:t>
            </w:r>
          </w:p>
        </w:tc>
        <w:tc>
          <w:tcPr>
            <w:tcW w:w="7480" w:type="dxa"/>
            <w:tcMar>
              <w:top w:w="60" w:type="dxa"/>
              <w:left w:w="100" w:type="dxa"/>
              <w:bottom w:w="60" w:type="dxa"/>
              <w:right w:w="100" w:type="dxa"/>
            </w:tcMar>
            <w:vAlign w:val="center"/>
          </w:tcPr>
          <w:p>
            <w:pPr>
              <w:spacing w:after="0" w:line="260" w:lineRule="auto"/>
            </w:pPr>
            <w:r>
              <w:rPr>
                <w:sz w:val="19"/>
              </w:rPr>
              <w:t>Año escolar (por ejemplo, gestión 2026), dividido en tres trimestres.</w:t>
            </w:r>
          </w:p>
        </w:tc>
      </w:tr>
      <w:tr>
        <w:trPr>
          <w:cantSplit/>
        </w:trPr>
        <w:tc>
          <w:tcPr>
            <w:tcW w:w="2600" w:type="dxa"/>
            <w:tcMar>
              <w:top w:w="60" w:type="dxa"/>
              <w:left w:w="100" w:type="dxa"/>
              <w:bottom w:w="60" w:type="dxa"/>
              <w:right w:w="100" w:type="dxa"/>
            </w:tcMar>
            <w:vAlign w:val="center"/>
          </w:tcPr>
          <w:p>
            <w:pPr>
              <w:spacing w:after="0" w:line="260" w:lineRule="auto"/>
            </w:pPr>
            <w:r>
              <w:rPr>
                <w:sz w:val="19"/>
              </w:rPr>
              <w:t>Nivel</w:t>
            </w:r>
          </w:p>
        </w:tc>
        <w:tc>
          <w:tcPr>
            <w:tcW w:w="7480" w:type="dxa"/>
            <w:tcMar>
              <w:top w:w="60" w:type="dxa"/>
              <w:left w:w="100" w:type="dxa"/>
              <w:bottom w:w="60" w:type="dxa"/>
              <w:right w:w="100" w:type="dxa"/>
            </w:tcMar>
            <w:vAlign w:val="center"/>
          </w:tcPr>
          <w:p>
            <w:pPr>
              <w:spacing w:after="0" w:line="260" w:lineRule="auto"/>
            </w:pPr>
            <w:r>
              <w:rPr>
                <w:sz w:val="19"/>
              </w:rPr>
              <w:t>Etapa del Subsistema de Educación Regular: Inicial, Primaria o Secundaria.</w:t>
            </w:r>
          </w:p>
        </w:tc>
      </w:tr>
      <w:tr>
        <w:trPr>
          <w:cantSplit/>
        </w:trPr>
        <w:tc>
          <w:tcPr>
            <w:tcW w:w="2600" w:type="dxa"/>
            <w:tcMar>
              <w:top w:w="60" w:type="dxa"/>
              <w:left w:w="100" w:type="dxa"/>
              <w:bottom w:w="60" w:type="dxa"/>
              <w:right w:w="100" w:type="dxa"/>
            </w:tcMar>
            <w:vAlign w:val="center"/>
          </w:tcPr>
          <w:p>
            <w:pPr>
              <w:spacing w:after="0" w:line="260" w:lineRule="auto"/>
            </w:pPr>
            <w:r>
              <w:rPr>
                <w:sz w:val="19"/>
              </w:rPr>
              <w:t>Nota anual</w:t>
            </w:r>
          </w:p>
        </w:tc>
        <w:tc>
          <w:tcPr>
            <w:tcW w:w="7480" w:type="dxa"/>
            <w:tcMar>
              <w:top w:w="60" w:type="dxa"/>
              <w:left w:w="100" w:type="dxa"/>
              <w:bottom w:w="60" w:type="dxa"/>
              <w:right w:w="100" w:type="dxa"/>
            </w:tcMar>
            <w:vAlign w:val="center"/>
          </w:tcPr>
          <w:p>
            <w:pPr>
              <w:spacing w:after="0" w:line="260" w:lineRule="auto"/>
            </w:pPr>
            <w:r>
              <w:rPr>
                <w:sz w:val="19"/>
              </w:rPr>
              <w:t>Nota de una materia en la gestión, promedio de las tres notas trimestrales redondeado al entero, 0,5 hacia arriba (decisión D3).</w:t>
            </w:r>
          </w:p>
        </w:tc>
      </w:tr>
      <w:tr>
        <w:trPr>
          <w:cantSplit/>
        </w:trPr>
        <w:tc>
          <w:tcPr>
            <w:tcW w:w="2600" w:type="dxa"/>
            <w:tcMar>
              <w:top w:w="60" w:type="dxa"/>
              <w:left w:w="100" w:type="dxa"/>
              <w:bottom w:w="60" w:type="dxa"/>
              <w:right w:w="100" w:type="dxa"/>
            </w:tcMar>
            <w:vAlign w:val="center"/>
          </w:tcPr>
          <w:p>
            <w:pPr>
              <w:spacing w:after="0" w:line="260" w:lineRule="auto"/>
            </w:pPr>
            <w:r>
              <w:rPr>
                <w:sz w:val="19"/>
              </w:rPr>
              <w:t>Nota mínima de aprobación</w:t>
            </w:r>
          </w:p>
        </w:tc>
        <w:tc>
          <w:tcPr>
            <w:tcW w:w="7480" w:type="dxa"/>
            <w:tcMar>
              <w:top w:w="60" w:type="dxa"/>
              <w:left w:w="100" w:type="dxa"/>
              <w:bottom w:w="60" w:type="dxa"/>
              <w:right w:w="100" w:type="dxa"/>
            </w:tcMar>
            <w:vAlign w:val="center"/>
          </w:tcPr>
          <w:p>
            <w:pPr>
              <w:spacing w:after="0" w:line="260" w:lineRule="auto"/>
            </w:pPr>
            <w:r>
              <w:rPr>
                <w:sz w:val="19"/>
              </w:rPr>
              <w:t>51 puntos en la escala de 1 a 100.</w:t>
            </w:r>
          </w:p>
        </w:tc>
      </w:tr>
      <w:tr>
        <w:trPr>
          <w:cantSplit/>
        </w:trPr>
        <w:tc>
          <w:tcPr>
            <w:tcW w:w="2600" w:type="dxa"/>
            <w:tcMar>
              <w:top w:w="60" w:type="dxa"/>
              <w:left w:w="100" w:type="dxa"/>
              <w:bottom w:w="60" w:type="dxa"/>
              <w:right w:w="100" w:type="dxa"/>
            </w:tcMar>
            <w:vAlign w:val="center"/>
          </w:tcPr>
          <w:p>
            <w:pPr>
              <w:spacing w:after="0" w:line="260" w:lineRule="auto"/>
            </w:pPr>
            <w:r>
              <w:rPr>
                <w:sz w:val="19"/>
              </w:rPr>
              <w:t>Nota trimestral</w:t>
            </w:r>
          </w:p>
        </w:tc>
        <w:tc>
          <w:tcPr>
            <w:tcW w:w="7480" w:type="dxa"/>
            <w:tcMar>
              <w:top w:w="60" w:type="dxa"/>
              <w:left w:w="100" w:type="dxa"/>
              <w:bottom w:w="60" w:type="dxa"/>
              <w:right w:w="100" w:type="dxa"/>
            </w:tcMar>
            <w:vAlign w:val="center"/>
          </w:tcPr>
          <w:p>
            <w:pPr>
              <w:spacing w:after="0" w:line="260" w:lineRule="auto"/>
            </w:pPr>
            <w:r>
              <w:rPr>
                <w:sz w:val="19"/>
              </w:rPr>
              <w:t>Suma de los puntos de las cuatro dimensiones, redondeada al entero (US-02).</w:t>
            </w:r>
          </w:p>
        </w:tc>
      </w:tr>
      <w:tr>
        <w:trPr>
          <w:cantSplit/>
        </w:trPr>
        <w:tc>
          <w:tcPr>
            <w:tcW w:w="2600" w:type="dxa"/>
            <w:tcMar>
              <w:top w:w="60" w:type="dxa"/>
              <w:left w:w="100" w:type="dxa"/>
              <w:bottom w:w="60" w:type="dxa"/>
              <w:right w:w="100" w:type="dxa"/>
            </w:tcMar>
            <w:vAlign w:val="center"/>
          </w:tcPr>
          <w:p>
            <w:pPr>
              <w:spacing w:after="0" w:line="260" w:lineRule="auto"/>
            </w:pPr>
            <w:r>
              <w:rPr>
                <w:sz w:val="19"/>
              </w:rPr>
              <w:t>Paralelo</w:t>
            </w:r>
          </w:p>
        </w:tc>
        <w:tc>
          <w:tcPr>
            <w:tcW w:w="7480" w:type="dxa"/>
            <w:tcMar>
              <w:top w:w="60" w:type="dxa"/>
              <w:left w:w="100" w:type="dxa"/>
              <w:bottom w:w="60" w:type="dxa"/>
              <w:right w:w="100" w:type="dxa"/>
            </w:tcMar>
            <w:vAlign w:val="center"/>
          </w:tcPr>
          <w:p>
            <w:pPr>
              <w:spacing w:after="0" w:line="260" w:lineRule="auto"/>
            </w:pPr>
            <w:r>
              <w:rPr>
                <w:sz w:val="19"/>
              </w:rPr>
              <w:t>Grupo dentro de un año de escolaridad (A, B, C…).</w:t>
            </w:r>
          </w:p>
        </w:tc>
      </w:tr>
      <w:tr>
        <w:trPr>
          <w:cantSplit/>
        </w:trPr>
        <w:tc>
          <w:tcPr>
            <w:tcW w:w="2600" w:type="dxa"/>
            <w:tcMar>
              <w:top w:w="60" w:type="dxa"/>
              <w:left w:w="100" w:type="dxa"/>
              <w:bottom w:w="60" w:type="dxa"/>
              <w:right w:w="100" w:type="dxa"/>
            </w:tcMar>
            <w:vAlign w:val="center"/>
          </w:tcPr>
          <w:p>
            <w:pPr>
              <w:spacing w:after="0" w:line="260" w:lineRule="auto"/>
            </w:pPr>
            <w:r>
              <w:rPr>
                <w:sz w:val="19"/>
              </w:rPr>
              <w:t>Trimestre</w:t>
            </w:r>
          </w:p>
        </w:tc>
        <w:tc>
          <w:tcPr>
            <w:tcW w:w="7480" w:type="dxa"/>
            <w:tcMar>
              <w:top w:w="60" w:type="dxa"/>
              <w:left w:w="100" w:type="dxa"/>
              <w:bottom w:w="60" w:type="dxa"/>
              <w:right w:w="100" w:type="dxa"/>
            </w:tcMar>
            <w:vAlign w:val="center"/>
          </w:tcPr>
          <w:p>
            <w:pPr>
              <w:spacing w:after="0" w:line="260" w:lineRule="auto"/>
            </w:pPr>
            <w:r>
              <w:rPr>
                <w:sz w:val="19"/>
              </w:rPr>
              <w:t>Periodo de evaluación; la gestión tiene tres.</w:t>
            </w:r>
          </w:p>
        </w:tc>
      </w:tr>
      <w:tr>
        <w:trPr>
          <w:cantSplit/>
        </w:trPr>
        <w:tc>
          <w:tcPr>
            <w:tcW w:w="2600" w:type="dxa"/>
            <w:tcMar>
              <w:top w:w="60" w:type="dxa"/>
              <w:left w:w="100" w:type="dxa"/>
              <w:bottom w:w="60" w:type="dxa"/>
              <w:right w:w="100" w:type="dxa"/>
            </w:tcMar>
            <w:vAlign w:val="center"/>
          </w:tcPr>
          <w:p>
            <w:pPr>
              <w:spacing w:after="0" w:line="260" w:lineRule="auto"/>
            </w:pPr>
            <w:r>
              <w:rPr>
                <w:sz w:val="19"/>
              </w:rPr>
              <w:t>Unidad educativa</w:t>
            </w:r>
          </w:p>
        </w:tc>
        <w:tc>
          <w:tcPr>
            <w:tcW w:w="7480" w:type="dxa"/>
            <w:tcMar>
              <w:top w:w="60" w:type="dxa"/>
              <w:left w:w="100" w:type="dxa"/>
              <w:bottom w:w="60" w:type="dxa"/>
              <w:right w:w="100" w:type="dxa"/>
            </w:tcMar>
            <w:vAlign w:val="center"/>
          </w:tcPr>
          <w:p>
            <w:pPr>
              <w:spacing w:after="0" w:line="260" w:lineRule="auto"/>
            </w:pPr>
            <w:r>
              <w:rPr>
                <w:sz w:val="19"/>
              </w:rPr>
              <w:t>Institución escolar cliente del sistema.</w:t>
            </w:r>
          </w:p>
        </w:tc>
      </w:tr>
      <w:tr>
        <w:trPr>
          <w:cantSplit/>
        </w:trPr>
        <w:tc>
          <w:tcPr>
            <w:tcW w:w="2600" w:type="dxa"/>
            <w:tcMar>
              <w:top w:w="60" w:type="dxa"/>
              <w:left w:w="100" w:type="dxa"/>
              <w:bottom w:w="60" w:type="dxa"/>
              <w:right w:w="100" w:type="dxa"/>
            </w:tcMar>
            <w:vAlign w:val="center"/>
          </w:tcPr>
          <w:p>
            <w:pPr>
              <w:spacing w:after="0" w:line="260" w:lineRule="auto"/>
            </w:pPr>
            <w:r>
              <w:rPr>
                <w:sz w:val="19"/>
              </w:rPr>
              <w:t>ADR</w:t>
            </w:r>
          </w:p>
        </w:tc>
        <w:tc>
          <w:tcPr>
            <w:tcW w:w="7480" w:type="dxa"/>
            <w:tcMar>
              <w:top w:w="60" w:type="dxa"/>
              <w:left w:w="100" w:type="dxa"/>
              <w:bottom w:w="60" w:type="dxa"/>
              <w:right w:w="100" w:type="dxa"/>
            </w:tcMar>
            <w:vAlign w:val="center"/>
          </w:tcPr>
          <w:p>
            <w:pPr>
              <w:spacing w:after="0" w:line="260" w:lineRule="auto"/>
            </w:pPr>
            <w:r>
              <w:rPr>
                <w:sz w:val="19"/>
              </w:rPr>
              <w:t>Architecture Decision Record: nota breve que registra una decisión de arquitectura, sus alternativas y consecuencias.</w:t>
            </w:r>
          </w:p>
        </w:tc>
      </w:tr>
      <w:tr>
        <w:trPr>
          <w:cantSplit/>
        </w:trPr>
        <w:tc>
          <w:tcPr>
            <w:tcW w:w="2600" w:type="dxa"/>
            <w:tcMar>
              <w:top w:w="60" w:type="dxa"/>
              <w:left w:w="100" w:type="dxa"/>
              <w:bottom w:w="60" w:type="dxa"/>
              <w:right w:w="100" w:type="dxa"/>
            </w:tcMar>
            <w:vAlign w:val="center"/>
          </w:tcPr>
          <w:p>
            <w:pPr>
              <w:spacing w:after="0" w:line="260" w:lineRule="auto"/>
            </w:pPr>
            <w:r>
              <w:rPr>
                <w:sz w:val="19"/>
              </w:rPr>
              <w:t>BDD</w:t>
            </w:r>
          </w:p>
        </w:tc>
        <w:tc>
          <w:tcPr>
            <w:tcW w:w="7480" w:type="dxa"/>
            <w:tcMar>
              <w:top w:w="60" w:type="dxa"/>
              <w:left w:w="100" w:type="dxa"/>
              <w:bottom w:w="60" w:type="dxa"/>
              <w:right w:w="100" w:type="dxa"/>
            </w:tcMar>
            <w:vAlign w:val="center"/>
          </w:tcPr>
          <w:p>
            <w:pPr>
              <w:spacing w:after="0" w:line="260" w:lineRule="auto"/>
            </w:pPr>
            <w:r>
              <w:rPr>
                <w:sz w:val="19"/>
              </w:rPr>
              <w:t>Desarrollo guiado por comportamiento: criterios Dado/Cuando/Entonces que se convierten en pruebas.</w:t>
            </w:r>
          </w:p>
        </w:tc>
      </w:tr>
      <w:tr>
        <w:trPr>
          <w:cantSplit/>
        </w:trPr>
        <w:tc>
          <w:tcPr>
            <w:tcW w:w="2600" w:type="dxa"/>
            <w:tcMar>
              <w:top w:w="60" w:type="dxa"/>
              <w:left w:w="100" w:type="dxa"/>
              <w:bottom w:w="60" w:type="dxa"/>
              <w:right w:w="100" w:type="dxa"/>
            </w:tcMar>
            <w:vAlign w:val="center"/>
          </w:tcPr>
          <w:p>
            <w:pPr>
              <w:spacing w:after="0" w:line="260" w:lineRule="auto"/>
            </w:pPr>
            <w:r>
              <w:rPr>
                <w:sz w:val="19"/>
              </w:rPr>
              <w:t>Conventional Commits</w:t>
            </w:r>
          </w:p>
        </w:tc>
        <w:tc>
          <w:tcPr>
            <w:tcW w:w="7480" w:type="dxa"/>
            <w:tcMar>
              <w:top w:w="60" w:type="dxa"/>
              <w:left w:w="100" w:type="dxa"/>
              <w:bottom w:w="60" w:type="dxa"/>
              <w:right w:w="100" w:type="dxa"/>
            </w:tcMar>
            <w:vAlign w:val="center"/>
          </w:tcPr>
          <w:p>
            <w:pPr>
              <w:spacing w:after="0" w:line="260" w:lineRule="auto"/>
            </w:pPr>
            <w:r>
              <w:rPr>
                <w:sz w:val="19"/>
              </w:rPr>
              <w:t xml:space="preserve">Formato de mensajes de commit </w:t>
            </w:r>
            <w:r>
              <w:rPr>
                <w:rFonts w:ascii="Consolas" w:hAnsi="Consolas" w:cs="Consolas"/>
                <w:sz w:val="18"/>
              </w:rPr>
              <w:t>tipo(ámbito): resumen</w:t>
            </w:r>
            <w:r>
              <w:rPr>
                <w:sz w:val="19"/>
              </w:rPr>
              <w:t xml:space="preserve"> (Sección 10.3).</w:t>
            </w:r>
          </w:p>
        </w:tc>
      </w:tr>
      <w:tr>
        <w:trPr>
          <w:cantSplit/>
        </w:trPr>
        <w:tc>
          <w:tcPr>
            <w:tcW w:w="2600" w:type="dxa"/>
            <w:tcMar>
              <w:top w:w="60" w:type="dxa"/>
              <w:left w:w="100" w:type="dxa"/>
              <w:bottom w:w="60" w:type="dxa"/>
              <w:right w:w="100" w:type="dxa"/>
            </w:tcMar>
            <w:vAlign w:val="center"/>
          </w:tcPr>
          <w:p>
            <w:pPr>
              <w:spacing w:after="0" w:line="260" w:lineRule="auto"/>
            </w:pPr>
            <w:r>
              <w:rPr>
                <w:sz w:val="19"/>
              </w:rPr>
              <w:t>Definition of Done (DoD)</w:t>
            </w:r>
          </w:p>
        </w:tc>
        <w:tc>
          <w:tcPr>
            <w:tcW w:w="7480" w:type="dxa"/>
            <w:tcMar>
              <w:top w:w="60" w:type="dxa"/>
              <w:left w:w="100" w:type="dxa"/>
              <w:bottom w:w="60" w:type="dxa"/>
              <w:right w:w="100" w:type="dxa"/>
            </w:tcMar>
            <w:vAlign w:val="center"/>
          </w:tcPr>
          <w:p>
            <w:pPr>
              <w:spacing w:after="0" w:line="260" w:lineRule="auto"/>
            </w:pPr>
            <w:r>
              <w:rPr>
                <w:sz w:val="19"/>
              </w:rPr>
              <w:t>Condiciones para considerar una historia Hecha (hoja DoR y DoD del backlog).</w:t>
            </w:r>
          </w:p>
        </w:tc>
      </w:tr>
      <w:tr>
        <w:trPr>
          <w:cantSplit/>
        </w:trPr>
        <w:tc>
          <w:tcPr>
            <w:tcW w:w="2600" w:type="dxa"/>
            <w:tcMar>
              <w:top w:w="60" w:type="dxa"/>
              <w:left w:w="100" w:type="dxa"/>
              <w:bottom w:w="60" w:type="dxa"/>
              <w:right w:w="100" w:type="dxa"/>
            </w:tcMar>
            <w:vAlign w:val="center"/>
          </w:tcPr>
          <w:p>
            <w:pPr>
              <w:spacing w:after="0" w:line="260" w:lineRule="auto"/>
            </w:pPr>
            <w:r>
              <w:rPr>
                <w:sz w:val="19"/>
              </w:rPr>
              <w:t>Definition of Ready (DoR)</w:t>
            </w:r>
          </w:p>
        </w:tc>
        <w:tc>
          <w:tcPr>
            <w:tcW w:w="7480" w:type="dxa"/>
            <w:tcMar>
              <w:top w:w="60" w:type="dxa"/>
              <w:left w:w="100" w:type="dxa"/>
              <w:bottom w:w="60" w:type="dxa"/>
              <w:right w:w="100" w:type="dxa"/>
            </w:tcMar>
            <w:vAlign w:val="center"/>
          </w:tcPr>
          <w:p>
            <w:pPr>
              <w:spacing w:after="0" w:line="260" w:lineRule="auto"/>
            </w:pPr>
            <w:r>
              <w:rPr>
                <w:sz w:val="19"/>
              </w:rPr>
              <w:t>Condiciones para que una historia entre a un sprint.</w:t>
            </w:r>
          </w:p>
        </w:tc>
      </w:tr>
      <w:tr>
        <w:trPr>
          <w:cantSplit/>
        </w:trPr>
        <w:tc>
          <w:tcPr>
            <w:tcW w:w="2600" w:type="dxa"/>
            <w:tcMar>
              <w:top w:w="60" w:type="dxa"/>
              <w:left w:w="100" w:type="dxa"/>
              <w:bottom w:w="60" w:type="dxa"/>
              <w:right w:w="100" w:type="dxa"/>
            </w:tcMar>
            <w:vAlign w:val="center"/>
          </w:tcPr>
          <w:p>
            <w:pPr>
              <w:spacing w:after="0" w:line="260" w:lineRule="auto"/>
            </w:pPr>
            <w:r>
              <w:rPr>
                <w:sz w:val="19"/>
              </w:rPr>
              <w:t>Feature test / e2e-spec</w:t>
            </w:r>
          </w:p>
        </w:tc>
        <w:tc>
          <w:tcPr>
            <w:tcW w:w="7480" w:type="dxa"/>
            <w:tcMar>
              <w:top w:w="60" w:type="dxa"/>
              <w:left w:w="100" w:type="dxa"/>
              <w:bottom w:w="60" w:type="dxa"/>
              <w:right w:w="100" w:type="dxa"/>
            </w:tcMar>
            <w:vAlign w:val="center"/>
          </w:tcPr>
          <w:p>
            <w:pPr>
              <w:spacing w:after="0" w:line="260" w:lineRule="auto"/>
            </w:pPr>
            <w:r>
              <w:rPr>
                <w:sz w:val="19"/>
              </w:rPr>
              <w:t>Prueba que ejercita una ruta HTTP completa de la API contra PostgreSQL, con Supertest.</w:t>
            </w:r>
          </w:p>
        </w:tc>
      </w:tr>
      <w:tr>
        <w:trPr>
          <w:cantSplit/>
        </w:trPr>
        <w:tc>
          <w:tcPr>
            <w:tcW w:w="2600" w:type="dxa"/>
            <w:tcMar>
              <w:top w:w="60" w:type="dxa"/>
              <w:left w:w="100" w:type="dxa"/>
              <w:bottom w:w="60" w:type="dxa"/>
              <w:right w:w="100" w:type="dxa"/>
            </w:tcMar>
            <w:vAlign w:val="center"/>
          </w:tcPr>
          <w:p>
            <w:pPr>
              <w:spacing w:after="0" w:line="260" w:lineRule="auto"/>
            </w:pPr>
            <w:r>
              <w:rPr>
                <w:sz w:val="19"/>
              </w:rPr>
              <w:t>Guard</w:t>
            </w:r>
          </w:p>
        </w:tc>
        <w:tc>
          <w:tcPr>
            <w:tcW w:w="7480" w:type="dxa"/>
            <w:tcMar>
              <w:top w:w="60" w:type="dxa"/>
              <w:left w:w="100" w:type="dxa"/>
              <w:bottom w:w="60" w:type="dxa"/>
              <w:right w:w="100" w:type="dxa"/>
            </w:tcMar>
            <w:vAlign w:val="center"/>
          </w:tcPr>
          <w:p>
            <w:pPr>
              <w:spacing w:after="0" w:line="260" w:lineRule="auto"/>
            </w:pPr>
            <w:r>
              <w:rPr>
                <w:sz w:val="19"/>
              </w:rPr>
              <w:t>Componente de NestJS que decide si una petición puede llegar al controlador (autorización).</w:t>
            </w:r>
          </w:p>
        </w:tc>
      </w:tr>
      <w:tr>
        <w:trPr>
          <w:cantSplit/>
        </w:trPr>
        <w:tc>
          <w:tcPr>
            <w:tcW w:w="2600" w:type="dxa"/>
            <w:tcMar>
              <w:top w:w="60" w:type="dxa"/>
              <w:left w:w="100" w:type="dxa"/>
              <w:bottom w:w="60" w:type="dxa"/>
              <w:right w:w="100" w:type="dxa"/>
            </w:tcMar>
            <w:vAlign w:val="center"/>
          </w:tcPr>
          <w:p>
            <w:pPr>
              <w:spacing w:after="0" w:line="260" w:lineRule="auto"/>
            </w:pPr>
            <w:r>
              <w:rPr>
                <w:sz w:val="19"/>
              </w:rPr>
              <w:t>Migración</w:t>
            </w:r>
          </w:p>
        </w:tc>
        <w:tc>
          <w:tcPr>
            <w:tcW w:w="7480" w:type="dxa"/>
            <w:tcMar>
              <w:top w:w="60" w:type="dxa"/>
              <w:left w:w="100" w:type="dxa"/>
              <w:bottom w:w="60" w:type="dxa"/>
              <w:right w:w="100" w:type="dxa"/>
            </w:tcMar>
            <w:vAlign w:val="center"/>
          </w:tcPr>
          <w:p>
            <w:pPr>
              <w:spacing w:after="0" w:line="260" w:lineRule="auto"/>
            </w:pPr>
            <w:r>
              <w:rPr>
                <w:sz w:val="19"/>
              </w:rPr>
              <w:t>Cambio versionado del esquema de la base de datos, generado y aplicado con la CLI de TypeORM (</w:t>
            </w:r>
            <w:r>
              <w:rPr>
                <w:rFonts w:ascii="Consolas" w:hAnsi="Consolas" w:cs="Consolas"/>
                <w:sz w:val="18"/>
              </w:rPr>
              <w:t>api/src/database/migrations/</w:t>
            </w:r>
            <w:r>
              <w:rPr>
                <w:sz w:val="19"/>
              </w:rPr>
              <w:t>).</w:t>
            </w:r>
          </w:p>
        </w:tc>
      </w:tr>
      <w:tr>
        <w:trPr>
          <w:cantSplit/>
        </w:trPr>
        <w:tc>
          <w:tcPr>
            <w:tcW w:w="2600" w:type="dxa"/>
            <w:tcMar>
              <w:top w:w="60" w:type="dxa"/>
              <w:left w:w="100" w:type="dxa"/>
              <w:bottom w:w="60" w:type="dxa"/>
              <w:right w:w="100" w:type="dxa"/>
            </w:tcMar>
            <w:vAlign w:val="center"/>
          </w:tcPr>
          <w:p>
            <w:pPr>
              <w:spacing w:after="0" w:line="260" w:lineRule="auto"/>
            </w:pPr>
            <w:r>
              <w:rPr>
                <w:sz w:val="19"/>
              </w:rPr>
              <w:t>Módulo crítico</w:t>
            </w:r>
          </w:p>
        </w:tc>
        <w:tc>
          <w:tcPr>
            <w:tcW w:w="7480" w:type="dxa"/>
            <w:tcMar>
              <w:top w:w="60" w:type="dxa"/>
              <w:left w:w="100" w:type="dxa"/>
              <w:bottom w:w="60" w:type="dxa"/>
              <w:right w:w="100" w:type="dxa"/>
            </w:tcMar>
            <w:vAlign w:val="center"/>
          </w:tcPr>
          <w:p>
            <w:pPr>
              <w:spacing w:after="0" w:line="260" w:lineRule="auto"/>
            </w:pPr>
            <w:r>
              <w:rPr>
                <w:sz w:val="19"/>
              </w:rPr>
              <w:t>Módulo cuya falla afecta notas oficiales o el acceso a ellas (Tabla 4).</w:t>
            </w:r>
          </w:p>
        </w:tc>
      </w:tr>
      <w:tr>
        <w:trPr>
          <w:cantSplit/>
        </w:trPr>
        <w:tc>
          <w:tcPr>
            <w:tcW w:w="2600" w:type="dxa"/>
            <w:tcMar>
              <w:top w:w="60" w:type="dxa"/>
              <w:left w:w="100" w:type="dxa"/>
              <w:bottom w:w="60" w:type="dxa"/>
              <w:right w:w="100" w:type="dxa"/>
            </w:tcMar>
            <w:vAlign w:val="center"/>
          </w:tcPr>
          <w:p>
            <w:pPr>
              <w:spacing w:after="0" w:line="260" w:lineRule="auto"/>
            </w:pPr>
            <w:r>
              <w:rPr>
                <w:sz w:val="19"/>
              </w:rPr>
              <w:t>p95</w:t>
            </w:r>
          </w:p>
        </w:tc>
        <w:tc>
          <w:tcPr>
            <w:tcW w:w="7480" w:type="dxa"/>
            <w:tcMar>
              <w:top w:w="60" w:type="dxa"/>
              <w:left w:w="100" w:type="dxa"/>
              <w:bottom w:w="60" w:type="dxa"/>
              <w:right w:w="100" w:type="dxa"/>
            </w:tcMar>
            <w:vAlign w:val="center"/>
          </w:tcPr>
          <w:p>
            <w:pPr>
              <w:spacing w:after="0" w:line="260" w:lineRule="auto"/>
            </w:pPr>
            <w:r>
              <w:rPr>
                <w:sz w:val="19"/>
              </w:rPr>
              <w:t>Valor por debajo del cual está el 95 % de los tiempos de respuesta medidos.</w:t>
            </w:r>
          </w:p>
        </w:tc>
      </w:tr>
      <w:tr>
        <w:trPr>
          <w:cantSplit/>
        </w:trPr>
        <w:tc>
          <w:tcPr>
            <w:tcW w:w="2600" w:type="dxa"/>
            <w:tcMar>
              <w:top w:w="60" w:type="dxa"/>
              <w:left w:w="100" w:type="dxa"/>
              <w:bottom w:w="60" w:type="dxa"/>
              <w:right w:w="100" w:type="dxa"/>
            </w:tcMar>
            <w:vAlign w:val="center"/>
          </w:tcPr>
          <w:p>
            <w:pPr>
              <w:spacing w:after="0" w:line="260" w:lineRule="auto"/>
            </w:pPr>
            <w:r>
              <w:rPr>
                <w:sz w:val="19"/>
              </w:rPr>
              <w:t>Build sano</w:t>
            </w:r>
          </w:p>
        </w:tc>
        <w:tc>
          <w:tcPr>
            <w:tcW w:w="7480" w:type="dxa"/>
            <w:tcMar>
              <w:top w:w="60" w:type="dxa"/>
              <w:left w:w="100" w:type="dxa"/>
              <w:bottom w:w="60" w:type="dxa"/>
              <w:right w:w="100" w:type="dxa"/>
            </w:tcMar>
            <w:vAlign w:val="center"/>
          </w:tcPr>
          <w:p>
            <w:pPr>
              <w:spacing w:after="0" w:line="260" w:lineRule="auto"/>
            </w:pPr>
            <w:r>
              <w:rPr>
                <w:sz w:val="19"/>
              </w:rPr>
              <w:t>Build que cumple los indicadores de las Prácticas 6 y 8 de la Sección 6.2, no solo el color verde.</w:t>
            </w:r>
          </w:p>
        </w:tc>
      </w:tr>
      <w:tr>
        <w:trPr>
          <w:cantSplit/>
        </w:trPr>
        <w:tc>
          <w:tcPr>
            <w:tcW w:w="2600" w:type="dxa"/>
            <w:tcMar>
              <w:top w:w="60" w:type="dxa"/>
              <w:left w:w="100" w:type="dxa"/>
              <w:bottom w:w="60" w:type="dxa"/>
              <w:right w:w="100" w:type="dxa"/>
            </w:tcMar>
            <w:vAlign w:val="center"/>
          </w:tcPr>
          <w:p>
            <w:pPr>
              <w:spacing w:after="0" w:line="260" w:lineRule="auto"/>
            </w:pPr>
            <w:r>
              <w:rPr>
                <w:sz w:val="19"/>
              </w:rPr>
              <w:t>Prioridad</w:t>
            </w:r>
          </w:p>
        </w:tc>
        <w:tc>
          <w:tcPr>
            <w:tcW w:w="7480" w:type="dxa"/>
            <w:tcMar>
              <w:top w:w="60" w:type="dxa"/>
              <w:left w:w="100" w:type="dxa"/>
              <w:bottom w:w="60" w:type="dxa"/>
              <w:right w:w="100" w:type="dxa"/>
            </w:tcMar>
            <w:vAlign w:val="center"/>
          </w:tcPr>
          <w:p>
            <w:pPr>
              <w:spacing w:after="0" w:line="260" w:lineRule="auto"/>
            </w:pPr>
            <w:r>
              <w:rPr>
                <w:sz w:val="19"/>
              </w:rPr>
              <w:t>Con qué urgencia se corrige un defecto (P1 a P3). La fija el Líder.</w:t>
            </w:r>
          </w:p>
        </w:tc>
      </w:tr>
      <w:tr>
        <w:trPr>
          <w:cantSplit/>
        </w:trPr>
        <w:tc>
          <w:tcPr>
            <w:tcW w:w="2600" w:type="dxa"/>
            <w:tcMar>
              <w:top w:w="60" w:type="dxa"/>
              <w:left w:w="100" w:type="dxa"/>
              <w:bottom w:w="60" w:type="dxa"/>
              <w:right w:w="100" w:type="dxa"/>
            </w:tcMar>
            <w:vAlign w:val="center"/>
          </w:tcPr>
          <w:p>
            <w:pPr>
              <w:spacing w:after="0" w:line="260" w:lineRule="auto"/>
            </w:pPr>
            <w:r>
              <w:rPr>
                <w:sz w:val="19"/>
              </w:rPr>
              <w:t>Quality Gate</w:t>
            </w:r>
          </w:p>
        </w:tc>
        <w:tc>
          <w:tcPr>
            <w:tcW w:w="7480" w:type="dxa"/>
            <w:tcMar>
              <w:top w:w="60" w:type="dxa"/>
              <w:left w:w="100" w:type="dxa"/>
              <w:bottom w:w="60" w:type="dxa"/>
              <w:right w:w="100" w:type="dxa"/>
            </w:tcMar>
            <w:vAlign w:val="center"/>
          </w:tcPr>
          <w:p>
            <w:pPr>
              <w:spacing w:after="0" w:line="260" w:lineRule="auto"/>
            </w:pPr>
            <w:r>
              <w:rPr>
                <w:sz w:val="19"/>
              </w:rPr>
              <w:t>Conjunto de condiciones de SonarQube Cloud que un cambio debe cumplir para fusionarse.</w:t>
            </w:r>
          </w:p>
        </w:tc>
      </w:tr>
      <w:tr>
        <w:trPr>
          <w:cantSplit/>
        </w:trPr>
        <w:tc>
          <w:tcPr>
            <w:tcW w:w="2600" w:type="dxa"/>
            <w:tcMar>
              <w:top w:w="60" w:type="dxa"/>
              <w:left w:w="100" w:type="dxa"/>
              <w:bottom w:w="60" w:type="dxa"/>
              <w:right w:w="100" w:type="dxa"/>
            </w:tcMar>
            <w:vAlign w:val="center"/>
          </w:tcPr>
          <w:p>
            <w:pPr>
              <w:spacing w:after="0" w:line="260" w:lineRule="auto"/>
            </w:pPr>
            <w:r>
              <w:rPr>
                <w:sz w:val="19"/>
              </w:rPr>
              <w:t>RACI</w:t>
            </w:r>
          </w:p>
        </w:tc>
        <w:tc>
          <w:tcPr>
            <w:tcW w:w="7480" w:type="dxa"/>
            <w:tcMar>
              <w:top w:w="60" w:type="dxa"/>
              <w:left w:w="100" w:type="dxa"/>
              <w:bottom w:w="60" w:type="dxa"/>
              <w:right w:w="100" w:type="dxa"/>
            </w:tcMar>
            <w:vAlign w:val="center"/>
          </w:tcPr>
          <w:p>
            <w:pPr>
              <w:spacing w:after="0" w:line="260" w:lineRule="auto"/>
            </w:pPr>
            <w:r>
              <w:rPr>
                <w:sz w:val="19"/>
              </w:rPr>
              <w:t>Matriz que asigna, por actividad, quién ejecuta (R), rinde cuentas (A), es consultado (C) o informado (I).</w:t>
            </w:r>
          </w:p>
        </w:tc>
      </w:tr>
      <w:tr>
        <w:trPr>
          <w:cantSplit/>
        </w:trPr>
        <w:tc>
          <w:tcPr>
            <w:tcW w:w="2600" w:type="dxa"/>
            <w:tcMar>
              <w:top w:w="60" w:type="dxa"/>
              <w:left w:w="100" w:type="dxa"/>
              <w:bottom w:w="60" w:type="dxa"/>
              <w:right w:w="100" w:type="dxa"/>
            </w:tcMar>
            <w:vAlign w:val="center"/>
          </w:tcPr>
          <w:p>
            <w:pPr>
              <w:spacing w:after="0" w:line="260" w:lineRule="auto"/>
            </w:pPr>
            <w:r>
              <w:rPr>
                <w:sz w:val="19"/>
              </w:rPr>
              <w:t>Release candidate (RC)</w:t>
            </w:r>
          </w:p>
        </w:tc>
        <w:tc>
          <w:tcPr>
            <w:tcW w:w="7480" w:type="dxa"/>
            <w:tcMar>
              <w:top w:w="60" w:type="dxa"/>
              <w:left w:w="100" w:type="dxa"/>
              <w:bottom w:w="60" w:type="dxa"/>
              <w:right w:w="100" w:type="dxa"/>
            </w:tcMar>
            <w:vAlign w:val="center"/>
          </w:tcPr>
          <w:p>
            <w:pPr>
              <w:spacing w:after="0" w:line="260" w:lineRule="auto"/>
            </w:pPr>
            <w:r>
              <w:rPr>
                <w:sz w:val="19"/>
              </w:rPr>
              <w:t xml:space="preserve">Versión candidata etiquetada </w:t>
            </w:r>
            <w:r>
              <w:rPr>
                <w:rFonts w:ascii="Consolas" w:hAnsi="Consolas" w:cs="Consolas"/>
                <w:sz w:val="18"/>
              </w:rPr>
              <w:t>v*-rc.*</w:t>
            </w:r>
            <w:r>
              <w:rPr>
                <w:sz w:val="19"/>
              </w:rPr>
              <w:t>, sobre la que se corren E2E y rendimiento.</w:t>
            </w:r>
          </w:p>
        </w:tc>
      </w:tr>
      <w:tr>
        <w:trPr>
          <w:cantSplit/>
        </w:trPr>
        <w:tc>
          <w:tcPr>
            <w:tcW w:w="2600" w:type="dxa"/>
            <w:tcMar>
              <w:top w:w="60" w:type="dxa"/>
              <w:left w:w="100" w:type="dxa"/>
              <w:bottom w:w="60" w:type="dxa"/>
              <w:right w:w="100" w:type="dxa"/>
            </w:tcMar>
            <w:vAlign w:val="center"/>
          </w:tcPr>
          <w:p>
            <w:pPr>
              <w:spacing w:after="0" w:line="260" w:lineRule="auto"/>
            </w:pPr>
            <w:r>
              <w:rPr>
                <w:sz w:val="19"/>
              </w:rPr>
              <w:t>RPO / RTO</w:t>
            </w:r>
          </w:p>
        </w:tc>
        <w:tc>
          <w:tcPr>
            <w:tcW w:w="7480" w:type="dxa"/>
            <w:tcMar>
              <w:top w:w="60" w:type="dxa"/>
              <w:left w:w="100" w:type="dxa"/>
              <w:bottom w:w="60" w:type="dxa"/>
              <w:right w:w="100" w:type="dxa"/>
            </w:tcMar>
            <w:vAlign w:val="center"/>
          </w:tcPr>
          <w:p>
            <w:pPr>
              <w:spacing w:after="0" w:line="260" w:lineRule="auto"/>
            </w:pPr>
            <w:r>
              <w:rPr>
                <w:sz w:val="19"/>
              </w:rPr>
              <w:t>Pérdida máxima de datos tolerada / tiempo máximo de restauración tras una falla.</w:t>
            </w:r>
          </w:p>
        </w:tc>
      </w:tr>
      <w:tr>
        <w:trPr>
          <w:cantSplit/>
        </w:trPr>
        <w:tc>
          <w:tcPr>
            <w:tcW w:w="2600" w:type="dxa"/>
            <w:tcMar>
              <w:top w:w="60" w:type="dxa"/>
              <w:left w:w="100" w:type="dxa"/>
              <w:bottom w:w="60" w:type="dxa"/>
              <w:right w:w="100" w:type="dxa"/>
            </w:tcMar>
            <w:vAlign w:val="center"/>
          </w:tcPr>
          <w:p>
            <w:pPr>
              <w:spacing w:after="0" w:line="260" w:lineRule="auto"/>
            </w:pPr>
            <w:r>
              <w:rPr>
                <w:sz w:val="19"/>
              </w:rPr>
              <w:t>Secreto</w:t>
            </w:r>
          </w:p>
        </w:tc>
        <w:tc>
          <w:tcPr>
            <w:tcW w:w="7480" w:type="dxa"/>
            <w:tcMar>
              <w:top w:w="60" w:type="dxa"/>
              <w:left w:w="100" w:type="dxa"/>
              <w:bottom w:w="60" w:type="dxa"/>
              <w:right w:w="100" w:type="dxa"/>
            </w:tcMar>
            <w:vAlign w:val="center"/>
          </w:tcPr>
          <w:p>
            <w:pPr>
              <w:spacing w:after="0" w:line="260" w:lineRule="auto"/>
            </w:pPr>
            <w:r>
              <w:rPr>
                <w:sz w:val="19"/>
              </w:rPr>
              <w:t>Dato de acceso (token, contraseña, URL con credenciales) que vive solo en Jenkins Credentials, GitHub Secrets o el panel de la plataforma.</w:t>
            </w:r>
          </w:p>
        </w:tc>
      </w:tr>
      <w:tr>
        <w:trPr>
          <w:cantSplit/>
        </w:trPr>
        <w:tc>
          <w:tcPr>
            <w:tcW w:w="2600" w:type="dxa"/>
            <w:tcMar>
              <w:top w:w="60" w:type="dxa"/>
              <w:left w:w="100" w:type="dxa"/>
              <w:bottom w:w="60" w:type="dxa"/>
              <w:right w:w="100" w:type="dxa"/>
            </w:tcMar>
            <w:vAlign w:val="center"/>
          </w:tcPr>
          <w:p>
            <w:pPr>
              <w:spacing w:after="0" w:line="260" w:lineRule="auto"/>
            </w:pPr>
            <w:r>
              <w:rPr>
                <w:sz w:val="19"/>
              </w:rPr>
              <w:t>SemVer</w:t>
            </w:r>
          </w:p>
        </w:tc>
        <w:tc>
          <w:tcPr>
            <w:tcW w:w="7480" w:type="dxa"/>
            <w:tcMar>
              <w:top w:w="60" w:type="dxa"/>
              <w:left w:w="100" w:type="dxa"/>
              <w:bottom w:w="60" w:type="dxa"/>
              <w:right w:w="100" w:type="dxa"/>
            </w:tcMar>
            <w:vAlign w:val="center"/>
          </w:tcPr>
          <w:p>
            <w:pPr>
              <w:spacing w:after="0" w:line="260" w:lineRule="auto"/>
            </w:pPr>
            <w:r>
              <w:rPr>
                <w:sz w:val="19"/>
              </w:rPr>
              <w:t>Versionado semántico MAYOR.MENOR.PARCHE.</w:t>
            </w:r>
          </w:p>
        </w:tc>
      </w:tr>
      <w:tr>
        <w:trPr>
          <w:cantSplit/>
        </w:trPr>
        <w:tc>
          <w:tcPr>
            <w:tcW w:w="2600" w:type="dxa"/>
            <w:tcMar>
              <w:top w:w="60" w:type="dxa"/>
              <w:left w:w="100" w:type="dxa"/>
              <w:bottom w:w="60" w:type="dxa"/>
              <w:right w:w="100" w:type="dxa"/>
            </w:tcMar>
            <w:vAlign w:val="center"/>
          </w:tcPr>
          <w:p>
            <w:pPr>
              <w:spacing w:after="0" w:line="260" w:lineRule="auto"/>
            </w:pPr>
            <w:r>
              <w:rPr>
                <w:sz w:val="19"/>
              </w:rPr>
              <w:t>Severidad</w:t>
            </w:r>
          </w:p>
        </w:tc>
        <w:tc>
          <w:tcPr>
            <w:tcW w:w="7480" w:type="dxa"/>
            <w:tcMar>
              <w:top w:w="60" w:type="dxa"/>
              <w:left w:w="100" w:type="dxa"/>
              <w:bottom w:w="60" w:type="dxa"/>
              <w:right w:w="100" w:type="dxa"/>
            </w:tcMar>
            <w:vAlign w:val="center"/>
          </w:tcPr>
          <w:p>
            <w:pPr>
              <w:spacing w:after="0" w:line="260" w:lineRule="auto"/>
            </w:pPr>
            <w:r>
              <w:rPr>
                <w:sz w:val="19"/>
              </w:rPr>
              <w:t>Cuánto daño causa un defecto (S1 a S4). La fija el Tester o el Responsable SQA.</w:t>
            </w:r>
          </w:p>
        </w:tc>
      </w:tr>
      <w:tr>
        <w:trPr>
          <w:cantSplit/>
        </w:trPr>
        <w:tc>
          <w:tcPr>
            <w:tcW w:w="2600" w:type="dxa"/>
            <w:tcMar>
              <w:top w:w="60" w:type="dxa"/>
              <w:left w:w="100" w:type="dxa"/>
              <w:bottom w:w="60" w:type="dxa"/>
              <w:right w:w="100" w:type="dxa"/>
            </w:tcMar>
            <w:vAlign w:val="center"/>
          </w:tcPr>
          <w:p>
            <w:pPr>
              <w:spacing w:after="0" w:line="260" w:lineRule="auto"/>
            </w:pPr>
            <w:r>
              <w:rPr>
                <w:sz w:val="19"/>
              </w:rPr>
              <w:t>SLA</w:t>
            </w:r>
          </w:p>
        </w:tc>
        <w:tc>
          <w:tcPr>
            <w:tcW w:w="7480" w:type="dxa"/>
            <w:tcMar>
              <w:top w:w="60" w:type="dxa"/>
              <w:left w:w="100" w:type="dxa"/>
              <w:bottom w:w="60" w:type="dxa"/>
              <w:right w:w="100" w:type="dxa"/>
            </w:tcMar>
            <w:vAlign w:val="center"/>
          </w:tcPr>
          <w:p>
            <w:pPr>
              <w:spacing w:after="0" w:line="260" w:lineRule="auto"/>
            </w:pPr>
            <w:r>
              <w:rPr>
                <w:sz w:val="19"/>
              </w:rPr>
              <w:t>Tiempos máximos de respuesta y resolución de un defecto según su severidad.</w:t>
            </w:r>
          </w:p>
        </w:tc>
      </w:tr>
      <w:tr>
        <w:trPr>
          <w:cantSplit/>
        </w:trPr>
        <w:tc>
          <w:tcPr>
            <w:tcW w:w="2600" w:type="dxa"/>
            <w:tcMar>
              <w:top w:w="60" w:type="dxa"/>
              <w:left w:w="100" w:type="dxa"/>
              <w:bottom w:w="60" w:type="dxa"/>
              <w:right w:w="100" w:type="dxa"/>
            </w:tcMar>
            <w:vAlign w:val="center"/>
          </w:tcPr>
          <w:p>
            <w:pPr>
              <w:spacing w:after="0" w:line="260" w:lineRule="auto"/>
            </w:pPr>
            <w:r>
              <w:rPr>
                <w:sz w:val="19"/>
              </w:rPr>
              <w:t>Smoke test</w:t>
            </w:r>
          </w:p>
        </w:tc>
        <w:tc>
          <w:tcPr>
            <w:tcW w:w="7480" w:type="dxa"/>
            <w:tcMar>
              <w:top w:w="60" w:type="dxa"/>
              <w:left w:w="100" w:type="dxa"/>
              <w:bottom w:w="60" w:type="dxa"/>
              <w:right w:w="100" w:type="dxa"/>
            </w:tcMar>
            <w:vAlign w:val="center"/>
          </w:tcPr>
          <w:p>
            <w:pPr>
              <w:spacing w:after="0" w:line="260" w:lineRule="auto"/>
            </w:pPr>
            <w:r>
              <w:rPr>
                <w:sz w:val="19"/>
              </w:rPr>
              <w:t>Verificación breve tras un despliegue: salud del servicio y commit desplegado.</w:t>
            </w:r>
          </w:p>
        </w:tc>
      </w:tr>
      <w:tr>
        <w:trPr>
          <w:cantSplit/>
        </w:trPr>
        <w:tc>
          <w:tcPr>
            <w:tcW w:w="2600" w:type="dxa"/>
            <w:tcMar>
              <w:top w:w="60" w:type="dxa"/>
              <w:left w:w="100" w:type="dxa"/>
              <w:bottom w:w="60" w:type="dxa"/>
              <w:right w:w="100" w:type="dxa"/>
            </w:tcMar>
            <w:vAlign w:val="center"/>
          </w:tcPr>
          <w:p>
            <w:pPr>
              <w:spacing w:after="0" w:line="260" w:lineRule="auto"/>
            </w:pPr>
            <w:r>
              <w:rPr>
                <w:sz w:val="19"/>
              </w:rPr>
              <w:t>Staging</w:t>
            </w:r>
          </w:p>
        </w:tc>
        <w:tc>
          <w:tcPr>
            <w:tcW w:w="7480" w:type="dxa"/>
            <w:tcMar>
              <w:top w:w="60" w:type="dxa"/>
              <w:left w:w="100" w:type="dxa"/>
              <w:bottom w:w="60" w:type="dxa"/>
              <w:right w:w="100" w:type="dxa"/>
            </w:tcMar>
            <w:vAlign w:val="center"/>
          </w:tcPr>
          <w:p>
            <w:pPr>
              <w:spacing w:after="0" w:line="260" w:lineRule="auto"/>
            </w:pPr>
            <w:r>
              <w:rPr>
                <w:sz w:val="19"/>
              </w:rPr>
              <w:t>Ambiente con la configuración de producción y datos sintéticos.</w:t>
            </w:r>
          </w:p>
        </w:tc>
      </w:tr>
      <w:tr>
        <w:trPr>
          <w:cantSplit/>
        </w:trPr>
        <w:tc>
          <w:tcPr>
            <w:tcW w:w="2600" w:type="dxa"/>
            <w:tcMar>
              <w:top w:w="60" w:type="dxa"/>
              <w:left w:w="100" w:type="dxa"/>
              <w:bottom w:w="60" w:type="dxa"/>
              <w:right w:w="100" w:type="dxa"/>
            </w:tcMar>
            <w:vAlign w:val="center"/>
          </w:tcPr>
          <w:p>
            <w:pPr>
              <w:spacing w:after="0" w:line="260" w:lineRule="auto"/>
            </w:pPr>
            <w:r>
              <w:rPr>
                <w:sz w:val="19"/>
              </w:rPr>
              <w:t>SUS</w:t>
            </w:r>
          </w:p>
        </w:tc>
        <w:tc>
          <w:tcPr>
            <w:tcW w:w="7480" w:type="dxa"/>
            <w:tcMar>
              <w:top w:w="60" w:type="dxa"/>
              <w:left w:w="100" w:type="dxa"/>
              <w:bottom w:w="60" w:type="dxa"/>
              <w:right w:w="100" w:type="dxa"/>
            </w:tcMar>
            <w:vAlign w:val="center"/>
          </w:tcPr>
          <w:p>
            <w:pPr>
              <w:spacing w:after="0" w:line="260" w:lineRule="auto"/>
            </w:pPr>
            <w:r>
              <w:rPr>
                <w:sz w:val="19"/>
              </w:rPr>
              <w:t>System Usability Scale: cuestionario de 10 ítems con resultado de 0 a 100.</w:t>
            </w:r>
          </w:p>
        </w:tc>
      </w:tr>
      <w:tr>
        <w:trPr>
          <w:cantSplit/>
        </w:trPr>
        <w:tc>
          <w:tcPr>
            <w:tcW w:w="2600" w:type="dxa"/>
            <w:tcMar>
              <w:top w:w="60" w:type="dxa"/>
              <w:left w:w="100" w:type="dxa"/>
              <w:bottom w:w="60" w:type="dxa"/>
              <w:right w:w="100" w:type="dxa"/>
            </w:tcMar>
            <w:vAlign w:val="center"/>
          </w:tcPr>
          <w:p>
            <w:pPr>
              <w:spacing w:after="0" w:line="260" w:lineRule="auto"/>
            </w:pPr>
            <w:r>
              <w:rPr>
                <w:sz w:val="19"/>
              </w:rPr>
              <w:t>TDD</w:t>
            </w:r>
          </w:p>
        </w:tc>
        <w:tc>
          <w:tcPr>
            <w:tcW w:w="7480" w:type="dxa"/>
            <w:tcMar>
              <w:top w:w="60" w:type="dxa"/>
              <w:left w:w="100" w:type="dxa"/>
              <w:bottom w:w="60" w:type="dxa"/>
              <w:right w:w="100" w:type="dxa"/>
            </w:tcMar>
            <w:vAlign w:val="center"/>
          </w:tcPr>
          <w:p>
            <w:pPr>
              <w:spacing w:after="0" w:line="260" w:lineRule="auto"/>
            </w:pPr>
            <w:r>
              <w:rPr>
                <w:sz w:val="19"/>
              </w:rPr>
              <w:t>Desarrollo guiado por pruebas: se escribe la prueba antes que el código.</w:t>
            </w:r>
          </w:p>
        </w:tc>
      </w:tr>
    </w:tbl>
    <w:p>
      <w:pPr>
        <w:spacing w:after="60" w:line="276" w:lineRule="auto"/>
      </w:pPr>
    </w:p>
    <w:p>
      <w:pPr>
        <w:pStyle w:val="Ttulo1"/>
      </w:pPr>
      <w:r>
        <w:t>16. Procedimiento de cambio e historia del SQAP</w:t>
      </w:r>
    </w:p>
    <w:p>
      <w:pPr>
        <w:spacing w:after="120" w:line="276" w:lineRule="auto"/>
      </w:pPr>
      <w:r>
        <w:t xml:space="preserve">Cualquier integrante propone un cambio con un pull request que modifica </w:t>
      </w:r>
      <w:r>
        <w:rPr>
          <w:rFonts w:ascii="Consolas" w:hAnsi="Consolas" w:cs="Consolas"/>
          <w:sz w:val="19"/>
        </w:rPr>
        <w:t>docs/sqap/SQAP-CalisFacu.docx</w:t>
      </w:r>
      <w:r>
        <w:t xml:space="preserve"> y su PDF. Como el .docx no se puede comparar línea por línea en GitHub, la descripción del PR lista las secciones y tablas cambiadas con el texto antes y después. Lo aprueba el Responsable SQA; si el cambio modifica un umbral o el alcance, también lo aprueba el Líder, y en el mismo PR se actualizan </w:t>
      </w:r>
      <w:r>
        <w:rPr>
          <w:rFonts w:ascii="Consolas" w:hAnsi="Consolas" w:cs="Consolas"/>
          <w:sz w:val="19"/>
        </w:rPr>
        <w:t>matrices-sqap.xlsx</w:t>
      </w:r>
      <w:r>
        <w:t xml:space="preserve"> y la configuración de la herramienta. Si el cambio reduce el alcance aprobado, lo aprueba además el docente. Cada cambio es una fila del historial: una corrección, una versión.</w:t>
      </w:r>
    </w:p>
    <w:p>
      <w:pPr>
        <w:keepNext/>
        <w:spacing w:before="120" w:after="80" w:line="276" w:lineRule="auto"/>
      </w:pPr>
      <w:r>
        <w:rPr>
          <w:b/>
          <w:color w:val="1F4E79"/>
          <w:sz w:val="19"/>
        </w:rPr>
        <w:t xml:space="preserve">Tabla 31. </w:t>
      </w:r>
      <w:r>
        <w:rPr>
          <w:color w:val="595959"/>
          <w:sz w:val="19"/>
        </w:rPr>
        <w:t>Autoría por sección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80"/>
        <w:gridCol w:w="2500"/>
        <w:gridCol w:w="2500"/>
      </w:tblGrid>
      <w:tr>
        <w:trPr>
          <w:cantSplit/>
          <w:tblHeader/>
        </w:trPr>
        <w:tc>
          <w:tcPr>
            <w:tcW w:w="5080" w:type="dxa"/>
            <w:shd w:val="clear" w:color="auto" w:fill="DDEBF7"/>
            <w:tcMar>
              <w:top w:w="60" w:type="dxa"/>
              <w:left w:w="100" w:type="dxa"/>
              <w:bottom w:w="60" w:type="dxa"/>
              <w:right w:w="100" w:type="dxa"/>
            </w:tcMar>
          </w:tcPr>
          <w:p>
            <w:pPr>
              <w:spacing w:after="0" w:line="260" w:lineRule="auto"/>
            </w:pPr>
            <w:r>
              <w:rPr>
                <w:b/>
                <w:sz w:val="20"/>
              </w:rPr>
              <w:t>Secciones</w:t>
            </w:r>
          </w:p>
        </w:tc>
        <w:tc>
          <w:tcPr>
            <w:tcW w:w="2500" w:type="dxa"/>
            <w:shd w:val="clear" w:color="auto" w:fill="DDEBF7"/>
            <w:tcMar>
              <w:top w:w="60" w:type="dxa"/>
              <w:left w:w="100" w:type="dxa"/>
              <w:bottom w:w="60" w:type="dxa"/>
              <w:right w:w="100" w:type="dxa"/>
            </w:tcMar>
          </w:tcPr>
          <w:p>
            <w:pPr>
              <w:spacing w:after="0" w:line="260" w:lineRule="auto"/>
            </w:pPr>
            <w:r>
              <w:rPr>
                <w:b/>
                <w:sz w:val="20"/>
              </w:rPr>
              <w:t>Autor</w:t>
            </w:r>
          </w:p>
        </w:tc>
        <w:tc>
          <w:tcPr>
            <w:tcW w:w="2500" w:type="dxa"/>
            <w:shd w:val="clear" w:color="auto" w:fill="DDEBF7"/>
            <w:tcMar>
              <w:top w:w="60" w:type="dxa"/>
              <w:left w:w="100" w:type="dxa"/>
              <w:bottom w:w="60" w:type="dxa"/>
              <w:right w:w="100" w:type="dxa"/>
            </w:tcMar>
          </w:tcPr>
          <w:p>
            <w:pPr>
              <w:spacing w:after="0" w:line="260" w:lineRule="auto"/>
            </w:pPr>
            <w:r>
              <w:rPr>
                <w:b/>
                <w:sz w:val="20"/>
              </w:rPr>
              <w:t>Revisor</w:t>
            </w:r>
          </w:p>
        </w:tc>
      </w:tr>
      <w:tr>
        <w:trPr>
          <w:cantSplit/>
        </w:trPr>
        <w:tc>
          <w:tcPr>
            <w:tcW w:w="5080" w:type="dxa"/>
            <w:tcMar>
              <w:top w:w="60" w:type="dxa"/>
              <w:left w:w="100" w:type="dxa"/>
              <w:bottom w:w="60" w:type="dxa"/>
              <w:right w:w="100" w:type="dxa"/>
            </w:tcMar>
            <w:vAlign w:val="center"/>
          </w:tcPr>
          <w:p>
            <w:pPr>
              <w:spacing w:after="0" w:line="260" w:lineRule="auto"/>
            </w:pPr>
            <w:r>
              <w:rPr>
                <w:sz w:val="20"/>
              </w:rPr>
              <w:t>1, 2, 3, 4, 10, 13, 15 y 16</w:t>
            </w:r>
          </w:p>
        </w:tc>
        <w:tc>
          <w:tcPr>
            <w:tcW w:w="2500" w:type="dxa"/>
            <w:tcMar>
              <w:top w:w="60" w:type="dxa"/>
              <w:left w:w="100" w:type="dxa"/>
              <w:bottom w:w="60" w:type="dxa"/>
              <w:right w:w="100" w:type="dxa"/>
            </w:tcMar>
            <w:vAlign w:val="center"/>
          </w:tcPr>
          <w:p>
            <w:pPr>
              <w:spacing w:after="0" w:line="260" w:lineRule="auto"/>
            </w:pPr>
            <w:r>
              <w:rPr>
                <w:sz w:val="20"/>
              </w:rPr>
              <w:t>Lujan</w:t>
            </w:r>
          </w:p>
        </w:tc>
        <w:tc>
          <w:tcPr>
            <w:tcW w:w="2500" w:type="dxa"/>
            <w:tcMar>
              <w:top w:w="60" w:type="dxa"/>
              <w:left w:w="100" w:type="dxa"/>
              <w:bottom w:w="60" w:type="dxa"/>
              <w:right w:w="100" w:type="dxa"/>
            </w:tcMar>
            <w:vAlign w:val="center"/>
          </w:tcPr>
          <w:p>
            <w:pPr>
              <w:spacing w:after="0" w:line="260" w:lineRule="auto"/>
            </w:pPr>
            <w:r>
              <w:rPr>
                <w:sz w:val="20"/>
              </w:rPr>
              <w:t>Galvan</w:t>
            </w:r>
          </w:p>
        </w:tc>
      </w:tr>
      <w:tr>
        <w:trPr>
          <w:cantSplit/>
        </w:trPr>
        <w:tc>
          <w:tcPr>
            <w:tcW w:w="5080" w:type="dxa"/>
            <w:tcMar>
              <w:top w:w="60" w:type="dxa"/>
              <w:left w:w="100" w:type="dxa"/>
              <w:bottom w:w="60" w:type="dxa"/>
              <w:right w:w="100" w:type="dxa"/>
            </w:tcMar>
            <w:vAlign w:val="center"/>
          </w:tcPr>
          <w:p>
            <w:pPr>
              <w:spacing w:after="0" w:line="260" w:lineRule="auto"/>
            </w:pPr>
            <w:r>
              <w:rPr>
                <w:sz w:val="20"/>
              </w:rPr>
              <w:t>5, 6, 7, 8, 9, 11, 12 y 14; Anexos</w:t>
            </w:r>
          </w:p>
        </w:tc>
        <w:tc>
          <w:tcPr>
            <w:tcW w:w="2500" w:type="dxa"/>
            <w:tcMar>
              <w:top w:w="60" w:type="dxa"/>
              <w:left w:w="100" w:type="dxa"/>
              <w:bottom w:w="60" w:type="dxa"/>
              <w:right w:w="100" w:type="dxa"/>
            </w:tcMar>
            <w:vAlign w:val="center"/>
          </w:tcPr>
          <w:p>
            <w:pPr>
              <w:spacing w:after="0" w:line="260" w:lineRule="auto"/>
            </w:pPr>
            <w:r>
              <w:rPr>
                <w:sz w:val="20"/>
              </w:rPr>
              <w:t>Galvan</w:t>
            </w:r>
          </w:p>
        </w:tc>
        <w:tc>
          <w:tcPr>
            <w:tcW w:w="2500" w:type="dxa"/>
            <w:tcMar>
              <w:top w:w="60" w:type="dxa"/>
              <w:left w:w="100" w:type="dxa"/>
              <w:bottom w:w="60" w:type="dxa"/>
              <w:right w:w="100" w:type="dxa"/>
            </w:tcMar>
            <w:vAlign w:val="center"/>
          </w:tcPr>
          <w:p>
            <w:pPr>
              <w:spacing w:after="0" w:line="260" w:lineRule="auto"/>
            </w:pPr>
            <w:r>
              <w:rPr>
                <w:sz w:val="20"/>
              </w:rPr>
              <w:t>Lujan</w:t>
            </w:r>
          </w:p>
        </w:tc>
      </w:tr>
    </w:tbl>
    <w:p>
      <w:pPr>
        <w:spacing w:after="60" w:line="276" w:lineRule="auto"/>
      </w:pPr>
    </w:p>
    <w:p>
      <w:pPr>
        <w:keepNext/>
        <w:spacing w:before="120" w:after="80" w:line="276" w:lineRule="auto"/>
      </w:pPr>
      <w:r>
        <w:rPr>
          <w:b/>
          <w:color w:val="1F4E79"/>
          <w:sz w:val="19"/>
        </w:rPr>
        <w:t xml:space="preserve">Tabla 32. </w:t>
      </w:r>
      <w:r>
        <w:rPr>
          <w:color w:val="595959"/>
          <w:sz w:val="19"/>
        </w:rPr>
        <w:t>Historial de versiones del SQAP</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1150"/>
        <w:gridCol w:w="6130"/>
        <w:gridCol w:w="1000"/>
        <w:gridCol w:w="1000"/>
      </w:tblGrid>
      <w:tr>
        <w:trPr>
          <w:cantSplit/>
          <w:tblHeader/>
        </w:trPr>
        <w:tc>
          <w:tcPr>
            <w:tcW w:w="800" w:type="dxa"/>
            <w:shd w:val="clear" w:color="auto" w:fill="DDEBF7"/>
            <w:tcMar>
              <w:top w:w="60" w:type="dxa"/>
              <w:left w:w="100" w:type="dxa"/>
              <w:bottom w:w="60" w:type="dxa"/>
              <w:right w:w="100" w:type="dxa"/>
            </w:tcMar>
          </w:tcPr>
          <w:p>
            <w:pPr>
              <w:spacing w:after="0" w:line="260" w:lineRule="auto"/>
            </w:pPr>
            <w:r>
              <w:rPr>
                <w:b/>
                <w:sz w:val="18"/>
              </w:rPr>
              <w:t>Versión</w:t>
            </w:r>
          </w:p>
        </w:tc>
        <w:tc>
          <w:tcPr>
            <w:tcW w:w="1150" w:type="dxa"/>
            <w:shd w:val="clear" w:color="auto" w:fill="DDEBF7"/>
            <w:tcMar>
              <w:top w:w="60" w:type="dxa"/>
              <w:left w:w="100" w:type="dxa"/>
              <w:bottom w:w="60" w:type="dxa"/>
              <w:right w:w="100" w:type="dxa"/>
            </w:tcMar>
          </w:tcPr>
          <w:p>
            <w:pPr>
              <w:spacing w:after="0" w:line="260" w:lineRule="auto"/>
            </w:pPr>
            <w:r>
              <w:rPr>
                <w:b/>
                <w:sz w:val="18"/>
              </w:rPr>
              <w:t>Fecha</w:t>
            </w:r>
          </w:p>
        </w:tc>
        <w:tc>
          <w:tcPr>
            <w:tcW w:w="6130" w:type="dxa"/>
            <w:shd w:val="clear" w:color="auto" w:fill="DDEBF7"/>
            <w:tcMar>
              <w:top w:w="60" w:type="dxa"/>
              <w:left w:w="100" w:type="dxa"/>
              <w:bottom w:w="60" w:type="dxa"/>
              <w:right w:w="100" w:type="dxa"/>
            </w:tcMar>
          </w:tcPr>
          <w:p>
            <w:pPr>
              <w:spacing w:after="0" w:line="260" w:lineRule="auto"/>
            </w:pPr>
            <w:r>
              <w:rPr>
                <w:b/>
                <w:sz w:val="18"/>
              </w:rPr>
              <w:t>Cambio</w:t>
            </w:r>
          </w:p>
        </w:tc>
        <w:tc>
          <w:tcPr>
            <w:tcW w:w="1000" w:type="dxa"/>
            <w:shd w:val="clear" w:color="auto" w:fill="DDEBF7"/>
            <w:tcMar>
              <w:top w:w="60" w:type="dxa"/>
              <w:left w:w="100" w:type="dxa"/>
              <w:bottom w:w="60" w:type="dxa"/>
              <w:right w:w="100" w:type="dxa"/>
            </w:tcMar>
          </w:tcPr>
          <w:p>
            <w:pPr>
              <w:spacing w:after="0" w:line="260" w:lineRule="auto"/>
            </w:pPr>
            <w:r>
              <w:rPr>
                <w:b/>
                <w:sz w:val="18"/>
              </w:rPr>
              <w:t>Autor</w:t>
            </w:r>
          </w:p>
        </w:tc>
        <w:tc>
          <w:tcPr>
            <w:tcW w:w="1000" w:type="dxa"/>
            <w:shd w:val="clear" w:color="auto" w:fill="DDEBF7"/>
            <w:tcMar>
              <w:top w:w="60" w:type="dxa"/>
              <w:left w:w="100" w:type="dxa"/>
              <w:bottom w:w="60" w:type="dxa"/>
              <w:right w:w="100" w:type="dxa"/>
            </w:tcMar>
          </w:tcPr>
          <w:p>
            <w:pPr>
              <w:spacing w:after="0" w:line="260" w:lineRule="auto"/>
            </w:pPr>
            <w:r>
              <w:rPr>
                <w:b/>
                <w:sz w:val="18"/>
              </w:rPr>
              <w:t>Revisor</w:t>
            </w:r>
          </w:p>
        </w:tc>
      </w:tr>
      <w:tr>
        <w:trPr>
          <w:cantSplit/>
        </w:trPr>
        <w:tc>
          <w:tcPr>
            <w:tcW w:w="800" w:type="dxa"/>
            <w:tcMar>
              <w:top w:w="60" w:type="dxa"/>
              <w:left w:w="100" w:type="dxa"/>
              <w:bottom w:w="60" w:type="dxa"/>
              <w:right w:w="100" w:type="dxa"/>
            </w:tcMar>
            <w:vAlign w:val="center"/>
          </w:tcPr>
          <w:p>
            <w:pPr>
              <w:spacing w:after="0" w:line="260" w:lineRule="auto"/>
            </w:pPr>
            <w:r>
              <w:rPr>
                <w:sz w:val="18"/>
              </w:rPr>
              <w:t>0.1</w:t>
            </w:r>
          </w:p>
        </w:tc>
        <w:tc>
          <w:tcPr>
            <w:tcW w:w="1150" w:type="dxa"/>
            <w:tcMar>
              <w:top w:w="60" w:type="dxa"/>
              <w:left w:w="100" w:type="dxa"/>
              <w:bottom w:w="60" w:type="dxa"/>
              <w:right w:w="100" w:type="dxa"/>
            </w:tcMar>
            <w:vAlign w:val="center"/>
          </w:tcPr>
          <w:p>
            <w:pPr>
              <w:spacing w:after="0" w:line="260" w:lineRule="auto"/>
            </w:pPr>
            <w:r>
              <w:rPr>
                <w:sz w:val="18"/>
              </w:rPr>
              <w:t>04/10/2026</w:t>
            </w:r>
          </w:p>
        </w:tc>
        <w:tc>
          <w:tcPr>
            <w:tcW w:w="6130" w:type="dxa"/>
            <w:tcMar>
              <w:top w:w="60" w:type="dxa"/>
              <w:left w:w="100" w:type="dxa"/>
              <w:bottom w:w="60" w:type="dxa"/>
              <w:right w:w="100" w:type="dxa"/>
            </w:tcMar>
            <w:vAlign w:val="center"/>
          </w:tcPr>
          <w:p>
            <w:pPr>
              <w:spacing w:after="0" w:line="260" w:lineRule="auto"/>
            </w:pPr>
            <w:r>
              <w:rPr>
                <w:sz w:val="18"/>
              </w:rPr>
              <w:t>Versión inicial: Secciones 1 a 8.</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0.2</w:t>
            </w:r>
          </w:p>
        </w:tc>
        <w:tc>
          <w:tcPr>
            <w:tcW w:w="1150" w:type="dxa"/>
            <w:tcMar>
              <w:top w:w="60" w:type="dxa"/>
              <w:left w:w="100" w:type="dxa"/>
              <w:bottom w:w="60" w:type="dxa"/>
              <w:right w:w="100" w:type="dxa"/>
            </w:tcMar>
            <w:vAlign w:val="center"/>
          </w:tcPr>
          <w:p>
            <w:pPr>
              <w:spacing w:after="0" w:line="260" w:lineRule="auto"/>
            </w:pPr>
            <w:r>
              <w:rPr>
                <w:sz w:val="18"/>
              </w:rPr>
              <w:t>04/10/2026</w:t>
            </w:r>
          </w:p>
        </w:tc>
        <w:tc>
          <w:tcPr>
            <w:tcW w:w="6130" w:type="dxa"/>
            <w:tcMar>
              <w:top w:w="60" w:type="dxa"/>
              <w:left w:w="100" w:type="dxa"/>
              <w:bottom w:w="60" w:type="dxa"/>
              <w:right w:w="100" w:type="dxa"/>
            </w:tcMar>
            <w:vAlign w:val="center"/>
          </w:tcPr>
          <w:p>
            <w:pPr>
              <w:spacing w:after="0" w:line="260" w:lineRule="auto"/>
            </w:pPr>
            <w:r>
              <w:rPr>
                <w:sz w:val="18"/>
              </w:rPr>
              <w:t>Corrección tras la revisión contra los siete indicadores: métricas M01 a M09 iguales en el plan, en matrices-sqap.xlsx y en la configuración; RACI con independencia; SLA en horario hábil; diagrama de estados; Secciones 9, 12, 14 y 15; Anexo de RNF.</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0.3</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Sección 1: alcance trazable al backlog v2.0 (roles Profesor, Secretaria, Padre de familia y Administrador; 16 historias en 4 sprints de una semana); módulo de pagos fuera del alcance; condiciones que elevarían el nivel de integridad a 3.</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0.4</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Secciones 1, 5, 7, 9 y 11: cambio de stack de Laravel + MySQL a NestJS + PostgreSQL + React. PSR-12 pasa a typescript-eslint + Prettier (M16); PHPUnit + PCOV a Jest + Supertest; composer audit a npm audit; DomPDF a pdfmake; Laravel Queue a BullMQ.</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0.5</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 xml:space="preserve">Secciones 9 y 10: Jenkins se configura como Multibranch Pipeline con builds de PR y de etiquetas. Corrige que </w:t>
            </w:r>
            <w:r>
              <w:rPr>
                <w:rFonts w:ascii="Consolas" w:hAnsi="Consolas" w:cs="Consolas"/>
                <w:sz w:val="17"/>
              </w:rPr>
              <w:t>when { branch 'release/*' }</w:t>
            </w:r>
            <w:r>
              <w:rPr>
                <w:sz w:val="18"/>
              </w:rPr>
              <w:t xml:space="preserve"> nunca se cumplía en un job Pipeline simple, por lo que E2E y rendimiento no se ejecutaban. Se agregan despliegue a staging, smoke test, aprobación manual de producción y la imagen </w:t>
            </w:r>
            <w:r>
              <w:rPr>
                <w:rFonts w:ascii="Consolas" w:hAnsi="Consolas" w:cs="Consolas"/>
                <w:sz w:val="17"/>
              </w:rPr>
              <w:t>jenkins/Dockerfile</w:t>
            </w:r>
            <w:r>
              <w:rPr>
                <w:sz w:val="18"/>
              </w:rPr>
              <w:t>.</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0.6</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Secciones 5 y 9: SonarQube Community se reemplaza por SonarQube Cloud, porque Community no analiza pull requests y M05, M07 y M08 se miden en cada PR.</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0.7</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Anexo A: RNF-02 y RNF-05 pasan a tener métrica y valor (incumplían el criterio de adecuación de la Sección 4); RNF-01 sigue la RM 001/2026; se agregan RNF-06 (usabilidad) y RNF-07 (fiabilidad).</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0.8</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Sección 5: seis características con dos o más métricas (M11 a M16); M04 exige la tasa de error también en el boletín; el estándar de código se hace cumplir con una herramienta (M16).</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0.9</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Sección 8: si Galvan resuelve un defecto, verifica y cierra Lujan; escala de prioridad P1 a P3.</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0.10</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Secciones 4 y 6: inspección Fagan del SRS (además del SAD) con roles, etapas y métricas; revisión de diseño detallado; manual técnico; calendario por día de sprint.</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0.11</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Secciones 10, 11 y 13 completas (antes "Pendiente"); 14 riesgos con disparador y contingencia; glosario de 40 términos.</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0.12</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Sección 10.2: GitHub Flow se reemplaza por Git Flow (ramas develop y main, hotfix desde main), como enseñó el docente; develop despliega a staging y main a producción; ambas ramas protegidas.</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0.13</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 xml:space="preserve">Secciones 1, 4, 5, 7, 9, 11, 13, 14 y 15: Prisma se reemplaza por TypeORM por decisión del equipo: es el ORM de la documentación oficial de NestJS, está escrito en JavaScript y no depende de binarios propios que se descargan aparte; las pruebas e2e se integran en </w:t>
            </w:r>
            <w:r>
              <w:rPr>
                <w:rFonts w:ascii="Consolas" w:hAnsi="Consolas" w:cs="Consolas"/>
                <w:sz w:val="17"/>
              </w:rPr>
              <w:t>test:cov</w:t>
            </w:r>
            <w:r>
              <w:rPr>
                <w:sz w:val="18"/>
              </w:rPr>
              <w:t xml:space="preserve"> para que M06 mida la cobertura combinada.</w:t>
            </w:r>
          </w:p>
        </w:tc>
        <w:tc>
          <w:tcPr>
            <w:tcW w:w="1000" w:type="dxa"/>
            <w:tcMar>
              <w:top w:w="60" w:type="dxa"/>
              <w:left w:w="100" w:type="dxa"/>
              <w:bottom w:w="60" w:type="dxa"/>
              <w:right w:w="100" w:type="dxa"/>
            </w:tcMar>
            <w:vAlign w:val="center"/>
          </w:tcPr>
          <w:p>
            <w:pPr>
              <w:spacing w:after="0" w:line="260" w:lineRule="auto"/>
            </w:pPr>
            <w:r>
              <w:rPr>
                <w:sz w:val="18"/>
              </w:rPr>
              <w:t>Galvan</w:t>
            </w:r>
          </w:p>
        </w:tc>
        <w:tc>
          <w:tcPr>
            <w:tcW w:w="1000" w:type="dxa"/>
            <w:tcMar>
              <w:top w:w="60" w:type="dxa"/>
              <w:left w:w="100" w:type="dxa"/>
              <w:bottom w:w="60" w:type="dxa"/>
              <w:right w:w="100" w:type="dxa"/>
            </w:tcMar>
            <w:vAlign w:val="center"/>
          </w:tcPr>
          <w:p>
            <w:pPr>
              <w:spacing w:after="0" w:line="260" w:lineRule="auto"/>
            </w:pPr>
            <w:r>
              <w:rPr>
                <w:sz w:val="18"/>
              </w:rPr>
              <w:t>Lujan</w:t>
            </w:r>
          </w:p>
        </w:tc>
      </w:tr>
      <w:tr>
        <w:trPr>
          <w:cantSplit/>
        </w:trPr>
        <w:tc>
          <w:tcPr>
            <w:tcW w:w="800" w:type="dxa"/>
            <w:tcMar>
              <w:top w:w="60" w:type="dxa"/>
              <w:left w:w="100" w:type="dxa"/>
              <w:bottom w:w="60" w:type="dxa"/>
              <w:right w:w="100" w:type="dxa"/>
            </w:tcMar>
            <w:vAlign w:val="center"/>
          </w:tcPr>
          <w:p>
            <w:pPr>
              <w:spacing w:after="0" w:line="260" w:lineRule="auto"/>
            </w:pPr>
            <w:r>
              <w:rPr>
                <w:sz w:val="18"/>
              </w:rPr>
              <w:t>1.0</w:t>
            </w:r>
          </w:p>
        </w:tc>
        <w:tc>
          <w:tcPr>
            <w:tcW w:w="1150" w:type="dxa"/>
            <w:tcMar>
              <w:top w:w="60" w:type="dxa"/>
              <w:left w:w="100" w:type="dxa"/>
              <w:bottom w:w="60" w:type="dxa"/>
              <w:right w:w="100" w:type="dxa"/>
            </w:tcMar>
            <w:vAlign w:val="center"/>
          </w:tcPr>
          <w:p>
            <w:pPr>
              <w:spacing w:after="0" w:line="260" w:lineRule="auto"/>
            </w:pPr>
            <w:r>
              <w:rPr>
                <w:sz w:val="18"/>
              </w:rPr>
              <w:t>12/10/2026</w:t>
            </w:r>
          </w:p>
        </w:tc>
        <w:tc>
          <w:tcPr>
            <w:tcW w:w="6130" w:type="dxa"/>
            <w:tcMar>
              <w:top w:w="60" w:type="dxa"/>
              <w:left w:w="100" w:type="dxa"/>
              <w:bottom w:w="60" w:type="dxa"/>
              <w:right w:w="100" w:type="dxa"/>
            </w:tcMar>
            <w:vAlign w:val="center"/>
          </w:tcPr>
          <w:p>
            <w:pPr>
              <w:spacing w:after="0" w:line="260" w:lineRule="auto"/>
            </w:pPr>
            <w:r>
              <w:rPr>
                <w:sz w:val="18"/>
              </w:rPr>
              <w:t>Consolidado: portada, control del documento, índice, listas de tablas y figuras, agrupación según IEEE 730-2014 y Anexos A a F.</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1.1</w:t>
            </w:r>
          </w:p>
        </w:tc>
        <w:tc>
          <w:tcPr>
            <w:tcW w:w="1150" w:type="dxa"/>
            <w:tcMar>
              <w:top w:w="60" w:type="dxa"/>
              <w:left w:w="100" w:type="dxa"/>
              <w:bottom w:w="60" w:type="dxa"/>
              <w:right w:w="100" w:type="dxa"/>
            </w:tcMar>
            <w:vAlign w:val="center"/>
          </w:tcPr>
          <w:p>
            <w:pPr>
              <w:spacing w:after="0" w:line="260" w:lineRule="auto"/>
            </w:pPr>
            <w:r>
              <w:rPr>
                <w:sz w:val="18"/>
              </w:rPr>
              <w:t>13/10/2026</w:t>
            </w:r>
          </w:p>
        </w:tc>
        <w:tc>
          <w:tcPr>
            <w:tcW w:w="6130" w:type="dxa"/>
            <w:tcMar>
              <w:top w:w="60" w:type="dxa"/>
              <w:left w:w="100" w:type="dxa"/>
              <w:bottom w:w="60" w:type="dxa"/>
              <w:right w:w="100" w:type="dxa"/>
            </w:tcMar>
            <w:vAlign w:val="center"/>
          </w:tcPr>
          <w:p>
            <w:pPr>
              <w:spacing w:after="0" w:line="260" w:lineRule="auto"/>
            </w:pPr>
            <w:r>
              <w:rPr>
                <w:sz w:val="18"/>
              </w:rPr>
              <w:t>Secciones 3, 6, 8, 9 y 10.2: se trabaja directo en develop y la revisión de código pasa a ser revisión de commits; main sigue protegida por el PR de release (ADR-0008). Secciones 1, 7, 10, 11 y Anexo C: la web se despliega en Render y no en Vercel, y el despliegue continuo a staging funciona desde el Sprint 1 (ADR-0009).</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r>
        <w:trPr>
          <w:cantSplit/>
        </w:trPr>
        <w:tc>
          <w:tcPr>
            <w:tcW w:w="800" w:type="dxa"/>
            <w:tcMar>
              <w:top w:w="60" w:type="dxa"/>
              <w:left w:w="100" w:type="dxa"/>
              <w:bottom w:w="60" w:type="dxa"/>
              <w:right w:w="100" w:type="dxa"/>
            </w:tcMar>
            <w:vAlign w:val="center"/>
          </w:tcPr>
          <w:p>
            <w:pPr>
              <w:spacing w:after="0" w:line="260" w:lineRule="auto"/>
            </w:pPr>
            <w:r>
              <w:rPr>
                <w:sz w:val="18"/>
              </w:rPr>
              <w:t>1.2</w:t>
            </w:r>
          </w:p>
        </w:tc>
        <w:tc>
          <w:tcPr>
            <w:tcW w:w="1150" w:type="dxa"/>
            <w:tcMar>
              <w:top w:w="60" w:type="dxa"/>
              <w:left w:w="100" w:type="dxa"/>
              <w:bottom w:w="60" w:type="dxa"/>
              <w:right w:w="100" w:type="dxa"/>
            </w:tcMar>
            <w:vAlign w:val="center"/>
          </w:tcPr>
          <w:p>
            <w:pPr>
              <w:spacing w:after="0" w:line="260" w:lineRule="auto"/>
            </w:pPr>
            <w:r>
              <w:rPr>
                <w:sz w:val="18"/>
              </w:rPr>
              <w:t>30/10/2026</w:t>
            </w:r>
          </w:p>
        </w:tc>
        <w:tc>
          <w:tcPr>
            <w:tcW w:w="6130" w:type="dxa"/>
            <w:tcMar>
              <w:top w:w="60" w:type="dxa"/>
              <w:left w:w="100" w:type="dxa"/>
              <w:bottom w:w="60" w:type="dxa"/>
              <w:right w:w="100" w:type="dxa"/>
            </w:tcMar>
            <w:vAlign w:val="center"/>
          </w:tcPr>
          <w:p>
            <w:pPr>
              <w:spacing w:after="0" w:line="260" w:lineRule="auto"/>
            </w:pPr>
            <w:r>
              <w:rPr>
                <w:sz w:val="18"/>
              </w:rPr>
              <w:t>Revisión de consistencia antes del cierre del Sprint 3. Sección 1, Anexo B y Anexo C: familias (vínculo padre–estudiante, US-20 y consulta del padre de US-11) pasa a ser módulo crítico y entra al coverageThreshold de M06. Sección 11: pdfkit reemplaza a pdfmake y se agrega ioredis. Sección 15 y Anexo F: los pendientes de reglas se cierran con las decisiones D1 a D20. matrices-sqap.xlsx, hoja Métricas: la columna "Dónde se configura" nombra las etapas del Jenkinsfile y no workflows de GitHub Actions que no existen, y M02 se mide en cada build de develop, como dice la Tabla 9. Tabla 1, Sección 3 y Anexo F: cliente piloto, la Unidad Educativa Nazareno, representada por la directora Fabiana Parrado y la profesora Fatima Carreño. Sección 1 y Anexo F: el docente aprobó US-17 a US-20 y dejar los pagos fuera. Sección 9 y 12: el monitor de M13 es UptimeRobot y el equipo se comunica por WhatsApp y Discord. Sección 10: develop es la rama por defecto en GitHub; rulesets de main y develop con el administrador como única excepción en main; respaldos de staging hasta que exista producción (primera restauración: 19 tablas, RTO 1 s) y prueba de restauración cada viernes. Secciones 5 y 9 y Anexo C: SonarQube Cloud se conectó el 30/10/2026 (T-030); el Quality Gate es "Sonar way", porque el plan gratuito no permite uno propio, y contiene las condiciones de M05, M07 y M08 con los mismos umbrales; como el plan gratuito solo analiza la rama principal, esta es develop y M05, M07 y M08 se miden en cada build de develop.</w:t>
            </w:r>
          </w:p>
        </w:tc>
        <w:tc>
          <w:tcPr>
            <w:tcW w:w="1000" w:type="dxa"/>
            <w:tcMar>
              <w:top w:w="60" w:type="dxa"/>
              <w:left w:w="100" w:type="dxa"/>
              <w:bottom w:w="60" w:type="dxa"/>
              <w:right w:w="100" w:type="dxa"/>
            </w:tcMar>
            <w:vAlign w:val="center"/>
          </w:tcPr>
          <w:p>
            <w:pPr>
              <w:spacing w:after="0" w:line="260" w:lineRule="auto"/>
            </w:pPr>
            <w:r>
              <w:rPr>
                <w:sz w:val="18"/>
              </w:rPr>
              <w:t>Lujan</w:t>
            </w:r>
          </w:p>
        </w:tc>
        <w:tc>
          <w:tcPr>
            <w:tcW w:w="1000" w:type="dxa"/>
            <w:tcMar>
              <w:top w:w="60" w:type="dxa"/>
              <w:left w:w="100" w:type="dxa"/>
              <w:bottom w:w="60" w:type="dxa"/>
              <w:right w:w="100" w:type="dxa"/>
            </w:tcMar>
            <w:vAlign w:val="center"/>
          </w:tcPr>
          <w:p>
            <w:pPr>
              <w:spacing w:after="0" w:line="260" w:lineRule="auto"/>
            </w:pPr>
            <w:r>
              <w:rPr>
                <w:sz w:val="18"/>
              </w:rPr>
              <w:t>Galvan</w:t>
            </w:r>
          </w:p>
        </w:tc>
      </w:tr>
    </w:tbl>
    <w:p>
      <w:pPr>
        <w:spacing w:after="60" w:line="276" w:lineRule="auto"/>
      </w:pPr>
    </w:p>
    <w:p>
      <w:pPr>
        <w:spacing w:after="120" w:line="276" w:lineRule="auto"/>
      </w:pPr>
      <w:r>
        <w:t>Rige desde la versión 1.0, antes del inicio de la semana 1. Las versiones 0.2 a 0.13 se registran por separado para que cada corrección sea identificable, como pide la Práctica 7.</w:t>
      </w:r>
    </w:p>
    <w:p>
      <w:r>
        <w:br w:type="page"/>
      </w:r>
    </w:p>
    <w:p>
      <w:pPr>
        <w:pStyle w:val="Ttulo1"/>
      </w:pPr>
      <w:r>
        <w:t>Anexo A — Requerimientos no funcionales (SRS 1.0)</w:t>
      </w:r>
    </w:p>
    <w:p>
      <w:pPr>
        <w:keepNext/>
        <w:spacing w:before="120" w:after="80" w:line="276" w:lineRule="auto"/>
      </w:pPr>
      <w:r>
        <w:rPr>
          <w:b/>
          <w:color w:val="1F4E79"/>
          <w:sz w:val="19"/>
        </w:rPr>
        <w:t xml:space="preserve">Tabla 33. </w:t>
      </w:r>
      <w:r>
        <w:rPr>
          <w:color w:val="595959"/>
          <w:sz w:val="19"/>
        </w:rPr>
        <w:t>Requerimientos no funcionales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100"/>
        <w:gridCol w:w="7480"/>
        <w:gridCol w:w="1500"/>
      </w:tblGrid>
      <w:tr>
        <w:trPr>
          <w:cantSplit/>
          <w:tblHeader/>
        </w:trPr>
        <w:tc>
          <w:tcPr>
            <w:tcW w:w="1100" w:type="dxa"/>
            <w:shd w:val="clear" w:color="auto" w:fill="DDEBF7"/>
            <w:tcMar>
              <w:top w:w="60" w:type="dxa"/>
              <w:left w:w="100" w:type="dxa"/>
              <w:bottom w:w="60" w:type="dxa"/>
              <w:right w:w="100" w:type="dxa"/>
            </w:tcMar>
          </w:tcPr>
          <w:p>
            <w:pPr>
              <w:spacing w:after="0" w:line="260" w:lineRule="auto"/>
            </w:pPr>
            <w:r>
              <w:rPr>
                <w:b/>
                <w:sz w:val="20"/>
              </w:rPr>
              <w:t>Código</w:t>
            </w:r>
          </w:p>
        </w:tc>
        <w:tc>
          <w:tcPr>
            <w:tcW w:w="7480" w:type="dxa"/>
            <w:shd w:val="clear" w:color="auto" w:fill="DDEBF7"/>
            <w:tcMar>
              <w:top w:w="60" w:type="dxa"/>
              <w:left w:w="100" w:type="dxa"/>
              <w:bottom w:w="60" w:type="dxa"/>
              <w:right w:w="100" w:type="dxa"/>
            </w:tcMar>
          </w:tcPr>
          <w:p>
            <w:pPr>
              <w:spacing w:after="0" w:line="260" w:lineRule="auto"/>
            </w:pPr>
            <w:r>
              <w:rPr>
                <w:b/>
                <w:sz w:val="20"/>
              </w:rPr>
              <w:t>Requerimiento</w:t>
            </w:r>
          </w:p>
        </w:tc>
        <w:tc>
          <w:tcPr>
            <w:tcW w:w="1500" w:type="dxa"/>
            <w:shd w:val="clear" w:color="auto" w:fill="DDEBF7"/>
            <w:tcMar>
              <w:top w:w="60" w:type="dxa"/>
              <w:left w:w="100" w:type="dxa"/>
              <w:bottom w:w="60" w:type="dxa"/>
              <w:right w:w="100" w:type="dxa"/>
            </w:tcMar>
          </w:tcPr>
          <w:p>
            <w:pPr>
              <w:spacing w:after="0" w:line="260" w:lineRule="auto"/>
            </w:pPr>
            <w:r>
              <w:rPr>
                <w:b/>
                <w:sz w:val="20"/>
              </w:rPr>
              <w:t>Métricas</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RNF-01</w:t>
            </w:r>
          </w:p>
        </w:tc>
        <w:tc>
          <w:tcPr>
            <w:tcW w:w="7480" w:type="dxa"/>
            <w:tcMar>
              <w:top w:w="60" w:type="dxa"/>
              <w:left w:w="100" w:type="dxa"/>
              <w:bottom w:w="60" w:type="dxa"/>
              <w:right w:w="100" w:type="dxa"/>
            </w:tcMar>
            <w:vAlign w:val="center"/>
          </w:tcPr>
          <w:p>
            <w:pPr>
              <w:spacing w:after="0" w:line="260" w:lineRule="auto"/>
            </w:pPr>
            <w:r>
              <w:rPr>
                <w:sz w:val="20"/>
              </w:rPr>
              <w:t>La nota trimestral se calcula según el reglamento vigente: puntos de cada dimensión = promedio de sus actividades × puntaje máximo / 100, con Ser 10, Saber 45, Hacer 40 y Autoevaluación 5 en 2026, configurables por gestión; nota trimestral = suma de las dimensiones redondeada al entero (0,5 hacia arriba), en la escala de 1 a 100; aprueba con 51. El 100 % de los casos de la tabla firmada por el cliente da el resultado esperado.</w:t>
            </w:r>
          </w:p>
        </w:tc>
        <w:tc>
          <w:tcPr>
            <w:tcW w:w="1500" w:type="dxa"/>
            <w:tcMar>
              <w:top w:w="60" w:type="dxa"/>
              <w:left w:w="100" w:type="dxa"/>
              <w:bottom w:w="60" w:type="dxa"/>
              <w:right w:w="100" w:type="dxa"/>
            </w:tcMar>
            <w:vAlign w:val="center"/>
          </w:tcPr>
          <w:p>
            <w:pPr>
              <w:spacing w:after="0" w:line="260" w:lineRule="auto"/>
            </w:pPr>
            <w:r>
              <w:rPr>
                <w:sz w:val="20"/>
              </w:rPr>
              <w:t>M01, M06</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RNF-02</w:t>
            </w:r>
          </w:p>
        </w:tc>
        <w:tc>
          <w:tcPr>
            <w:tcW w:w="7480" w:type="dxa"/>
            <w:tcMar>
              <w:top w:w="60" w:type="dxa"/>
              <w:left w:w="100" w:type="dxa"/>
              <w:bottom w:w="60" w:type="dxa"/>
              <w:right w:w="100" w:type="dxa"/>
            </w:tcMar>
            <w:vAlign w:val="center"/>
          </w:tcPr>
          <w:p>
            <w:pPr>
              <w:spacing w:after="0" w:line="260" w:lineRule="auto"/>
            </w:pPr>
            <w:r>
              <w:rPr>
                <w:sz w:val="20"/>
              </w:rPr>
              <w:t>Un profesor registra las notas de toda una actividad (hasta 60 estudiantes) en una sola operación: se guardan todas o ninguna. El 100 % de los escenarios E2E de registro, corrección y boletín pasan en staging.</w:t>
            </w:r>
          </w:p>
        </w:tc>
        <w:tc>
          <w:tcPr>
            <w:tcW w:w="1500" w:type="dxa"/>
            <w:tcMar>
              <w:top w:w="60" w:type="dxa"/>
              <w:left w:w="100" w:type="dxa"/>
              <w:bottom w:w="60" w:type="dxa"/>
              <w:right w:w="100" w:type="dxa"/>
            </w:tcMar>
            <w:vAlign w:val="center"/>
          </w:tcPr>
          <w:p>
            <w:pPr>
              <w:spacing w:after="0" w:line="260" w:lineRule="auto"/>
            </w:pPr>
            <w:r>
              <w:rPr>
                <w:sz w:val="20"/>
              </w:rPr>
              <w:t>M02</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RNF-03</w:t>
            </w:r>
          </w:p>
        </w:tc>
        <w:tc>
          <w:tcPr>
            <w:tcW w:w="7480" w:type="dxa"/>
            <w:tcMar>
              <w:top w:w="60" w:type="dxa"/>
              <w:left w:w="100" w:type="dxa"/>
              <w:bottom w:w="60" w:type="dxa"/>
              <w:right w:w="100" w:type="dxa"/>
            </w:tcMar>
            <w:vAlign w:val="center"/>
          </w:tcPr>
          <w:p>
            <w:pPr>
              <w:spacing w:after="0" w:line="260" w:lineRule="auto"/>
            </w:pPr>
            <w:r>
              <w:rPr>
                <w:sz w:val="20"/>
              </w:rPr>
              <w:t>El boletín de un estudiante se genera con p95 ≤ 2000 ms y tasa de error &lt; 1 % con 100 usuarios concurrentes durante 10 minutos; la planilla de notas se registra con tasa de error &lt; 1 % en las mismas condiciones. Los boletines de cursos de más de 50 estudiantes se generan en cola.</w:t>
            </w:r>
          </w:p>
        </w:tc>
        <w:tc>
          <w:tcPr>
            <w:tcW w:w="1500" w:type="dxa"/>
            <w:tcMar>
              <w:top w:w="60" w:type="dxa"/>
              <w:left w:w="100" w:type="dxa"/>
              <w:bottom w:w="60" w:type="dxa"/>
              <w:right w:w="100" w:type="dxa"/>
            </w:tcMar>
            <w:vAlign w:val="center"/>
          </w:tcPr>
          <w:p>
            <w:pPr>
              <w:spacing w:after="0" w:line="260" w:lineRule="auto"/>
            </w:pPr>
            <w:r>
              <w:rPr>
                <w:sz w:val="20"/>
              </w:rPr>
              <w:t>M03, M04</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RNF-04</w:t>
            </w:r>
          </w:p>
        </w:tc>
        <w:tc>
          <w:tcPr>
            <w:tcW w:w="7480" w:type="dxa"/>
            <w:tcMar>
              <w:top w:w="60" w:type="dxa"/>
              <w:left w:w="100" w:type="dxa"/>
              <w:bottom w:w="60" w:type="dxa"/>
              <w:right w:w="100" w:type="dxa"/>
            </w:tcMar>
            <w:vAlign w:val="center"/>
          </w:tcPr>
          <w:p>
            <w:pPr>
              <w:spacing w:after="0" w:line="260" w:lineRule="auto"/>
            </w:pPr>
            <w:r>
              <w:rPr>
                <w:sz w:val="20"/>
              </w:rPr>
              <w:t>Las notas son datos personales de menores y datos oficiales: solo el profesor asignado a la materia las modifica; un padre solo ve a sus hijos vinculados; el 100 % de las rutas protegidas rechazan con 403 al usuario sin permiso; el 100 % de los cambios de nota quedan auditados; 0 vulnerabilidades altas o críticas.</w:t>
            </w:r>
          </w:p>
        </w:tc>
        <w:tc>
          <w:tcPr>
            <w:tcW w:w="1500" w:type="dxa"/>
            <w:tcMar>
              <w:top w:w="60" w:type="dxa"/>
              <w:left w:w="100" w:type="dxa"/>
              <w:bottom w:w="60" w:type="dxa"/>
              <w:right w:w="100" w:type="dxa"/>
            </w:tcMar>
            <w:vAlign w:val="center"/>
          </w:tcPr>
          <w:p>
            <w:pPr>
              <w:spacing w:after="0" w:line="260" w:lineRule="auto"/>
            </w:pPr>
            <w:r>
              <w:rPr>
                <w:sz w:val="20"/>
              </w:rPr>
              <w:t>M08, M09, M15</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RNF-05</w:t>
            </w:r>
          </w:p>
        </w:tc>
        <w:tc>
          <w:tcPr>
            <w:tcW w:w="7480" w:type="dxa"/>
            <w:tcMar>
              <w:top w:w="60" w:type="dxa"/>
              <w:left w:w="100" w:type="dxa"/>
              <w:bottom w:w="60" w:type="dxa"/>
              <w:right w:w="100" w:type="dxa"/>
            </w:tcMar>
            <w:vAlign w:val="center"/>
          </w:tcPr>
          <w:p>
            <w:pPr>
              <w:spacing w:after="0" w:line="260" w:lineRule="auto"/>
            </w:pPr>
            <w:r>
              <w:rPr>
                <w:sz w:val="20"/>
              </w:rPr>
              <w:t>El código puede mantenerlo un equipo nuevo: cobertura ≥ 80 % en código nuevo y ≥ 90 % en módulos críticos; duplicación ≤ 3 %; 0 errores y advertencias de lint y formato.</w:t>
            </w:r>
          </w:p>
        </w:tc>
        <w:tc>
          <w:tcPr>
            <w:tcW w:w="1500" w:type="dxa"/>
            <w:tcMar>
              <w:top w:w="60" w:type="dxa"/>
              <w:left w:w="100" w:type="dxa"/>
              <w:bottom w:w="60" w:type="dxa"/>
              <w:right w:w="100" w:type="dxa"/>
            </w:tcMar>
            <w:vAlign w:val="center"/>
          </w:tcPr>
          <w:p>
            <w:pPr>
              <w:spacing w:after="0" w:line="260" w:lineRule="auto"/>
            </w:pPr>
            <w:r>
              <w:rPr>
                <w:sz w:val="20"/>
              </w:rPr>
              <w:t>M05, M06, M07, M16</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RNF-06</w:t>
            </w:r>
          </w:p>
        </w:tc>
        <w:tc>
          <w:tcPr>
            <w:tcW w:w="7480" w:type="dxa"/>
            <w:tcMar>
              <w:top w:w="60" w:type="dxa"/>
              <w:left w:w="100" w:type="dxa"/>
              <w:bottom w:w="60" w:type="dxa"/>
              <w:right w:w="100" w:type="dxa"/>
            </w:tcMar>
            <w:vAlign w:val="center"/>
          </w:tcPr>
          <w:p>
            <w:pPr>
              <w:spacing w:after="0" w:line="260" w:lineRule="auto"/>
            </w:pPr>
            <w:r>
              <w:rPr>
                <w:sz w:val="20"/>
              </w:rPr>
              <w:t>Un profesor que nunca usó el sistema registra las notas de una actividad sin ayuda: al menos 4 de 5 profesores lo logran y el SUS promedio es ≥ 68.</w:t>
            </w:r>
          </w:p>
        </w:tc>
        <w:tc>
          <w:tcPr>
            <w:tcW w:w="1500" w:type="dxa"/>
            <w:tcMar>
              <w:top w:w="60" w:type="dxa"/>
              <w:left w:w="100" w:type="dxa"/>
              <w:bottom w:w="60" w:type="dxa"/>
              <w:right w:w="100" w:type="dxa"/>
            </w:tcMar>
            <w:vAlign w:val="center"/>
          </w:tcPr>
          <w:p>
            <w:pPr>
              <w:spacing w:after="0" w:line="260" w:lineRule="auto"/>
            </w:pPr>
            <w:r>
              <w:rPr>
                <w:sz w:val="20"/>
              </w:rPr>
              <w:t>M11, M12</w:t>
            </w:r>
          </w:p>
        </w:tc>
      </w:tr>
      <w:tr>
        <w:trPr>
          <w:cantSplit/>
        </w:trPr>
        <w:tc>
          <w:tcPr>
            <w:tcW w:w="1100" w:type="dxa"/>
            <w:tcMar>
              <w:top w:w="60" w:type="dxa"/>
              <w:left w:w="100" w:type="dxa"/>
              <w:bottom w:w="60" w:type="dxa"/>
              <w:right w:w="100" w:type="dxa"/>
            </w:tcMar>
            <w:vAlign w:val="center"/>
          </w:tcPr>
          <w:p>
            <w:pPr>
              <w:spacing w:after="0" w:line="260" w:lineRule="auto"/>
            </w:pPr>
            <w:r>
              <w:rPr>
                <w:sz w:val="20"/>
              </w:rPr>
              <w:t>RNF-07</w:t>
            </w:r>
          </w:p>
        </w:tc>
        <w:tc>
          <w:tcPr>
            <w:tcW w:w="7480" w:type="dxa"/>
            <w:tcMar>
              <w:top w:w="60" w:type="dxa"/>
              <w:left w:w="100" w:type="dxa"/>
              <w:bottom w:w="60" w:type="dxa"/>
              <w:right w:w="100" w:type="dxa"/>
            </w:tcMar>
            <w:vAlign w:val="center"/>
          </w:tcPr>
          <w:p>
            <w:pPr>
              <w:spacing w:after="0" w:line="260" w:lineRule="auto"/>
            </w:pPr>
            <w:r>
              <w:rPr>
                <w:sz w:val="20"/>
              </w:rPr>
              <w:t>Producción está disponible al menos el 99,0 % del mes; la base se respalda cada día (RPO ≤ 24 h) y se restaura en 2 horas o menos (RTO ≤ 2 h).</w:t>
            </w:r>
          </w:p>
        </w:tc>
        <w:tc>
          <w:tcPr>
            <w:tcW w:w="1500" w:type="dxa"/>
            <w:tcMar>
              <w:top w:w="60" w:type="dxa"/>
              <w:left w:w="100" w:type="dxa"/>
              <w:bottom w:w="60" w:type="dxa"/>
              <w:right w:w="100" w:type="dxa"/>
            </w:tcMar>
            <w:vAlign w:val="center"/>
          </w:tcPr>
          <w:p>
            <w:pPr>
              <w:spacing w:after="0" w:line="260" w:lineRule="auto"/>
            </w:pPr>
            <w:r>
              <w:rPr>
                <w:sz w:val="20"/>
              </w:rPr>
              <w:t>M13, M14</w:t>
            </w:r>
          </w:p>
        </w:tc>
      </w:tr>
    </w:tbl>
    <w:p>
      <w:pPr>
        <w:spacing w:after="60" w:line="276" w:lineRule="auto"/>
      </w:pPr>
    </w:p>
    <w:p>
      <w:pPr>
        <w:pStyle w:val="Ttulo1"/>
      </w:pPr>
      <w:r>
        <w:t>Anexo B — Trazabilidad historia → módulo → pruebas → métricas</w:t>
      </w:r>
    </w:p>
    <w:p>
      <w:pPr>
        <w:keepNext/>
        <w:spacing w:before="120" w:after="80" w:line="276" w:lineRule="auto"/>
      </w:pPr>
      <w:r>
        <w:rPr>
          <w:b/>
          <w:color w:val="1F4E79"/>
          <w:sz w:val="19"/>
        </w:rPr>
        <w:t xml:space="preserve">Tabla 34. </w:t>
      </w:r>
      <w:r>
        <w:rPr>
          <w:color w:val="595959"/>
          <w:sz w:val="19"/>
        </w:rPr>
        <w:t>Trazabilidad de las historias del alcance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700"/>
        <w:gridCol w:w="2100"/>
        <w:gridCol w:w="3900"/>
        <w:gridCol w:w="1380"/>
      </w:tblGrid>
      <w:tr>
        <w:trPr>
          <w:cantSplit/>
          <w:tblHeader/>
        </w:trPr>
        <w:tc>
          <w:tcPr>
            <w:tcW w:w="2700" w:type="dxa"/>
            <w:shd w:val="clear" w:color="auto" w:fill="DDEBF7"/>
            <w:tcMar>
              <w:top w:w="60" w:type="dxa"/>
              <w:left w:w="100" w:type="dxa"/>
              <w:bottom w:w="60" w:type="dxa"/>
              <w:right w:w="100" w:type="dxa"/>
            </w:tcMar>
          </w:tcPr>
          <w:p>
            <w:pPr>
              <w:spacing w:after="0" w:line="260" w:lineRule="auto"/>
            </w:pPr>
            <w:r>
              <w:rPr>
                <w:b/>
                <w:sz w:val="18"/>
              </w:rPr>
              <w:t>Historia</w:t>
            </w:r>
          </w:p>
        </w:tc>
        <w:tc>
          <w:tcPr>
            <w:tcW w:w="2100" w:type="dxa"/>
            <w:shd w:val="clear" w:color="auto" w:fill="DDEBF7"/>
            <w:tcMar>
              <w:top w:w="60" w:type="dxa"/>
              <w:left w:w="100" w:type="dxa"/>
              <w:bottom w:w="60" w:type="dxa"/>
              <w:right w:w="100" w:type="dxa"/>
            </w:tcMar>
          </w:tcPr>
          <w:p>
            <w:pPr>
              <w:spacing w:after="0" w:line="260" w:lineRule="auto"/>
            </w:pPr>
            <w:r>
              <w:rPr>
                <w:b/>
                <w:sz w:val="18"/>
              </w:rPr>
              <w:t>Módulo</w:t>
            </w:r>
          </w:p>
        </w:tc>
        <w:tc>
          <w:tcPr>
            <w:tcW w:w="3900" w:type="dxa"/>
            <w:shd w:val="clear" w:color="auto" w:fill="DDEBF7"/>
            <w:tcMar>
              <w:top w:w="60" w:type="dxa"/>
              <w:left w:w="100" w:type="dxa"/>
              <w:bottom w:w="60" w:type="dxa"/>
              <w:right w:w="100" w:type="dxa"/>
            </w:tcMar>
          </w:tcPr>
          <w:p>
            <w:pPr>
              <w:spacing w:after="0" w:line="260" w:lineRule="auto"/>
            </w:pPr>
            <w:r>
              <w:rPr>
                <w:b/>
                <w:sz w:val="18"/>
              </w:rPr>
              <w:t>Pruebas que la verifican</w:t>
            </w:r>
          </w:p>
        </w:tc>
        <w:tc>
          <w:tcPr>
            <w:tcW w:w="1380" w:type="dxa"/>
            <w:shd w:val="clear" w:color="auto" w:fill="DDEBF7"/>
            <w:tcMar>
              <w:top w:w="60" w:type="dxa"/>
              <w:left w:w="100" w:type="dxa"/>
              <w:bottom w:w="60" w:type="dxa"/>
              <w:right w:w="100" w:type="dxa"/>
            </w:tcMar>
          </w:tcPr>
          <w:p>
            <w:pPr>
              <w:spacing w:after="0" w:line="260" w:lineRule="auto"/>
            </w:pPr>
            <w:r>
              <w:rPr>
                <w:b/>
                <w:sz w:val="18"/>
              </w:rPr>
              <w:t>Métricas</w:t>
            </w:r>
          </w:p>
        </w:tc>
      </w:tr>
      <w:tr>
        <w:trPr>
          <w:cantSplit/>
        </w:trPr>
        <w:tc>
          <w:tcPr>
            <w:tcW w:w="2700" w:type="dxa"/>
            <w:tcMar>
              <w:top w:w="60" w:type="dxa"/>
              <w:left w:w="100" w:type="dxa"/>
              <w:bottom w:w="60" w:type="dxa"/>
              <w:right w:w="100" w:type="dxa"/>
            </w:tcMar>
            <w:vAlign w:val="center"/>
          </w:tcPr>
          <w:p>
            <w:pPr>
              <w:spacing w:after="0" w:line="260" w:lineRule="auto"/>
            </w:pPr>
            <w:r>
              <w:rPr>
                <w:sz w:val="18"/>
              </w:rPr>
              <w:t>US-17 Autenticación y roles</w:t>
            </w:r>
          </w:p>
        </w:tc>
        <w:tc>
          <w:tcPr>
            <w:tcW w:w="2100" w:type="dxa"/>
            <w:tcMar>
              <w:top w:w="60" w:type="dxa"/>
              <w:left w:w="100" w:type="dxa"/>
              <w:bottom w:w="60" w:type="dxa"/>
              <w:right w:w="100" w:type="dxa"/>
            </w:tcMar>
            <w:vAlign w:val="center"/>
          </w:tcPr>
          <w:p>
            <w:pPr>
              <w:spacing w:after="0" w:line="260" w:lineRule="auto"/>
            </w:pPr>
            <w:r>
              <w:rPr>
                <w:sz w:val="18"/>
              </w:rPr>
              <w:t>auth (crítico)</w:t>
            </w:r>
          </w:p>
        </w:tc>
        <w:tc>
          <w:tcPr>
            <w:tcW w:w="3900" w:type="dxa"/>
            <w:tcMar>
              <w:top w:w="60" w:type="dxa"/>
              <w:left w:w="100" w:type="dxa"/>
              <w:bottom w:w="60" w:type="dxa"/>
              <w:right w:w="100" w:type="dxa"/>
            </w:tcMar>
            <w:vAlign w:val="center"/>
          </w:tcPr>
          <w:p>
            <w:pPr>
              <w:spacing w:after="0" w:line="260" w:lineRule="auto"/>
            </w:pPr>
            <w:r>
              <w:rPr>
                <w:sz w:val="18"/>
              </w:rPr>
              <w:t xml:space="preserve">Jest: guards y bloqueo; Supertest: </w:t>
            </w:r>
            <w:r>
              <w:rPr>
                <w:rFonts w:ascii="Consolas" w:hAnsi="Consolas" w:cs="Consolas"/>
                <w:sz w:val="17"/>
              </w:rPr>
              <w:t>autorizacion.e2e-spec.ts</w:t>
            </w:r>
            <w:r>
              <w:rPr>
                <w:sz w:val="18"/>
              </w:rPr>
              <w:t>; Cypress: inicio de sesión por rol</w:t>
            </w:r>
          </w:p>
        </w:tc>
        <w:tc>
          <w:tcPr>
            <w:tcW w:w="1380" w:type="dxa"/>
            <w:tcMar>
              <w:top w:w="60" w:type="dxa"/>
              <w:left w:w="100" w:type="dxa"/>
              <w:bottom w:w="60" w:type="dxa"/>
              <w:right w:w="100" w:type="dxa"/>
            </w:tcMar>
            <w:vAlign w:val="center"/>
          </w:tcPr>
          <w:p>
            <w:pPr>
              <w:spacing w:after="0" w:line="260" w:lineRule="auto"/>
            </w:pPr>
            <w:r>
              <w:rPr>
                <w:sz w:val="18"/>
              </w:rPr>
              <w:t>M09,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US-18 Gestión académica base</w:t>
            </w:r>
          </w:p>
        </w:tc>
        <w:tc>
          <w:tcPr>
            <w:tcW w:w="2100" w:type="dxa"/>
            <w:tcMar>
              <w:top w:w="60" w:type="dxa"/>
              <w:left w:w="100" w:type="dxa"/>
              <w:bottom w:w="60" w:type="dxa"/>
              <w:right w:w="100" w:type="dxa"/>
            </w:tcMar>
            <w:vAlign w:val="center"/>
          </w:tcPr>
          <w:p>
            <w:pPr>
              <w:spacing w:after="0" w:line="260" w:lineRule="auto"/>
            </w:pPr>
            <w:r>
              <w:rPr>
                <w:sz w:val="18"/>
              </w:rPr>
              <w:t>academico; calculo (dimensiones)</w:t>
            </w:r>
          </w:p>
        </w:tc>
        <w:tc>
          <w:tcPr>
            <w:tcW w:w="3900" w:type="dxa"/>
            <w:tcMar>
              <w:top w:w="60" w:type="dxa"/>
              <w:left w:w="100" w:type="dxa"/>
              <w:bottom w:w="60" w:type="dxa"/>
              <w:right w:w="100" w:type="dxa"/>
            </w:tcMar>
            <w:vAlign w:val="center"/>
          </w:tcPr>
          <w:p>
            <w:pPr>
              <w:spacing w:after="0" w:line="260" w:lineRule="auto"/>
            </w:pPr>
            <w:r>
              <w:rPr>
                <w:sz w:val="18"/>
              </w:rPr>
              <w:t>Jest: validaciones y dimensiones que suman 100; Supertest: CRUD; Cypress: secretaria</w:t>
            </w:r>
          </w:p>
        </w:tc>
        <w:tc>
          <w:tcPr>
            <w:tcW w:w="1380" w:type="dxa"/>
            <w:tcMar>
              <w:top w:w="60" w:type="dxa"/>
              <w:left w:w="100" w:type="dxa"/>
              <w:bottom w:w="60" w:type="dxa"/>
              <w:right w:w="100" w:type="dxa"/>
            </w:tcMar>
            <w:vAlign w:val="center"/>
          </w:tcPr>
          <w:p>
            <w:pPr>
              <w:spacing w:after="0" w:line="260" w:lineRule="auto"/>
            </w:pPr>
            <w:r>
              <w:rPr>
                <w:sz w:val="18"/>
              </w:rPr>
              <w:t>M01,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US-01 Registro central de notas</w:t>
            </w:r>
          </w:p>
        </w:tc>
        <w:tc>
          <w:tcPr>
            <w:tcW w:w="2100" w:type="dxa"/>
            <w:tcMar>
              <w:top w:w="60" w:type="dxa"/>
              <w:left w:w="100" w:type="dxa"/>
              <w:bottom w:w="60" w:type="dxa"/>
              <w:right w:w="100" w:type="dxa"/>
            </w:tcMar>
            <w:vAlign w:val="center"/>
          </w:tcPr>
          <w:p>
            <w:pPr>
              <w:spacing w:after="0" w:line="260" w:lineRule="auto"/>
            </w:pPr>
            <w:r>
              <w:rPr>
                <w:sz w:val="18"/>
              </w:rPr>
              <w:t>notas (crítico)</w:t>
            </w:r>
          </w:p>
        </w:tc>
        <w:tc>
          <w:tcPr>
            <w:tcW w:w="3900" w:type="dxa"/>
            <w:tcMar>
              <w:top w:w="60" w:type="dxa"/>
              <w:left w:w="100" w:type="dxa"/>
              <w:bottom w:w="60" w:type="dxa"/>
              <w:right w:w="100" w:type="dxa"/>
            </w:tcMar>
            <w:vAlign w:val="center"/>
          </w:tcPr>
          <w:p>
            <w:pPr>
              <w:spacing w:after="0" w:line="260" w:lineRule="auto"/>
            </w:pPr>
            <w:r>
              <w:rPr>
                <w:sz w:val="18"/>
              </w:rPr>
              <w:t>Jest (TDD): rango 1 a 100, transacción; Supertest; Cypress: Registrar calificación; JMeter: planilla</w:t>
            </w:r>
          </w:p>
        </w:tc>
        <w:tc>
          <w:tcPr>
            <w:tcW w:w="1380" w:type="dxa"/>
            <w:tcMar>
              <w:top w:w="60" w:type="dxa"/>
              <w:left w:w="100" w:type="dxa"/>
              <w:bottom w:w="60" w:type="dxa"/>
              <w:right w:w="100" w:type="dxa"/>
            </w:tcMar>
            <w:vAlign w:val="center"/>
          </w:tcPr>
          <w:p>
            <w:pPr>
              <w:spacing w:after="0" w:line="260" w:lineRule="auto"/>
            </w:pPr>
            <w:r>
              <w:rPr>
                <w:sz w:val="18"/>
              </w:rPr>
              <w:t>M01, M02, M04,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US-02 Cálculo automático</w:t>
            </w:r>
          </w:p>
        </w:tc>
        <w:tc>
          <w:tcPr>
            <w:tcW w:w="2100" w:type="dxa"/>
            <w:tcMar>
              <w:top w:w="60" w:type="dxa"/>
              <w:left w:w="100" w:type="dxa"/>
              <w:bottom w:w="60" w:type="dxa"/>
              <w:right w:w="100" w:type="dxa"/>
            </w:tcMar>
            <w:vAlign w:val="center"/>
          </w:tcPr>
          <w:p>
            <w:pPr>
              <w:spacing w:after="0" w:line="260" w:lineRule="auto"/>
            </w:pPr>
            <w:r>
              <w:rPr>
                <w:sz w:val="18"/>
              </w:rPr>
              <w:t>calculo (crítico)</w:t>
            </w:r>
          </w:p>
        </w:tc>
        <w:tc>
          <w:tcPr>
            <w:tcW w:w="3900" w:type="dxa"/>
            <w:tcMar>
              <w:top w:w="60" w:type="dxa"/>
              <w:left w:w="100" w:type="dxa"/>
              <w:bottom w:w="60" w:type="dxa"/>
              <w:right w:w="100" w:type="dxa"/>
            </w:tcMar>
            <w:vAlign w:val="center"/>
          </w:tcPr>
          <w:p>
            <w:pPr>
              <w:spacing w:after="0" w:line="260" w:lineRule="auto"/>
            </w:pPr>
            <w:r>
              <w:rPr>
                <w:sz w:val="18"/>
              </w:rPr>
              <w:t xml:space="preserve">Jest (TDD): </w:t>
            </w:r>
            <w:r>
              <w:rPr>
                <w:rFonts w:ascii="Consolas" w:hAnsi="Consolas" w:cs="Consolas"/>
                <w:sz w:val="17"/>
              </w:rPr>
              <w:t>calculo.casos.spec.ts</w:t>
            </w:r>
            <w:r>
              <w:rPr>
                <w:sz w:val="18"/>
              </w:rPr>
              <w:t xml:space="preserve"> con la tabla firmada</w:t>
            </w:r>
          </w:p>
        </w:tc>
        <w:tc>
          <w:tcPr>
            <w:tcW w:w="1380" w:type="dxa"/>
            <w:tcMar>
              <w:top w:w="60" w:type="dxa"/>
              <w:left w:w="100" w:type="dxa"/>
              <w:bottom w:w="60" w:type="dxa"/>
              <w:right w:w="100" w:type="dxa"/>
            </w:tcMar>
            <w:vAlign w:val="center"/>
          </w:tcPr>
          <w:p>
            <w:pPr>
              <w:spacing w:after="0" w:line="260" w:lineRule="auto"/>
            </w:pPr>
            <w:r>
              <w:rPr>
                <w:sz w:val="18"/>
              </w:rPr>
              <w:t>M01,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US-04 Corrección auditable</w:t>
            </w:r>
          </w:p>
        </w:tc>
        <w:tc>
          <w:tcPr>
            <w:tcW w:w="2100" w:type="dxa"/>
            <w:tcMar>
              <w:top w:w="60" w:type="dxa"/>
              <w:left w:w="100" w:type="dxa"/>
              <w:bottom w:w="60" w:type="dxa"/>
              <w:right w:w="100" w:type="dxa"/>
            </w:tcMar>
            <w:vAlign w:val="center"/>
          </w:tcPr>
          <w:p>
            <w:pPr>
              <w:spacing w:after="0" w:line="260" w:lineRule="auto"/>
            </w:pPr>
            <w:r>
              <w:rPr>
                <w:sz w:val="18"/>
              </w:rPr>
              <w:t>auditoria (crítico)</w:t>
            </w:r>
          </w:p>
        </w:tc>
        <w:tc>
          <w:tcPr>
            <w:tcW w:w="3900" w:type="dxa"/>
            <w:tcMar>
              <w:top w:w="60" w:type="dxa"/>
              <w:left w:w="100" w:type="dxa"/>
              <w:bottom w:w="60" w:type="dxa"/>
              <w:right w:w="100" w:type="dxa"/>
            </w:tcMar>
            <w:vAlign w:val="center"/>
          </w:tcPr>
          <w:p>
            <w:pPr>
              <w:spacing w:after="0" w:line="260" w:lineRule="auto"/>
            </w:pPr>
            <w:r>
              <w:rPr>
                <w:sz w:val="18"/>
              </w:rPr>
              <w:t xml:space="preserve">Jest (TDD); Supertest: </w:t>
            </w:r>
            <w:r>
              <w:rPr>
                <w:rFonts w:ascii="Consolas" w:hAnsi="Consolas" w:cs="Consolas"/>
                <w:sz w:val="17"/>
              </w:rPr>
              <w:t>auditoria.e2e-spec.ts</w:t>
            </w:r>
            <w:r>
              <w:rPr>
                <w:sz w:val="18"/>
              </w:rPr>
              <w:t>; Cypress</w:t>
            </w:r>
          </w:p>
        </w:tc>
        <w:tc>
          <w:tcPr>
            <w:tcW w:w="1380" w:type="dxa"/>
            <w:tcMar>
              <w:top w:w="60" w:type="dxa"/>
              <w:left w:w="100" w:type="dxa"/>
              <w:bottom w:w="60" w:type="dxa"/>
              <w:right w:w="100" w:type="dxa"/>
            </w:tcMar>
            <w:vAlign w:val="center"/>
          </w:tcPr>
          <w:p>
            <w:pPr>
              <w:spacing w:after="0" w:line="260" w:lineRule="auto"/>
            </w:pPr>
            <w:r>
              <w:rPr>
                <w:sz w:val="18"/>
              </w:rPr>
              <w:t>M15, M06, M02</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US-03 Historial académico</w:t>
            </w:r>
          </w:p>
        </w:tc>
        <w:tc>
          <w:tcPr>
            <w:tcW w:w="2100" w:type="dxa"/>
            <w:tcMar>
              <w:top w:w="60" w:type="dxa"/>
              <w:left w:w="100" w:type="dxa"/>
              <w:bottom w:w="60" w:type="dxa"/>
              <w:right w:w="100" w:type="dxa"/>
            </w:tcMar>
            <w:vAlign w:val="center"/>
          </w:tcPr>
          <w:p>
            <w:pPr>
              <w:spacing w:after="0" w:line="260" w:lineRule="auto"/>
            </w:pPr>
            <w:r>
              <w:rPr>
                <w:sz w:val="18"/>
              </w:rPr>
              <w:t>notas</w:t>
            </w:r>
          </w:p>
        </w:tc>
        <w:tc>
          <w:tcPr>
            <w:tcW w:w="3900" w:type="dxa"/>
            <w:tcMar>
              <w:top w:w="60" w:type="dxa"/>
              <w:left w:w="100" w:type="dxa"/>
              <w:bottom w:w="60" w:type="dxa"/>
              <w:right w:w="100" w:type="dxa"/>
            </w:tcMar>
            <w:vAlign w:val="center"/>
          </w:tcPr>
          <w:p>
            <w:pPr>
              <w:spacing w:after="0" w:line="260" w:lineRule="auto"/>
            </w:pPr>
            <w:r>
              <w:rPr>
                <w:sz w:val="18"/>
              </w:rPr>
              <w:t>Supertest: 403 para estudiantes ajenos; Cypress</w:t>
            </w:r>
          </w:p>
        </w:tc>
        <w:tc>
          <w:tcPr>
            <w:tcW w:w="1380" w:type="dxa"/>
            <w:tcMar>
              <w:top w:w="60" w:type="dxa"/>
              <w:left w:w="100" w:type="dxa"/>
              <w:bottom w:w="60" w:type="dxa"/>
              <w:right w:w="100" w:type="dxa"/>
            </w:tcMar>
            <w:vAlign w:val="center"/>
          </w:tcPr>
          <w:p>
            <w:pPr>
              <w:spacing w:after="0" w:line="260" w:lineRule="auto"/>
            </w:pPr>
            <w:r>
              <w:rPr>
                <w:sz w:val="18"/>
              </w:rPr>
              <w:t>M09, M02</w:t>
            </w:r>
          </w:p>
        </w:tc>
      </w:tr>
      <w:tr>
        <w:trPr>
          <w:cantSplit/>
        </w:trPr>
        <w:tc>
          <w:tcPr>
            <w:tcW w:w="2700" w:type="dxa"/>
            <w:tcMar>
              <w:top w:w="60" w:type="dxa"/>
              <w:left w:w="100" w:type="dxa"/>
              <w:bottom w:w="60" w:type="dxa"/>
              <w:right w:w="100" w:type="dxa"/>
            </w:tcMar>
            <w:vAlign w:val="center"/>
          </w:tcPr>
          <w:p>
            <w:pPr>
              <w:spacing w:after="0" w:line="260" w:lineRule="auto"/>
            </w:pPr>
            <w:r>
              <w:rPr>
                <w:sz w:val="18"/>
              </w:rPr>
              <w:t>US-19 Asistencia</w:t>
            </w:r>
          </w:p>
        </w:tc>
        <w:tc>
          <w:tcPr>
            <w:tcW w:w="2100" w:type="dxa"/>
            <w:tcMar>
              <w:top w:w="60" w:type="dxa"/>
              <w:left w:w="100" w:type="dxa"/>
              <w:bottom w:w="60" w:type="dxa"/>
              <w:right w:w="100" w:type="dxa"/>
            </w:tcMar>
            <w:vAlign w:val="center"/>
          </w:tcPr>
          <w:p>
            <w:pPr>
              <w:spacing w:after="0" w:line="260" w:lineRule="auto"/>
            </w:pPr>
            <w:r>
              <w:rPr>
                <w:sz w:val="18"/>
              </w:rPr>
              <w:t>asistencia</w:t>
            </w:r>
          </w:p>
        </w:tc>
        <w:tc>
          <w:tcPr>
            <w:tcW w:w="3900" w:type="dxa"/>
            <w:tcMar>
              <w:top w:w="60" w:type="dxa"/>
              <w:left w:w="100" w:type="dxa"/>
              <w:bottom w:w="60" w:type="dxa"/>
              <w:right w:w="100" w:type="dxa"/>
            </w:tcMar>
            <w:vAlign w:val="center"/>
          </w:tcPr>
          <w:p>
            <w:pPr>
              <w:spacing w:after="0" w:line="260" w:lineRule="auto"/>
            </w:pPr>
            <w:r>
              <w:rPr>
                <w:sz w:val="18"/>
              </w:rPr>
              <w:t>Jest: porcentaje y fechas; Cypress</w:t>
            </w:r>
          </w:p>
        </w:tc>
        <w:tc>
          <w:tcPr>
            <w:tcW w:w="1380" w:type="dxa"/>
            <w:tcMar>
              <w:top w:w="60" w:type="dxa"/>
              <w:left w:w="100" w:type="dxa"/>
              <w:bottom w:w="60" w:type="dxa"/>
              <w:right w:w="100" w:type="dxa"/>
            </w:tcMar>
            <w:vAlign w:val="center"/>
          </w:tcPr>
          <w:p>
            <w:pPr>
              <w:spacing w:after="0" w:line="260" w:lineRule="auto"/>
            </w:pPr>
            <w:r>
              <w:rPr>
                <w:sz w:val="18"/>
              </w:rPr>
              <w:t>M05</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US-05 Importación desde Excel</w:t>
            </w:r>
          </w:p>
        </w:tc>
        <w:tc>
          <w:tcPr>
            <w:tcW w:w="2100" w:type="dxa"/>
            <w:tcMar>
              <w:top w:w="60" w:type="dxa"/>
              <w:left w:w="100" w:type="dxa"/>
              <w:bottom w:w="60" w:type="dxa"/>
              <w:right w:w="100" w:type="dxa"/>
            </w:tcMar>
            <w:vAlign w:val="center"/>
          </w:tcPr>
          <w:p>
            <w:pPr>
              <w:spacing w:after="0" w:line="260" w:lineRule="auto"/>
            </w:pPr>
            <w:r>
              <w:rPr>
                <w:sz w:val="18"/>
              </w:rPr>
              <w:t>importacion → notas</w:t>
            </w:r>
          </w:p>
        </w:tc>
        <w:tc>
          <w:tcPr>
            <w:tcW w:w="3900" w:type="dxa"/>
            <w:tcMar>
              <w:top w:w="60" w:type="dxa"/>
              <w:left w:w="100" w:type="dxa"/>
              <w:bottom w:w="60" w:type="dxa"/>
              <w:right w:w="100" w:type="dxa"/>
            </w:tcMar>
            <w:vAlign w:val="center"/>
          </w:tcPr>
          <w:p>
            <w:pPr>
              <w:spacing w:after="0" w:line="260" w:lineRule="auto"/>
            </w:pPr>
            <w:r>
              <w:rPr>
                <w:sz w:val="18"/>
              </w:rPr>
              <w:t>Jest: validación por fila; Supertest: auditoría con origen; Cypress</w:t>
            </w:r>
          </w:p>
        </w:tc>
        <w:tc>
          <w:tcPr>
            <w:tcW w:w="1380" w:type="dxa"/>
            <w:tcMar>
              <w:top w:w="60" w:type="dxa"/>
              <w:left w:w="100" w:type="dxa"/>
              <w:bottom w:w="60" w:type="dxa"/>
              <w:right w:w="100" w:type="dxa"/>
            </w:tcMar>
            <w:vAlign w:val="center"/>
          </w:tcPr>
          <w:p>
            <w:pPr>
              <w:spacing w:after="0" w:line="260" w:lineRule="auto"/>
            </w:pPr>
            <w:r>
              <w:rPr>
                <w:sz w:val="18"/>
              </w:rPr>
              <w:t>M15,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US-10 Control de entrega</w:t>
            </w:r>
          </w:p>
        </w:tc>
        <w:tc>
          <w:tcPr>
            <w:tcW w:w="2100" w:type="dxa"/>
            <w:tcMar>
              <w:top w:w="60" w:type="dxa"/>
              <w:left w:w="100" w:type="dxa"/>
              <w:bottom w:w="60" w:type="dxa"/>
              <w:right w:w="100" w:type="dxa"/>
            </w:tcMar>
            <w:vAlign w:val="center"/>
          </w:tcPr>
          <w:p>
            <w:pPr>
              <w:spacing w:after="0" w:line="260" w:lineRule="auto"/>
            </w:pPr>
            <w:r>
              <w:rPr>
                <w:sz w:val="18"/>
              </w:rPr>
              <w:t>centralizacion</w:t>
            </w:r>
          </w:p>
        </w:tc>
        <w:tc>
          <w:tcPr>
            <w:tcW w:w="3900" w:type="dxa"/>
            <w:tcMar>
              <w:top w:w="60" w:type="dxa"/>
              <w:left w:w="100" w:type="dxa"/>
              <w:bottom w:w="60" w:type="dxa"/>
              <w:right w:w="100" w:type="dxa"/>
            </w:tcMar>
            <w:vAlign w:val="center"/>
          </w:tcPr>
          <w:p>
            <w:pPr>
              <w:spacing w:after="0" w:line="260" w:lineRule="auto"/>
            </w:pPr>
            <w:r>
              <w:rPr>
                <w:sz w:val="18"/>
              </w:rPr>
              <w:t>Jest; Cypress</w:t>
            </w:r>
          </w:p>
        </w:tc>
        <w:tc>
          <w:tcPr>
            <w:tcW w:w="1380" w:type="dxa"/>
            <w:tcMar>
              <w:top w:w="60" w:type="dxa"/>
              <w:left w:w="100" w:type="dxa"/>
              <w:bottom w:w="60" w:type="dxa"/>
              <w:right w:w="100" w:type="dxa"/>
            </w:tcMar>
            <w:vAlign w:val="center"/>
          </w:tcPr>
          <w:p>
            <w:pPr>
              <w:spacing w:after="0" w:line="260" w:lineRule="auto"/>
            </w:pPr>
            <w:r>
              <w:rPr>
                <w:sz w:val="18"/>
              </w:rPr>
              <w:t>M05</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US-06 Panel de riesgo</w:t>
            </w:r>
          </w:p>
        </w:tc>
        <w:tc>
          <w:tcPr>
            <w:tcW w:w="2100" w:type="dxa"/>
            <w:tcMar>
              <w:top w:w="60" w:type="dxa"/>
              <w:left w:w="100" w:type="dxa"/>
              <w:bottom w:w="60" w:type="dxa"/>
              <w:right w:w="100" w:type="dxa"/>
            </w:tcMar>
            <w:vAlign w:val="center"/>
          </w:tcPr>
          <w:p>
            <w:pPr>
              <w:spacing w:after="0" w:line="260" w:lineRule="auto"/>
            </w:pPr>
            <w:r>
              <w:rPr>
                <w:sz w:val="18"/>
              </w:rPr>
              <w:t>panel</w:t>
            </w:r>
          </w:p>
        </w:tc>
        <w:tc>
          <w:tcPr>
            <w:tcW w:w="3900" w:type="dxa"/>
            <w:tcMar>
              <w:top w:w="60" w:type="dxa"/>
              <w:left w:w="100" w:type="dxa"/>
              <w:bottom w:w="60" w:type="dxa"/>
              <w:right w:w="100" w:type="dxa"/>
            </w:tcMar>
            <w:vAlign w:val="center"/>
          </w:tcPr>
          <w:p>
            <w:pPr>
              <w:spacing w:after="0" w:line="260" w:lineRule="auto"/>
            </w:pPr>
            <w:r>
              <w:rPr>
                <w:sz w:val="18"/>
              </w:rPr>
              <w:t>Jest: umbral de riesgo; Cypress</w:t>
            </w:r>
          </w:p>
        </w:tc>
        <w:tc>
          <w:tcPr>
            <w:tcW w:w="1380" w:type="dxa"/>
            <w:tcMar>
              <w:top w:w="60" w:type="dxa"/>
              <w:left w:w="100" w:type="dxa"/>
              <w:bottom w:w="60" w:type="dxa"/>
              <w:right w:w="100" w:type="dxa"/>
            </w:tcMar>
            <w:vAlign w:val="center"/>
          </w:tcPr>
          <w:p>
            <w:pPr>
              <w:spacing w:after="0" w:line="260" w:lineRule="auto"/>
            </w:pPr>
            <w:r>
              <w:rPr>
                <w:sz w:val="18"/>
              </w:rPr>
              <w:t>M05</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US-07 Boletín en PDF</w:t>
            </w:r>
          </w:p>
        </w:tc>
        <w:tc>
          <w:tcPr>
            <w:tcW w:w="2100" w:type="dxa"/>
            <w:tcMar>
              <w:top w:w="60" w:type="dxa"/>
              <w:left w:w="100" w:type="dxa"/>
              <w:bottom w:w="60" w:type="dxa"/>
              <w:right w:w="100" w:type="dxa"/>
            </w:tcMar>
            <w:vAlign w:val="center"/>
          </w:tcPr>
          <w:p>
            <w:pPr>
              <w:spacing w:after="0" w:line="260" w:lineRule="auto"/>
            </w:pPr>
            <w:r>
              <w:rPr>
                <w:sz w:val="18"/>
              </w:rPr>
              <w:t>boletin</w:t>
            </w:r>
          </w:p>
        </w:tc>
        <w:tc>
          <w:tcPr>
            <w:tcW w:w="3900" w:type="dxa"/>
            <w:tcMar>
              <w:top w:w="60" w:type="dxa"/>
              <w:left w:w="100" w:type="dxa"/>
              <w:bottom w:w="60" w:type="dxa"/>
              <w:right w:w="100" w:type="dxa"/>
            </w:tcMar>
            <w:vAlign w:val="center"/>
          </w:tcPr>
          <w:p>
            <w:pPr>
              <w:spacing w:after="0" w:line="260" w:lineRule="auto"/>
            </w:pPr>
            <w:r>
              <w:rPr>
                <w:sz w:val="18"/>
              </w:rPr>
              <w:t>Jest: contenido; Supertest: cola; Cypress; JMeter: boletín</w:t>
            </w:r>
          </w:p>
        </w:tc>
        <w:tc>
          <w:tcPr>
            <w:tcW w:w="1380" w:type="dxa"/>
            <w:tcMar>
              <w:top w:w="60" w:type="dxa"/>
              <w:left w:w="100" w:type="dxa"/>
              <w:bottom w:w="60" w:type="dxa"/>
              <w:right w:w="100" w:type="dxa"/>
            </w:tcMar>
            <w:vAlign w:val="center"/>
          </w:tcPr>
          <w:p>
            <w:pPr>
              <w:spacing w:after="0" w:line="260" w:lineRule="auto"/>
            </w:pPr>
            <w:r>
              <w:rPr>
                <w:sz w:val="18"/>
              </w:rPr>
              <w:t>M02, M03, M04</w:t>
            </w:r>
          </w:p>
        </w:tc>
      </w:tr>
      <w:tr>
        <w:trPr>
          <w:cantSplit/>
        </w:trPr>
        <w:tc>
          <w:tcPr>
            <w:tcW w:w="2700" w:type="dxa"/>
            <w:tcMar>
              <w:top w:w="60" w:type="dxa"/>
              <w:left w:w="100" w:type="dxa"/>
              <w:bottom w:w="60" w:type="dxa"/>
              <w:right w:w="100" w:type="dxa"/>
            </w:tcMar>
            <w:vAlign w:val="center"/>
          </w:tcPr>
          <w:p>
            <w:pPr>
              <w:spacing w:after="0" w:line="260" w:lineRule="auto"/>
            </w:pPr>
            <w:r>
              <w:rPr>
                <w:sz w:val="18"/>
              </w:rPr>
              <w:t>US-20 Vinculación padre–estudiante</w:t>
            </w:r>
          </w:p>
        </w:tc>
        <w:tc>
          <w:tcPr>
            <w:tcW w:w="2100" w:type="dxa"/>
            <w:tcMar>
              <w:top w:w="60" w:type="dxa"/>
              <w:left w:w="100" w:type="dxa"/>
              <w:bottom w:w="60" w:type="dxa"/>
              <w:right w:w="100" w:type="dxa"/>
            </w:tcMar>
            <w:vAlign w:val="center"/>
          </w:tcPr>
          <w:p>
            <w:pPr>
              <w:spacing w:after="0" w:line="260" w:lineRule="auto"/>
            </w:pPr>
            <w:r>
              <w:rPr>
                <w:sz w:val="18"/>
              </w:rPr>
              <w:t>familias (crítico)</w:t>
            </w:r>
          </w:p>
        </w:tc>
        <w:tc>
          <w:tcPr>
            <w:tcW w:w="3900" w:type="dxa"/>
            <w:tcMar>
              <w:top w:w="60" w:type="dxa"/>
              <w:left w:w="100" w:type="dxa"/>
              <w:bottom w:w="60" w:type="dxa"/>
              <w:right w:w="100" w:type="dxa"/>
            </w:tcMar>
            <w:vAlign w:val="center"/>
          </w:tcPr>
          <w:p>
            <w:pPr>
              <w:spacing w:after="0" w:line="260" w:lineRule="auto"/>
            </w:pPr>
            <w:r>
              <w:rPr>
                <w:sz w:val="18"/>
              </w:rPr>
              <w:t>Supertest: 403 al cambiar el ID en la URL; Cypress</w:t>
            </w:r>
          </w:p>
        </w:tc>
        <w:tc>
          <w:tcPr>
            <w:tcW w:w="1380" w:type="dxa"/>
            <w:tcMar>
              <w:top w:w="60" w:type="dxa"/>
              <w:left w:w="100" w:type="dxa"/>
              <w:bottom w:w="60" w:type="dxa"/>
              <w:right w:w="100" w:type="dxa"/>
            </w:tcMar>
            <w:vAlign w:val="center"/>
          </w:tcPr>
          <w:p>
            <w:pPr>
              <w:spacing w:after="0" w:line="260" w:lineRule="auto"/>
            </w:pPr>
            <w:r>
              <w:rPr>
                <w:sz w:val="18"/>
              </w:rPr>
              <w:t>M09,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US-11 Consulta de boletín</w:t>
            </w:r>
          </w:p>
        </w:tc>
        <w:tc>
          <w:tcPr>
            <w:tcW w:w="2100" w:type="dxa"/>
            <w:tcMar>
              <w:top w:w="60" w:type="dxa"/>
              <w:left w:w="100" w:type="dxa"/>
              <w:bottom w:w="60" w:type="dxa"/>
              <w:right w:w="100" w:type="dxa"/>
            </w:tcMar>
            <w:vAlign w:val="center"/>
          </w:tcPr>
          <w:p>
            <w:pPr>
              <w:spacing w:after="0" w:line="260" w:lineRule="auto"/>
            </w:pPr>
            <w:r>
              <w:rPr>
                <w:sz w:val="18"/>
              </w:rPr>
              <w:t>boletin; familias (consulta del padre)</w:t>
            </w:r>
          </w:p>
        </w:tc>
        <w:tc>
          <w:tcPr>
            <w:tcW w:w="3900" w:type="dxa"/>
            <w:tcMar>
              <w:top w:w="60" w:type="dxa"/>
              <w:left w:w="100" w:type="dxa"/>
              <w:bottom w:w="60" w:type="dxa"/>
              <w:right w:w="100" w:type="dxa"/>
            </w:tcMar>
            <w:vAlign w:val="center"/>
          </w:tcPr>
          <w:p>
            <w:pPr>
              <w:spacing w:after="0" w:line="260" w:lineRule="auto"/>
            </w:pPr>
            <w:r>
              <w:rPr>
                <w:sz w:val="18"/>
              </w:rPr>
              <w:t>Supertest: boletín no publicado invisible; Cypress</w:t>
            </w:r>
          </w:p>
        </w:tc>
        <w:tc>
          <w:tcPr>
            <w:tcW w:w="1380" w:type="dxa"/>
            <w:tcMar>
              <w:top w:w="60" w:type="dxa"/>
              <w:left w:w="100" w:type="dxa"/>
              <w:bottom w:w="60" w:type="dxa"/>
              <w:right w:w="100" w:type="dxa"/>
            </w:tcMar>
            <w:vAlign w:val="center"/>
          </w:tcPr>
          <w:p>
            <w:pPr>
              <w:spacing w:after="0" w:line="260" w:lineRule="auto"/>
            </w:pPr>
            <w:r>
              <w:rPr>
                <w:sz w:val="18"/>
              </w:rPr>
              <w:t>M02, M09, M06</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US-09 Centralización</w:t>
            </w:r>
          </w:p>
        </w:tc>
        <w:tc>
          <w:tcPr>
            <w:tcW w:w="2100" w:type="dxa"/>
            <w:tcMar>
              <w:top w:w="60" w:type="dxa"/>
              <w:left w:w="100" w:type="dxa"/>
              <w:bottom w:w="60" w:type="dxa"/>
              <w:right w:w="100" w:type="dxa"/>
            </w:tcMar>
            <w:vAlign w:val="center"/>
          </w:tcPr>
          <w:p>
            <w:pPr>
              <w:spacing w:after="0" w:line="260" w:lineRule="auto"/>
            </w:pPr>
            <w:r>
              <w:rPr>
                <w:sz w:val="18"/>
              </w:rPr>
              <w:t>centralizacion</w:t>
            </w:r>
          </w:p>
        </w:tc>
        <w:tc>
          <w:tcPr>
            <w:tcW w:w="3900" w:type="dxa"/>
            <w:tcMar>
              <w:top w:w="60" w:type="dxa"/>
              <w:left w:w="100" w:type="dxa"/>
              <w:bottom w:w="60" w:type="dxa"/>
              <w:right w:w="100" w:type="dxa"/>
            </w:tcMar>
            <w:vAlign w:val="center"/>
          </w:tcPr>
          <w:p>
            <w:pPr>
              <w:spacing w:after="0" w:line="260" w:lineRule="auto"/>
            </w:pPr>
            <w:r>
              <w:rPr>
                <w:sz w:val="18"/>
              </w:rPr>
              <w:t>Jest: materias pendientes; Supertest: formato oficial; Cypress</w:t>
            </w:r>
          </w:p>
        </w:tc>
        <w:tc>
          <w:tcPr>
            <w:tcW w:w="1380" w:type="dxa"/>
            <w:tcMar>
              <w:top w:w="60" w:type="dxa"/>
              <w:left w:w="100" w:type="dxa"/>
              <w:bottom w:w="60" w:type="dxa"/>
              <w:right w:w="100" w:type="dxa"/>
            </w:tcMar>
            <w:vAlign w:val="center"/>
          </w:tcPr>
          <w:p>
            <w:pPr>
              <w:spacing w:after="0" w:line="260" w:lineRule="auto"/>
            </w:pPr>
            <w:r>
              <w:rPr>
                <w:sz w:val="18"/>
              </w:rPr>
              <w:t>M02</w:t>
            </w:r>
          </w:p>
        </w:tc>
      </w:tr>
      <w:tr>
        <w:trPr>
          <w:cantSplit/>
        </w:trPr>
        <w:tc>
          <w:tcPr>
            <w:tcW w:w="2700" w:type="dxa"/>
            <w:tcMar>
              <w:top w:w="60" w:type="dxa"/>
              <w:left w:w="100" w:type="dxa"/>
              <w:bottom w:w="60" w:type="dxa"/>
              <w:right w:w="100" w:type="dxa"/>
            </w:tcMar>
            <w:vAlign w:val="center"/>
          </w:tcPr>
          <w:p>
            <w:pPr>
              <w:spacing w:after="0" w:line="260" w:lineRule="auto"/>
            </w:pPr>
            <w:r>
              <w:rPr>
                <w:sz w:val="18"/>
              </w:rPr>
              <w:t>US-08 Alerta de promedio bajo</w:t>
            </w:r>
          </w:p>
        </w:tc>
        <w:tc>
          <w:tcPr>
            <w:tcW w:w="2100" w:type="dxa"/>
            <w:tcMar>
              <w:top w:w="60" w:type="dxa"/>
              <w:left w:w="100" w:type="dxa"/>
              <w:bottom w:w="60" w:type="dxa"/>
              <w:right w:w="100" w:type="dxa"/>
            </w:tcMar>
            <w:vAlign w:val="center"/>
          </w:tcPr>
          <w:p>
            <w:pPr>
              <w:spacing w:after="0" w:line="260" w:lineRule="auto"/>
            </w:pPr>
            <w:r>
              <w:rPr>
                <w:sz w:val="18"/>
              </w:rPr>
              <w:t>notificaciones</w:t>
            </w:r>
          </w:p>
        </w:tc>
        <w:tc>
          <w:tcPr>
            <w:tcW w:w="3900" w:type="dxa"/>
            <w:tcMar>
              <w:top w:w="60" w:type="dxa"/>
              <w:left w:w="100" w:type="dxa"/>
              <w:bottom w:w="60" w:type="dxa"/>
              <w:right w:w="100" w:type="dxa"/>
            </w:tcMar>
            <w:vAlign w:val="center"/>
          </w:tcPr>
          <w:p>
            <w:pPr>
              <w:spacing w:after="0" w:line="260" w:lineRule="auto"/>
            </w:pPr>
            <w:r>
              <w:rPr>
                <w:sz w:val="18"/>
              </w:rPr>
              <w:t>Jest: sin alertas repetidas; Supertest</w:t>
            </w:r>
          </w:p>
        </w:tc>
        <w:tc>
          <w:tcPr>
            <w:tcW w:w="1380" w:type="dxa"/>
            <w:tcMar>
              <w:top w:w="60" w:type="dxa"/>
              <w:left w:w="100" w:type="dxa"/>
              <w:bottom w:w="60" w:type="dxa"/>
              <w:right w:w="100" w:type="dxa"/>
            </w:tcMar>
            <w:vAlign w:val="center"/>
          </w:tcPr>
          <w:p>
            <w:pPr>
              <w:spacing w:after="0" w:line="260" w:lineRule="auto"/>
            </w:pPr>
            <w:r>
              <w:rPr>
                <w:sz w:val="18"/>
              </w:rPr>
              <w:t>M05</w:t>
            </w:r>
          </w:p>
        </w:tc>
      </w:tr>
      <w:tr>
        <w:trPr>
          <w:cantSplit/>
        </w:trPr>
        <w:tc>
          <w:tcPr>
            <w:tcW w:w="2700" w:type="dxa"/>
            <w:tcMar>
              <w:top w:w="60" w:type="dxa"/>
              <w:left w:w="100" w:type="dxa"/>
              <w:bottom w:w="60" w:type="dxa"/>
              <w:right w:w="100" w:type="dxa"/>
            </w:tcMar>
            <w:vAlign w:val="center"/>
          </w:tcPr>
          <w:p>
            <w:pPr>
              <w:spacing w:after="0" w:line="260" w:lineRule="auto"/>
            </w:pPr>
            <w:r>
              <w:rPr>
                <w:sz w:val="18"/>
              </w:rPr>
              <w:t>US-12 Aviso de boletín</w:t>
            </w:r>
          </w:p>
        </w:tc>
        <w:tc>
          <w:tcPr>
            <w:tcW w:w="2100" w:type="dxa"/>
            <w:tcMar>
              <w:top w:w="60" w:type="dxa"/>
              <w:left w:w="100" w:type="dxa"/>
              <w:bottom w:w="60" w:type="dxa"/>
              <w:right w:w="100" w:type="dxa"/>
            </w:tcMar>
            <w:vAlign w:val="center"/>
          </w:tcPr>
          <w:p>
            <w:pPr>
              <w:spacing w:after="0" w:line="260" w:lineRule="auto"/>
            </w:pPr>
            <w:r>
              <w:rPr>
                <w:sz w:val="18"/>
              </w:rPr>
              <w:t>notificaciones</w:t>
            </w:r>
          </w:p>
        </w:tc>
        <w:tc>
          <w:tcPr>
            <w:tcW w:w="3900" w:type="dxa"/>
            <w:tcMar>
              <w:top w:w="60" w:type="dxa"/>
              <w:left w:w="100" w:type="dxa"/>
              <w:bottom w:w="60" w:type="dxa"/>
              <w:right w:w="100" w:type="dxa"/>
            </w:tcMar>
            <w:vAlign w:val="center"/>
          </w:tcPr>
          <w:p>
            <w:pPr>
              <w:spacing w:after="0" w:line="260" w:lineRule="auto"/>
            </w:pPr>
            <w:r>
              <w:rPr>
                <w:sz w:val="18"/>
              </w:rPr>
              <w:t>Supertest</w:t>
            </w:r>
          </w:p>
        </w:tc>
        <w:tc>
          <w:tcPr>
            <w:tcW w:w="1380" w:type="dxa"/>
            <w:tcMar>
              <w:top w:w="60" w:type="dxa"/>
              <w:left w:w="100" w:type="dxa"/>
              <w:bottom w:w="60" w:type="dxa"/>
              <w:right w:w="100" w:type="dxa"/>
            </w:tcMar>
            <w:vAlign w:val="center"/>
          </w:tcPr>
          <w:p>
            <w:pPr>
              <w:spacing w:after="0" w:line="260" w:lineRule="auto"/>
            </w:pPr>
            <w:r>
              <w:rPr>
                <w:sz w:val="18"/>
              </w:rPr>
              <w:t>M05</w:t>
            </w:r>
          </w:p>
        </w:tc>
      </w:tr>
    </w:tbl>
    <w:p>
      <w:pPr>
        <w:spacing w:after="60" w:line="276" w:lineRule="auto"/>
      </w:pPr>
    </w:p>
    <w:p>
      <w:pPr>
        <w:pStyle w:val="Ttulo1"/>
      </w:pPr>
      <w:r>
        <w:t>Anexo C — Configuración que hace cumplir el plan</w:t>
      </w:r>
    </w:p>
    <w:p>
      <w:pPr>
        <w:spacing w:after="120" w:line="276" w:lineRule="auto"/>
      </w:pPr>
      <w:r>
        <w:t xml:space="preserve">Estos archivos son la versión inicial que se crea en la semana 1 (tareas de infraestructura de la pila del sprint). Los comentarios indican la métrica que hace cumplir cada etapa. Los textos entre </w:t>
      </w:r>
      <w:r>
        <w:rPr>
          <w:rFonts w:ascii="Consolas" w:hAnsi="Consolas" w:cs="Consolas"/>
          <w:sz w:val="19"/>
        </w:rPr>
        <w:t>&lt; &gt;</w:t>
      </w:r>
      <w:r>
        <w:t xml:space="preserve"> se completan al crear las cuentas.</w:t>
      </w:r>
    </w:p>
    <w:p>
      <w:pPr>
        <w:keepNext/>
        <w:spacing w:before="120" w:after="80" w:line="276" w:lineRule="auto"/>
      </w:pPr>
      <w:r>
        <w:rPr>
          <w:b/>
          <w:color w:val="1F4E79"/>
          <w:sz w:val="19"/>
        </w:rPr>
        <w:t xml:space="preserve">Tabla 35. </w:t>
      </w:r>
      <w:r>
        <w:rPr>
          <w:color w:val="595959"/>
          <w:sz w:val="19"/>
        </w:rPr>
        <w:t>Configuración del job Multibranch Pipeline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6780"/>
      </w:tblGrid>
      <w:tr>
        <w:trPr>
          <w:cantSplit/>
          <w:tblHeader/>
        </w:trPr>
        <w:tc>
          <w:tcPr>
            <w:tcW w:w="3300" w:type="dxa"/>
            <w:shd w:val="clear" w:color="auto" w:fill="DDEBF7"/>
            <w:tcMar>
              <w:top w:w="60" w:type="dxa"/>
              <w:left w:w="100" w:type="dxa"/>
              <w:bottom w:w="60" w:type="dxa"/>
              <w:right w:w="100" w:type="dxa"/>
            </w:tcMar>
          </w:tcPr>
          <w:p>
            <w:pPr>
              <w:spacing w:after="0" w:line="260" w:lineRule="auto"/>
            </w:pPr>
            <w:r>
              <w:rPr>
                <w:b/>
                <w:sz w:val="19"/>
              </w:rPr>
              <w:t>Opción del job Multibranch "calisfacu"</w:t>
            </w:r>
          </w:p>
        </w:tc>
        <w:tc>
          <w:tcPr>
            <w:tcW w:w="6780" w:type="dxa"/>
            <w:shd w:val="clear" w:color="auto" w:fill="DDEBF7"/>
            <w:tcMar>
              <w:top w:w="60" w:type="dxa"/>
              <w:left w:w="100" w:type="dxa"/>
              <w:bottom w:w="60" w:type="dxa"/>
              <w:right w:w="100" w:type="dxa"/>
            </w:tcMar>
          </w:tcPr>
          <w:p>
            <w:pPr>
              <w:spacing w:after="0" w:line="260" w:lineRule="auto"/>
            </w:pPr>
            <w:r>
              <w:rPr>
                <w:b/>
                <w:sz w:val="19"/>
              </w:rPr>
              <w:t>Valor</w:t>
            </w:r>
          </w:p>
        </w:tc>
      </w:tr>
      <w:tr>
        <w:trPr>
          <w:cantSplit/>
        </w:trPr>
        <w:tc>
          <w:tcPr>
            <w:tcW w:w="3300" w:type="dxa"/>
            <w:tcMar>
              <w:top w:w="60" w:type="dxa"/>
              <w:left w:w="100" w:type="dxa"/>
              <w:bottom w:w="60" w:type="dxa"/>
              <w:right w:w="100" w:type="dxa"/>
            </w:tcMar>
            <w:vAlign w:val="center"/>
          </w:tcPr>
          <w:p>
            <w:pPr>
              <w:spacing w:after="0" w:line="260" w:lineRule="auto"/>
            </w:pPr>
            <w:r>
              <w:rPr>
                <w:sz w:val="19"/>
              </w:rPr>
              <w:t>Branch Sources</w:t>
            </w:r>
          </w:p>
        </w:tc>
        <w:tc>
          <w:tcPr>
            <w:tcW w:w="6780" w:type="dxa"/>
            <w:tcMar>
              <w:top w:w="60" w:type="dxa"/>
              <w:left w:w="100" w:type="dxa"/>
              <w:bottom w:w="60" w:type="dxa"/>
              <w:right w:w="100" w:type="dxa"/>
            </w:tcMar>
            <w:vAlign w:val="center"/>
          </w:tcPr>
          <w:p>
            <w:pPr>
              <w:spacing w:after="0" w:line="260" w:lineRule="auto"/>
            </w:pPr>
            <w:r>
              <w:rPr>
                <w:sz w:val="19"/>
              </w:rPr>
              <w:t xml:space="preserve">GitHub </w:t>
            </w:r>
            <w:r>
              <w:rPr>
                <w:rFonts w:ascii="Consolas" w:hAnsi="Consolas" w:cs="Consolas"/>
                <w:sz w:val="18"/>
              </w:rPr>
              <w:t>lujan-99/calisfacu</w:t>
            </w:r>
            <w:r>
              <w:rPr>
                <w:sz w:val="19"/>
              </w:rPr>
              <w:t xml:space="preserve">, con un token de solo lectura del repositorio más permiso de estados de commit (credencial </w:t>
            </w:r>
            <w:r>
              <w:rPr>
                <w:rFonts w:ascii="Consolas" w:hAnsi="Consolas" w:cs="Consolas"/>
                <w:sz w:val="18"/>
              </w:rPr>
              <w:t>github-calisfacu</w:t>
            </w:r>
            <w:r>
              <w:rPr>
                <w:sz w:val="19"/>
              </w:rPr>
              <w:t>)</w:t>
            </w:r>
          </w:p>
        </w:tc>
      </w:tr>
      <w:tr>
        <w:trPr>
          <w:cantSplit/>
        </w:trPr>
        <w:tc>
          <w:tcPr>
            <w:tcW w:w="3300" w:type="dxa"/>
            <w:tcMar>
              <w:top w:w="60" w:type="dxa"/>
              <w:left w:w="100" w:type="dxa"/>
              <w:bottom w:w="60" w:type="dxa"/>
              <w:right w:w="100" w:type="dxa"/>
            </w:tcMar>
            <w:vAlign w:val="center"/>
          </w:tcPr>
          <w:p>
            <w:pPr>
              <w:spacing w:after="0" w:line="260" w:lineRule="auto"/>
            </w:pPr>
            <w:r>
              <w:rPr>
                <w:sz w:val="19"/>
              </w:rPr>
              <w:t>Behaviours</w:t>
            </w:r>
          </w:p>
        </w:tc>
        <w:tc>
          <w:tcPr>
            <w:tcW w:w="6780" w:type="dxa"/>
            <w:tcMar>
              <w:top w:w="60" w:type="dxa"/>
              <w:left w:w="100" w:type="dxa"/>
              <w:bottom w:w="60" w:type="dxa"/>
              <w:right w:w="100" w:type="dxa"/>
            </w:tcMar>
            <w:vAlign w:val="center"/>
          </w:tcPr>
          <w:p>
            <w:pPr>
              <w:spacing w:after="0" w:line="260" w:lineRule="auto"/>
            </w:pPr>
            <w:r>
              <w:rPr>
                <w:sz w:val="19"/>
              </w:rPr>
              <w:t>Discover branches (excluir las que también son PR); Discover pull requests from origin (merge con la rama destino); Discover tags</w:t>
            </w:r>
          </w:p>
        </w:tc>
      </w:tr>
      <w:tr>
        <w:trPr>
          <w:cantSplit/>
        </w:trPr>
        <w:tc>
          <w:tcPr>
            <w:tcW w:w="3300" w:type="dxa"/>
            <w:tcMar>
              <w:top w:w="60" w:type="dxa"/>
              <w:left w:w="100" w:type="dxa"/>
              <w:bottom w:w="60" w:type="dxa"/>
              <w:right w:w="100" w:type="dxa"/>
            </w:tcMar>
            <w:vAlign w:val="center"/>
          </w:tcPr>
          <w:p>
            <w:pPr>
              <w:spacing w:after="0" w:line="260" w:lineRule="auto"/>
            </w:pPr>
            <w:r>
              <w:rPr>
                <w:sz w:val="19"/>
              </w:rPr>
              <w:t>Build strategies</w:t>
            </w:r>
          </w:p>
        </w:tc>
        <w:tc>
          <w:tcPr>
            <w:tcW w:w="6780" w:type="dxa"/>
            <w:tcMar>
              <w:top w:w="60" w:type="dxa"/>
              <w:left w:w="100" w:type="dxa"/>
              <w:bottom w:w="60" w:type="dxa"/>
              <w:right w:w="100" w:type="dxa"/>
            </w:tcMar>
            <w:vAlign w:val="center"/>
          </w:tcPr>
          <w:p>
            <w:pPr>
              <w:spacing w:after="0" w:line="260" w:lineRule="auto"/>
            </w:pPr>
            <w:r>
              <w:rPr>
                <w:sz w:val="19"/>
              </w:rPr>
              <w:t>Regular branches; Change requests; Tags (ignorar etiquetas de más de 7 días). Requiere el plugin basic-branch-build-strategies; sin él, las etiquetas no se construyen solas</w:t>
            </w:r>
          </w:p>
        </w:tc>
      </w:tr>
      <w:tr>
        <w:trPr>
          <w:cantSplit/>
        </w:trPr>
        <w:tc>
          <w:tcPr>
            <w:tcW w:w="3300" w:type="dxa"/>
            <w:tcMar>
              <w:top w:w="60" w:type="dxa"/>
              <w:left w:w="100" w:type="dxa"/>
              <w:bottom w:w="60" w:type="dxa"/>
              <w:right w:w="100" w:type="dxa"/>
            </w:tcMar>
            <w:vAlign w:val="center"/>
          </w:tcPr>
          <w:p>
            <w:pPr>
              <w:spacing w:after="0" w:line="260" w:lineRule="auto"/>
            </w:pPr>
            <w:r>
              <w:rPr>
                <w:sz w:val="19"/>
              </w:rPr>
              <w:t>Build Configuration</w:t>
            </w:r>
          </w:p>
        </w:tc>
        <w:tc>
          <w:tcPr>
            <w:tcW w:w="6780" w:type="dxa"/>
            <w:tcMar>
              <w:top w:w="60" w:type="dxa"/>
              <w:left w:w="100" w:type="dxa"/>
              <w:bottom w:w="60" w:type="dxa"/>
              <w:right w:w="100" w:type="dxa"/>
            </w:tcMar>
            <w:vAlign w:val="center"/>
          </w:tcPr>
          <w:p>
            <w:pPr>
              <w:spacing w:after="0" w:line="260" w:lineRule="auto"/>
            </w:pPr>
            <w:r>
              <w:rPr>
                <w:sz w:val="19"/>
              </w:rPr>
              <w:t xml:space="preserve">by Jenkinsfile, ruta </w:t>
            </w:r>
            <w:r>
              <w:rPr>
                <w:rFonts w:ascii="Consolas" w:hAnsi="Consolas" w:cs="Consolas"/>
                <w:sz w:val="18"/>
              </w:rPr>
              <w:t>Jenkinsfile</w:t>
            </w:r>
          </w:p>
        </w:tc>
      </w:tr>
      <w:tr>
        <w:trPr>
          <w:cantSplit/>
        </w:trPr>
        <w:tc>
          <w:tcPr>
            <w:tcW w:w="3300" w:type="dxa"/>
            <w:tcMar>
              <w:top w:w="60" w:type="dxa"/>
              <w:left w:w="100" w:type="dxa"/>
              <w:bottom w:w="60" w:type="dxa"/>
              <w:right w:w="100" w:type="dxa"/>
            </w:tcMar>
            <w:vAlign w:val="center"/>
          </w:tcPr>
          <w:p>
            <w:pPr>
              <w:spacing w:after="0" w:line="260" w:lineRule="auto"/>
            </w:pPr>
            <w:r>
              <w:rPr>
                <w:sz w:val="19"/>
              </w:rPr>
              <w:t>Scan Multibranch Pipeline Triggers</w:t>
            </w:r>
          </w:p>
        </w:tc>
        <w:tc>
          <w:tcPr>
            <w:tcW w:w="6780" w:type="dxa"/>
            <w:tcMar>
              <w:top w:w="60" w:type="dxa"/>
              <w:left w:w="100" w:type="dxa"/>
              <w:bottom w:w="60" w:type="dxa"/>
              <w:right w:w="100" w:type="dxa"/>
            </w:tcMar>
            <w:vAlign w:val="center"/>
          </w:tcPr>
          <w:p>
            <w:pPr>
              <w:spacing w:after="0" w:line="260" w:lineRule="auto"/>
            </w:pPr>
            <w:r>
              <w:rPr>
                <w:sz w:val="19"/>
              </w:rPr>
              <w:t>Periodically if not otherwise run: 1 minuto (Jenkins es local y no recibe webhooks de GitHub)</w:t>
            </w:r>
          </w:p>
        </w:tc>
      </w:tr>
      <w:tr>
        <w:trPr>
          <w:cantSplit/>
        </w:trPr>
        <w:tc>
          <w:tcPr>
            <w:tcW w:w="3300" w:type="dxa"/>
            <w:tcMar>
              <w:top w:w="60" w:type="dxa"/>
              <w:left w:w="100" w:type="dxa"/>
              <w:bottom w:w="60" w:type="dxa"/>
              <w:right w:w="100" w:type="dxa"/>
            </w:tcMar>
            <w:vAlign w:val="center"/>
          </w:tcPr>
          <w:p>
            <w:pPr>
              <w:spacing w:after="0" w:line="260" w:lineRule="auto"/>
            </w:pPr>
            <w:r>
              <w:rPr>
                <w:sz w:val="19"/>
              </w:rPr>
              <w:t>Credenciales (secret text)</w:t>
            </w:r>
          </w:p>
        </w:tc>
        <w:tc>
          <w:tcPr>
            <w:tcW w:w="6780" w:type="dxa"/>
            <w:tcMar>
              <w:top w:w="60" w:type="dxa"/>
              <w:left w:w="100" w:type="dxa"/>
              <w:bottom w:w="60" w:type="dxa"/>
              <w:right w:w="100" w:type="dxa"/>
            </w:tcMar>
            <w:vAlign w:val="center"/>
          </w:tcPr>
          <w:p>
            <w:pPr>
              <w:spacing w:after="0" w:line="260" w:lineRule="auto"/>
            </w:pPr>
            <w:r>
              <w:rPr>
                <w:rFonts w:ascii="Consolas" w:hAnsi="Consolas" w:cs="Consolas"/>
                <w:sz w:val="18"/>
              </w:rPr>
              <w:t>sonar-token, render-hook-staging, render-hook-web-staging, render-hook-prod, render-hook-web-prod</w:t>
            </w:r>
            <w:r>
              <w:rPr>
                <w:sz w:val="19"/>
              </w:rPr>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r>
              <w:rPr>
                <w:sz w:val="19"/>
              </w:rPr>
            </w:r>
            <w:r>
              <w:rPr>
                <w:rFonts w:ascii="Consolas" w:hAnsi="Consolas" w:cs="Consolas"/>
                <w:sz w:val="18"/>
              </w:rPr>
            </w:r>
          </w:p>
        </w:tc>
      </w:tr>
      <w:tr>
        <w:trPr>
          <w:cantSplit/>
        </w:trPr>
        <w:tc>
          <w:tcPr>
            <w:tcW w:w="3300" w:type="dxa"/>
            <w:tcMar>
              <w:top w:w="60" w:type="dxa"/>
              <w:left w:w="100" w:type="dxa"/>
              <w:bottom w:w="60" w:type="dxa"/>
              <w:right w:w="100" w:type="dxa"/>
            </w:tcMar>
            <w:vAlign w:val="center"/>
          </w:tcPr>
          <w:p>
            <w:pPr>
              <w:spacing w:after="0" w:line="260" w:lineRule="auto"/>
            </w:pPr>
            <w:r>
              <w:rPr>
                <w:sz w:val="19"/>
              </w:rPr>
              <w:t>Seguridad</w:t>
            </w:r>
          </w:p>
        </w:tc>
        <w:tc>
          <w:tcPr>
            <w:tcW w:w="6780" w:type="dxa"/>
            <w:tcMar>
              <w:top w:w="60" w:type="dxa"/>
              <w:left w:w="100" w:type="dxa"/>
              <w:bottom w:w="60" w:type="dxa"/>
              <w:right w:w="100" w:type="dxa"/>
            </w:tcMar>
            <w:vAlign w:val="center"/>
          </w:tcPr>
          <w:p>
            <w:pPr>
              <w:spacing w:after="0" w:line="260" w:lineRule="auto"/>
            </w:pPr>
            <w:r>
              <w:rPr>
                <w:sz w:val="19"/>
              </w:rPr>
              <w:t xml:space="preserve">Matrix-based security: solo </w:t>
            </w:r>
            <w:r>
              <w:rPr>
                <w:rFonts w:ascii="Consolas" w:hAnsi="Consolas" w:cs="Consolas"/>
                <w:sz w:val="18"/>
              </w:rPr>
              <w:t>lujan</w:t>
            </w:r>
            <w:r>
              <w:rPr>
                <w:sz w:val="19"/>
              </w:rPr>
              <w:t xml:space="preserve"> y </w:t>
            </w:r>
            <w:r>
              <w:rPr>
                <w:rFonts w:ascii="Consolas" w:hAnsi="Consolas" w:cs="Consolas"/>
                <w:sz w:val="18"/>
              </w:rPr>
              <w:t>galvan</w:t>
            </w:r>
            <w:r>
              <w:rPr>
                <w:sz w:val="19"/>
              </w:rPr>
              <w:t>; sin acceso anónimo</w:t>
            </w:r>
          </w:p>
        </w:tc>
      </w:tr>
    </w:tbl>
    <w:p>
      <w:pPr>
        <w:spacing w:after="60" w:line="276" w:lineRule="auto"/>
      </w:pPr>
    </w:p>
    <w:p>
      <w:pPr>
        <w:keepNext/>
        <w:spacing w:before="120" w:after="60" w:line="276" w:lineRule="auto"/>
      </w:pPr>
      <w:r>
        <w:rPr>
          <w:b/>
        </w:rPr>
        <w:t>C.1 Jenkinsfile</w:t>
      </w:r>
    </w:p>
    <w:p>
      <w:pPr>
        <w:spacing w:after="120" w:line="276" w:lineRule="auto"/>
      </w:pPr>
      <w:r>
        <w:rPr>
          <w:i/>
        </w:rPr>
        <w:t>Nota (versión 1.1): la copia de este anexo es la de la versión 1.0. La vigente es el Jenkinsfile de la raíz del repositorio (aprobación independiente, despliegue en Render y SonarQube condicionado a SONAR_HABILITADO).</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Jenkinsfile — job Multibranch Pipeline "calisfacu" (ramas, pull requests y etiquetas).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Flujo de ramas (docs/desarrollo/flujo-git.md): feature/* y fix/* → develop (staging) → main (producción).</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pipeline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agent any</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options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timestamps()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timeout(time: 45, unit: 'MINUTES')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buildDiscarder(logRotator(numToKeepStr: '30'))         // Sección 12: últimos 30 builds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disableConcurrentBuilds()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environment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PGHOST = 'postgres-ci'                                 // base de CI desechable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PGUSER = 'calis'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PGPASSWORD = 'calis'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DB_NAME = "ci_${env.BUILD_TAG.replaceAll('[^A-Za-z0-9]', '_').toLowerCase()}"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DATABASE_URL = "postgresql://calis:calis@postgres-ci:5432/${env.DB_NAME}"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REDIS_URL = 'redis://redis-ci:6379'</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stage('Instalar') { steps { sh 'node -v &amp;&amp; npm ci'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stage('Lint') {                                        // M16</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 sh 'npx eslint . --max-warnings=0 &amp;&amp; npx prettier --check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stage('Pruebas')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parallel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stage('API') {                                     // M01, M06, M09, M15</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'createdb "$DB_NAME"'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Unitarias + e2e contra PostgreSQL (migraciones aplicadas en el globalSetup de Jest).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Incluye calculo.casos (M01), autorizacion (M09), auditoria (M15) y coverageThreshold (M06).</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'npm run -w api test:cov'</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post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always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junit 'api/reports/*.xml'                    // build sano: informe publicado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'dropdb --if-exists "$DB_NAME"'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stage('Web')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 sh 'npm run -w web test -- --run --coverage'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post { always { junit 'web/reports/*.xml'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stage('Dependencias') {                                // M08 y licencias (Sección 11)</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'npm audit --audit-level=high'</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'npx license-checker --production --onlyAllow "MIT;Apache-2.0;BSD-2-Clause;BSD-3-Clause;ISC;0BSD"'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stage('Análisis estático') {                           // M05, M07, M08: Quality Gate "Sonar way"</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not { buildingTag()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withCredentials([string(credentialsId: 'sonar-token', variable: 'SONAR_TOKEN')])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script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def destino = env.CHANGE_ID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"-Dsonar.pullrequest.key=${env.CHANGE_ID} -Dsonar.pullrequest.branch=${env.CHANGE_BRANCH} -Dsonar.pullrequest.base=${env.CHANGE_TARGET}"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"-Dsonar.branch.name=${env.BRANCH_NAME}"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"sonar-scanner -Dsonar.qualitygate.wait=true ${destino}"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stage('Build')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'npm run -w api build &amp;&amp; npm run -w web build'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'tar czf "calisfacu-${GIT_COMMIT}.tgz" api/dist web/dist'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archiveArtifacts artifacts: 'calisfacu-*.tgz', fingerprint: true   // build sano: artefacto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stage('Deploy staging')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branch 'develop' }                            // nunca antes de que pasen las pruebas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withCredentials([string(credentialsId: 'render-hook-staging', variable: 'HOOK'),</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string(credentialsId: 'vercel-token', variable: 'VERCEL_TOKEN'),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string(credentialsId: 'vercel-org-id', variable: 'VERCEL_ORG_ID'),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string(credentialsId: 'vercel-project-id', variable: 'VERCEL_PROJECT_ID')])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'curl -fsS -X POST "$HOOK&amp;ref=$GIT_COMMIT"'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'cd web &amp;&amp; npx vercel deploy --yes --token="$VERCEL_TOKEN"'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stage('Smoke test')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branch 'develop'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 sh './scripts/smoke.sh "$STAGING_API_URL" "$GIT_COMMIT"' }   // salud + commit desplegado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stage('E2E') {                                         // M02</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branch 'develop'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'''npx cypress run --project e2e --config baseUrl="$STAGING_WEB_URL" --env apiUrl="$STAGING_API_URL"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--reporter junit --reporter-options "mochaFile=e2e/reports/junit-[hash].xml"'''</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post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always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junit 'e2e/reports/*.xml'</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archiveArtifacts artifacts: 'e2e/cypress/videos/**, e2e/cypress/screenshots/**', allowEmptyArchive: true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stage('Rendimiento') {                                 // M03, M04: solo etiquetas v*-rc.*</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tag pattern: 'v*-rc.*', comparator: 'GLOB'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environment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DATABASE_URL = "postgresql://calis:calis@postgres-ci:5432/${env.DB_NAME}_perf"</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JWT_SECRET = 'solo-para-la-prueba-de-carga'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NODE_ENV = 'perf'</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'createdb "${DB_NAME}_perf" &amp;&amp; npm run -w api db:migrate &amp;&amp; npm run -w api seed:perf'</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'npm run -w api build &amp;&amp; (node api/dist/main.js &gt; api.log 2&gt;&amp;1 &amp; echo $! &gt; api.pid)'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'./scripts/esperar-salud.sh http://localhost:3000/api/salud'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jmeter -n -t perf/boletin.jmx  -Jusuarios=100 -Jduracion=600 -l perf/boletin.jtl  -e -o perf/boletin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jmeter -n -t perf/planilla.jmx -Jusuarios=100 -Jduracion=600 -l perf/planilla.jtl -e -o perf/planilla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jq -e ".Total.pct2ResTime &lt;= 2000" perf/boletin/statistics.json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jq -e ".Total.errorPct &lt; 1"         perf/boletin/statistics.json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jq -e ".Total.errorPct &lt; 1"         perf/planilla/statistics.json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post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always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'kill "$(cat api.pid)" || true; dropdb --if-exists "${DB_NAME}_perf"'</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archiveArtifacts artifacts: 'perf/**, api.log', allowEmptyArchive: true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stage('Aprobar producción')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tag pattern: 'v\\d+\\.\\d+\\.\\d+', comparator: 'REGEXP'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input message: '¿Desplegar a producción? Aprueba quien NO creó la etiqueta.',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ok: 'Aprobar', submitter: 'lujan,galvan'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stage('Deploy producción')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when { tag pattern: 'v\\d+\\.\\d+\\.\\d+', comparator: 'REGEXP'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withCredentials([string(credentialsId: 'render-hook-prod', variable: 'HOOK')])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sh 'curl -fsS -X POST "$HOOK&amp;ref=$GIT_COMMIT"'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w:t>
      </w:r>
    </w:p>
    <w:p>
      <w:pPr>
        <w:spacing w:after="60" w:line="276" w:lineRule="auto"/>
      </w:pPr>
    </w:p>
    <w:p>
      <w:pPr>
        <w:keepNext/>
        <w:spacing w:before="120" w:after="60" w:line="276" w:lineRule="auto"/>
      </w:pPr>
      <w:r>
        <w:rPr>
          <w:b/>
        </w:rPr>
        <w:t>C.2 Imagen y servicios de Jenkins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jenkins/Dockerfile — imagen del controlador con todo lo que usan las etapas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FROM jenkins/jenkins:lts-jdk17</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USER root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RUN apt-get update &amp;&amp; apt-get install -y --no-install-recommends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curl unzip jq gnupg postgresql-client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xvfb libgtk-3-0 libgbm1 libnotify4 libnss3 libxss1 libxtst6 xauth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curl -fsSL https://deb.nodesource.com/setup_22.x | bash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apt-get install -y nodejs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curl -fsSL https://archive.apache.org/dist/jmeter/binaries/apache-jmeter-5.6.3.tgz | tar xz -C /opt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ln -s /opt/apache-jmeter-5.6.3/bin/jmeter /usr/local/bin/jmeter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rm -rf /var/lib/apt/lists/*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Dependencias de Cypress: lista de la documentación de Cypress para Debian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(los nombres de paquete cambian entre versiones de Debian; verificar al construir).</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SONAR_SCANNER_VERSION: versión vigente en binaries.sonarsource.com</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ARG SONAR_SCANNER_VERSION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RUN curl -fsSL -o /tmp/ss.zip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"https://binaries.sonarsource.com/Distribution/sonar-scanner-cli/sonar-scanner-cli-${SONAR_SCANNER_VERSION}-linux-x64.zip"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unzip -q /tmp/ss.zip -d /opt &amp;&amp; rm /tmp/ss.zip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&amp;&amp; ln -s /opt/sonar-scanner-${SONAR_SCANNER_VERSION}-linux-x64/bin/sonar-scanner /usr/local/bin/sonar-scanner</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USER jenkins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COPY plugins.txt /usr/share/jenkins/ref/plugins.txt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RUN jenkins-plugin-cli -f /usr/share/jenkins/ref/plugins.txt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jenkins/plugins.txt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workflow-aggregator</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git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github-branch-source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basic-branch-build-strategies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junit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credentials-binding</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timestamper</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pipeline-stage-view</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matrix-auth</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jenkins/docker-compose.yml</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services: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jenkins: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build: { context: ., args: { SONAR_SCANNER_VERSION: "&lt;versión vigente&gt;"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ports: ["8080:8080"]</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volumes: [jenkins_home:/var/jenkins_home]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environment: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STAGING_API_URL: "https://&lt;api-staging&gt;.onrender.com"</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STAGING_WEB_URL: "https://&lt;web-staging&gt;.vercel.app"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depends_on: [postgres-ci, redis-ci]</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postgres-ci:</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image: postgres:16</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environment: { POSTGRES_USER: calis, POSTGRES_PASSWORD: calis, POSTGRES_DB: calis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redis-ci:</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image: redis:7</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volumes: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jenkins_home: {}</w:t>
      </w:r>
    </w:p>
    <w:p>
      <w:pPr>
        <w:spacing w:after="60" w:line="276" w:lineRule="auto"/>
      </w:pPr>
    </w:p>
    <w:p>
      <w:pPr>
        <w:keepNext/>
        <w:spacing w:before="120" w:after="60" w:line="276" w:lineRule="auto"/>
      </w:pPr>
      <w:r>
        <w:rPr>
          <w:b/>
        </w:rPr>
        <w:t>C.3 Respaldos (única tarea en GitHub Actions)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.github/workflows/backup.yml — M14 (RPO 24 h, RTO 2 h)</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name: backup</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schedule: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cron: '0 7 * * *'                  # 03:00 en Bolivia (UTC-4)</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workflow_dispatch:</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permissions: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contents: read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jobs: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respaldar:</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environment: production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runs-on: ubuntu-latest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steps: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run: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docker run --rm postgres:16 pg_dump "${{ secrets.DATABASE_URL }}" -Fc &gt; db.dump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gpg --batch --symmetric --cipher-algo AES256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--passphrase "${{ secrets.BACKUP_PASSPHRASE }}" -o "calis-$(date +%F).dump.gpg" db.dump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rm db.dump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uses: actions/upload-artifact@v4</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with: { name: respaldo-db, path: '*.dump.gpg', retention-days: 30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El job "restaurar" (workflow_dispatch, cada día 5) descifra el último respaldo,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lo restaura con pg_restore en un PostgreSQL 16 vacío y compara el conteo de tablas.</w:t>
      </w:r>
    </w:p>
    <w:p>
      <w:pPr>
        <w:spacing w:after="60" w:line="276" w:lineRule="auto"/>
      </w:pPr>
    </w:p>
    <w:p>
      <w:pPr>
        <w:keepNext/>
        <w:spacing w:before="120" w:after="60" w:line="276" w:lineRule="auto"/>
      </w:pPr>
      <w:r>
        <w:rPr>
          <w:b/>
        </w:rPr>
        <w:t>C.4 Umbral de cobertura de los módulos críticos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api/jest.config.ts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import type { Config } from 'jest';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const config: Config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preset: 'ts-jest',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testEnvironment: 'node',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rootDir: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testMatch: ['&lt;rootDir&gt;/src/**/*.spec.ts'],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collectCoverageFrom: ['src/**/*.ts', '!src/**/*.module.ts', '!src/main.ts'],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coverageReporters: ['lcov', 'text-summary', 'cobertura'],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coverageThreshold: {                    // M06: el mismo 90 de la Tabla de métricas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'./src/modules/notas/':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'./src/modules/calculo/':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'./src/modules/auditoria/':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'./src/modules/auth/':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'./src/modules/familias/':  { lines: 90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export default config;</w:t>
      </w:r>
    </w:p>
    <w:p>
      <w:pPr>
        <w:spacing w:after="60" w:line="276" w:lineRule="auto"/>
      </w:pPr>
    </w:p>
    <w:p>
      <w:pPr>
        <w:keepNext/>
        <w:spacing w:before="120" w:after="60" w:line="276" w:lineRule="auto"/>
      </w:pPr>
      <w:r>
        <w:rPr>
          <w:b/>
        </w:rPr>
        <w:t>C.5 SonarQube, commits, hooks y Dependabot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sonar-project.properties</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sonar.projectKey=calisfacu</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sonar.organization=l001-calisfacu</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sonar.sources=api/src,web/src</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sonar.tests=api/src,api/test,web/src</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sonar.test.inclusions=**/*.spec.ts,**/*.e2e-spec.ts,**/*.test.tsx</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sonar.javascript.lcov.reportPaths=api/coverage/lcov.info,web/coverage/lcov.info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commitlint.config.mjs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export default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extends: ['@commitlint/config-conventional'],</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parserPreset: { parserOpts: { issuePrefixes: ['US-', 'CAL-', '#']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rules: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'scope-enum': [2, 'always', ['auth', 'academico', 'notas', 'calculo', 'auditoria',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'asistencia', 'importacion', 'boletin', 'panel', 'centralizacion', 'notificaciones',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'web', 'e2e', 'perf', 'ci', 'deps', 'sqap']],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'references-empty': [2, 'never'],     // todo commit cita US-NN, CAL-NNN o #issue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.husky/pre-commit      -&gt;  npx lint-staged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.husky/commit-msg      -&gt;  npx --no -- commitlint --edit "$1"</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.husky/pre-push        -&gt;  npm run -w api test -- --onlyChanged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.lintstagedrc.json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"*.{ts,tsx}": ["eslint --fix --max-warnings=0", "prettier --write"],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"*.{json,md,yml}": ["prettier --write"]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.github/dependabot.yml</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version: 2</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updates: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 package-ecosystem: npm, directory: "/", schedule: { interval: weekly }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 package-ecosystem: github-actions, directory: "/", schedule: { interval: weekly } }</w:t>
      </w:r>
    </w:p>
    <w:p>
      <w:pPr>
        <w:spacing w:after="60" w:line="276" w:lineRule="auto"/>
      </w:pPr>
    </w:p>
    <w:p>
      <w:pPr>
        <w:pStyle w:val="Ttulo1"/>
      </w:pPr>
      <w:r>
        <w:t>Anexo D — Plantillas</w:t>
      </w:r>
    </w:p>
    <w:p>
      <w:pPr>
        <w:keepNext/>
        <w:spacing w:before="120" w:after="60" w:line="276" w:lineRule="auto"/>
      </w:pPr>
      <w:r>
        <w:rPr>
          <w:b/>
        </w:rPr>
        <w:t>D.1 Plantilla de pull request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&lt;!-- .github/pull_request_template.md --&gt;</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Historia o defecto</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Refs: US-NN / CAL-NNN (tarea T-NNN)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Qué cambia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Cómo se probó</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 ] Pruebas nuevas para cada criterio de aceptación tocado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 ] Probado en local con datos sintéticos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Definition of Done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 ] Check de Jenkins en verde (Lint, Pruebas, Dependencias, Análisis estático, Build)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 ] Sin secretos ni datos reales en el diff</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 ] Documentación actualizada (SRS, SAD, manual o SQAP) si cambió el comportamiento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 ] Revisor asignado según la Sección 6 del SQAP (nadie aprueba su propio PR)</w:t>
      </w:r>
    </w:p>
    <w:p>
      <w:pPr>
        <w:spacing w:after="60" w:line="276" w:lineRule="auto"/>
      </w:pPr>
    </w:p>
    <w:p>
      <w:pPr>
        <w:keepNext/>
        <w:spacing w:before="120" w:after="60" w:line="276" w:lineRule="auto"/>
      </w:pPr>
      <w:r>
        <w:rPr>
          <w:b/>
        </w:rPr>
        <w:t>D.2 Formulario de defecto</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.github/ISSUE_TEMPLATE/defecto.yml</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name: Defecto</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description: Reportar un defecto (Sección 8 del SQAP)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title: "CAL-NNN: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labels: ["tipo:defecto", "estado:nuevo"]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body:</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dropdown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severidad</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Severidad (la fija QA), options: [S1 Crítica, S2 Alta, S3 Media, S4 Baja]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validations: { required: true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input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modulo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Módulo y versión, placeholder: "boletin · v1.0.0-rc.1"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input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entorno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Entorno, placeholder: "staging · Chrome · Windows 11"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textarea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pasos</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Pasos para reproducir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validations: { required: true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textarea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esperado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Resultado esperado (cita el criterio o RNF)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textarea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observado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Resultado observado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textarea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evidencia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Evidencia (enlace al build de Jenkins, captura o log) }</w:t>
      </w:r>
    </w:p>
    <w:p>
      <w:pPr>
        <w:spacing w:after="60" w:line="276" w:lineRule="auto"/>
      </w:pPr>
    </w:p>
    <w:p>
      <w:pPr>
        <w:keepNext/>
        <w:spacing w:before="120" w:after="60" w:line="276" w:lineRule="auto"/>
      </w:pPr>
      <w:r>
        <w:rPr>
          <w:b/>
        </w:rPr>
        <w:t>D.3 Formulario de solicitud de cambio de historia</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 .github/ISSUE_TEMPLATE/cambio-historia.yml</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name: Solicitud de cambio de historia</w:t>
      </w:r>
    </w:p>
    <w:p>
      <w:pPr>
        <w:keepNext/>
        <w:keepLines/>
        <w:pBdr>
          <w:left w:val="single" w:color="9DBBD8" w:sz="12" w:space="6"/>
        </w:pBdr>
        <w:shd w:fill="F2F2F2" w:color="auto" w:val="clear"/>
        <w:spacing w:after="0" w:before="0" w:line="240"/>
        <w:ind w:left="170" w:right="170"/>
      </w:pPr>
      <w:r>
        <w:rPr>
          <w:rFonts w:ascii="Consolas" w:hAnsi="Consolas" w:cs="Consolas" w:eastAsia="Consolas"/>
          <w:sz w:val="17"/>
        </w:rPr>
        <w:t>description: Proponer un cambio a una historia o criterio (Sección 10.7 del SQAP)</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title: "Cambio: US-NN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labels: ["tipo:cambio"]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body:</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input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historia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Historia afectada, placeholder: "US-02"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validations: { required: true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dropdown</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tipo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Tipo de cambio, options: [Nueva, Modificar, Dividir, Descartar, Cambiar criterio]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textarea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cambio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Cambio pedido y motivo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validations: { required: true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input</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solicitante</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Quién lo pide }</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 type: textarea</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id: impacto</w:t>
      </w:r>
    </w:p>
    <w:p>
      <w:pPr>
        <w:keepLines/>
        <w:pBdr>
          <w:left w:val="single" w:color="9DBBD8" w:sz="12" w:space="6"/>
        </w:pBdr>
        <w:shd w:fill="F2F2F2" w:color="auto" w:val="clear"/>
        <w:spacing w:after="0" w:before="0" w:line="240"/>
        <w:ind w:left="170" w:right="170"/>
      </w:pPr>
      <w:r>
        <w:rPr>
          <w:rFonts w:ascii="Consolas" w:hAnsi="Consolas" w:cs="Consolas" w:eastAsia="Consolas"/>
          <w:sz w:val="17"/>
        </w:rPr>
        <w:t xml:space="preserve">    attributes: { label: Impacto (lo completa el Líder), description: "Puntos, sprint, pruebas, RNF o umbral del SQAP" }</w:t>
      </w:r>
    </w:p>
    <w:p>
      <w:pPr>
        <w:spacing w:after="60" w:line="276" w:lineRule="auto"/>
      </w:pPr>
    </w:p>
    <w:p>
      <w:pPr>
        <w:spacing w:before="120" w:after="120" w:line="276" w:lineRule="auto"/>
      </w:pPr>
      <w:r>
        <w:rPr>
          <w:b/>
        </w:rPr>
        <w:t>D.4 Acta de revisión, inspección o auditoría</w:t>
      </w:r>
      <w:r>
        <w:t xml:space="preserve"> (</w:t>
      </w:r>
      <w:r>
        <w:rPr>
          <w:rFonts w:ascii="Consolas" w:hAnsi="Consolas" w:cs="Consolas"/>
          <w:sz w:val="19"/>
        </w:rPr>
        <w:t>docs/actas/AAAA-MM-DD-&lt;tipo&gt;.md</w:t>
      </w:r>
      <w:r>
        <w:t>): fecha y duración; tipo de revisión; artefacto y versión; participantes con su rol; métricas de la inspección (Sección 6.1); hallazgos con ubicación, severidad (mayor o menor) y responsable; decisión (aceptado, aceptado con cambios, rechazado); firmas.</w:t>
      </w:r>
    </w:p>
    <w:p>
      <w:pPr>
        <w:pStyle w:val="Ttulo1"/>
      </w:pPr>
      <w:r>
        <w:t>Anexo E — Autoevaluación contra la regla del plan verificable</w:t>
      </w:r>
    </w:p>
    <w:p>
      <w:pPr>
        <w:spacing w:after="120" w:line="276" w:lineRule="auto"/>
      </w:pPr>
      <w:r>
        <w:t xml:space="preserve">La última columna la completa un integrante que </w:t>
      </w:r>
      <w:r>
        <w:rPr>
          <w:b/>
        </w:rPr>
        <w:t>no</w:t>
      </w:r>
      <w:r>
        <w:t xml:space="preserve"> redactó la sección evaluada (Ejercicio 5 de la Práctica 7): Lujan evalúa las secciones de Galvan y Galvan las de Lujan, según la Tabla de autoría de la Sección 16.</w:t>
      </w:r>
    </w:p>
    <w:p>
      <w:pPr>
        <w:keepNext/>
        <w:spacing w:before="120" w:after="80" w:line="276" w:lineRule="auto"/>
      </w:pPr>
      <w:r>
        <w:rPr>
          <w:b/>
          <w:color w:val="1F4E79"/>
          <w:sz w:val="19"/>
        </w:rPr>
        <w:t xml:space="preserve">Tabla 36. </w:t>
      </w:r>
      <w:r>
        <w:rPr>
          <w:color w:val="595959"/>
          <w:sz w:val="19"/>
        </w:rPr>
        <w:t>Autoevaluación del plan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000"/>
        <w:gridCol w:w="5280"/>
        <w:gridCol w:w="2800"/>
      </w:tblGrid>
      <w:tr>
        <w:trPr>
          <w:cantSplit/>
          <w:tblHeader/>
        </w:trPr>
        <w:tc>
          <w:tcPr>
            <w:tcW w:w="2000" w:type="dxa"/>
            <w:shd w:val="clear" w:color="auto" w:fill="DDEBF7"/>
            <w:tcMar>
              <w:top w:w="60" w:type="dxa"/>
              <w:left w:w="100" w:type="dxa"/>
              <w:bottom w:w="60" w:type="dxa"/>
              <w:right w:w="100" w:type="dxa"/>
            </w:tcMar>
          </w:tcPr>
          <w:p>
            <w:pPr>
              <w:spacing w:after="0" w:line="260" w:lineRule="auto"/>
            </w:pPr>
            <w:r>
              <w:rPr>
                <w:b/>
                <w:sz w:val="20"/>
              </w:rPr>
              <w:t>Indicador</w:t>
            </w:r>
          </w:p>
        </w:tc>
        <w:tc>
          <w:tcPr>
            <w:tcW w:w="5280" w:type="dxa"/>
            <w:shd w:val="clear" w:color="auto" w:fill="DDEBF7"/>
            <w:tcMar>
              <w:top w:w="60" w:type="dxa"/>
              <w:left w:w="100" w:type="dxa"/>
              <w:bottom w:w="60" w:type="dxa"/>
              <w:right w:w="100" w:type="dxa"/>
            </w:tcMar>
          </w:tcPr>
          <w:p>
            <w:pPr>
              <w:spacing w:after="0" w:line="260" w:lineRule="auto"/>
            </w:pPr>
            <w:r>
              <w:rPr>
                <w:b/>
                <w:sz w:val="20"/>
              </w:rPr>
              <w:t>Cómo lo cumple este plan</w:t>
            </w:r>
          </w:p>
        </w:tc>
        <w:tc>
          <w:tcPr>
            <w:tcW w:w="2800" w:type="dxa"/>
            <w:shd w:val="clear" w:color="auto" w:fill="DDEBF7"/>
            <w:tcMar>
              <w:top w:w="60" w:type="dxa"/>
              <w:left w:w="100" w:type="dxa"/>
              <w:bottom w:w="60" w:type="dxa"/>
              <w:right w:w="100" w:type="dxa"/>
            </w:tcMar>
          </w:tcPr>
          <w:p>
            <w:pPr>
              <w:spacing w:after="0" w:line="260" w:lineRule="auto"/>
            </w:pPr>
            <w:r>
              <w:rPr>
                <w:b/>
                <w:sz w:val="20"/>
              </w:rPr>
              <w:t>Evaluación del otro integrante</w:t>
            </w:r>
          </w:p>
        </w:tc>
      </w:tr>
      <w:tr>
        <w:trPr>
          <w:cantSplit/>
        </w:trPr>
        <w:tc>
          <w:tcPr>
            <w:tcW w:w="2000" w:type="dxa"/>
            <w:tcMar>
              <w:top w:w="60" w:type="dxa"/>
              <w:left w:w="100" w:type="dxa"/>
              <w:bottom w:w="60" w:type="dxa"/>
              <w:right w:w="100" w:type="dxa"/>
            </w:tcMar>
            <w:vAlign w:val="center"/>
          </w:tcPr>
          <w:p>
            <w:pPr>
              <w:spacing w:after="0" w:line="260" w:lineRule="auto"/>
            </w:pPr>
            <w:r>
              <w:rPr>
                <w:sz w:val="20"/>
              </w:rPr>
              <w:t>Completo</w:t>
            </w:r>
          </w:p>
        </w:tc>
        <w:tc>
          <w:tcPr>
            <w:tcW w:w="5280" w:type="dxa"/>
            <w:tcMar>
              <w:top w:w="60" w:type="dxa"/>
              <w:left w:w="100" w:type="dxa"/>
              <w:bottom w:w="60" w:type="dxa"/>
              <w:right w:w="100" w:type="dxa"/>
            </w:tcMar>
            <w:vAlign w:val="center"/>
          </w:tcPr>
          <w:p>
            <w:pPr>
              <w:spacing w:after="0" w:line="260" w:lineRule="auto"/>
            </w:pPr>
            <w:r>
              <w:rPr>
                <w:sz w:val="20"/>
              </w:rPr>
              <w:t>Están las 16 secciones de IEEE 730-2002, sin "Pendiente"; ninguna se declara "no aplica".</w:t>
            </w:r>
          </w:p>
        </w:tc>
        <w:tc>
          <w:tcPr>
            <w:tcW w:w="2800" w:type="dxa"/>
            <w:tcMar>
              <w:top w:w="60" w:type="dxa"/>
              <w:left w:w="100" w:type="dxa"/>
              <w:bottom w:w="60" w:type="dxa"/>
              <w:right w:w="100" w:type="dxa"/>
            </w:tcMar>
            <w:vAlign w:val="center"/>
          </w:tcPr>
          <w:p>
            <w:pPr>
              <w:spacing w:after="0" w:line="260" w:lineRule="auto"/>
            </w:pPr>
          </w:p>
        </w:tc>
      </w:tr>
      <w:tr>
        <w:trPr>
          <w:cantSplit/>
        </w:trPr>
        <w:tc>
          <w:tcPr>
            <w:tcW w:w="2000" w:type="dxa"/>
            <w:tcMar>
              <w:top w:w="60" w:type="dxa"/>
              <w:left w:w="100" w:type="dxa"/>
              <w:bottom w:w="60" w:type="dxa"/>
              <w:right w:w="100" w:type="dxa"/>
            </w:tcMar>
            <w:vAlign w:val="center"/>
          </w:tcPr>
          <w:p>
            <w:pPr>
              <w:spacing w:after="0" w:line="260" w:lineRule="auto"/>
            </w:pPr>
            <w:r>
              <w:rPr>
                <w:sz w:val="20"/>
              </w:rPr>
              <w:t>Medible</w:t>
            </w:r>
          </w:p>
        </w:tc>
        <w:tc>
          <w:tcPr>
            <w:tcW w:w="5280" w:type="dxa"/>
            <w:tcMar>
              <w:top w:w="60" w:type="dxa"/>
              <w:left w:w="100" w:type="dxa"/>
              <w:bottom w:w="60" w:type="dxa"/>
              <w:right w:w="100" w:type="dxa"/>
            </w:tcMar>
            <w:vAlign w:val="center"/>
          </w:tcPr>
          <w:p>
            <w:pPr>
              <w:spacing w:after="0" w:line="260" w:lineRule="auto"/>
            </w:pPr>
            <w:r>
              <w:rPr>
                <w:sz w:val="20"/>
              </w:rPr>
              <w:t>Las 15 métricas (M01 a M09 y M11 a M16) tienen fórmula y valor numérico; ningún objetivo dice "rápido", "intuitivo" o "alto".</w:t>
            </w:r>
          </w:p>
        </w:tc>
        <w:tc>
          <w:tcPr>
            <w:tcW w:w="2800" w:type="dxa"/>
            <w:tcMar>
              <w:top w:w="60" w:type="dxa"/>
              <w:left w:w="100" w:type="dxa"/>
              <w:bottom w:w="60" w:type="dxa"/>
              <w:right w:w="100" w:type="dxa"/>
            </w:tcMar>
            <w:vAlign w:val="center"/>
          </w:tcPr>
          <w:p>
            <w:pPr>
              <w:spacing w:after="0" w:line="260" w:lineRule="auto"/>
            </w:pPr>
          </w:p>
        </w:tc>
      </w:tr>
      <w:tr>
        <w:trPr>
          <w:cantSplit/>
        </w:trPr>
        <w:tc>
          <w:tcPr>
            <w:tcW w:w="2000" w:type="dxa"/>
            <w:tcMar>
              <w:top w:w="60" w:type="dxa"/>
              <w:left w:w="100" w:type="dxa"/>
              <w:bottom w:w="60" w:type="dxa"/>
              <w:right w:w="100" w:type="dxa"/>
            </w:tcMar>
            <w:vAlign w:val="center"/>
          </w:tcPr>
          <w:p>
            <w:pPr>
              <w:spacing w:after="0" w:line="260" w:lineRule="auto"/>
            </w:pPr>
            <w:r>
              <w:rPr>
                <w:sz w:val="20"/>
              </w:rPr>
              <w:t>Instrumentado</w:t>
            </w:r>
          </w:p>
        </w:tc>
        <w:tc>
          <w:tcPr>
            <w:tcW w:w="5280" w:type="dxa"/>
            <w:tcMar>
              <w:top w:w="60" w:type="dxa"/>
              <w:left w:w="100" w:type="dxa"/>
              <w:bottom w:w="60" w:type="dxa"/>
              <w:right w:w="100" w:type="dxa"/>
            </w:tcMar>
            <w:vAlign w:val="center"/>
          </w:tcPr>
          <w:p>
            <w:pPr>
              <w:spacing w:after="0" w:line="260" w:lineRule="auto"/>
            </w:pPr>
            <w:r>
              <w:rPr>
                <w:sz w:val="20"/>
              </w:rPr>
              <w:t>Cada métrica nombra herramienta, condiciones y momento, y la Tabla 10 dice dónde se configura.</w:t>
            </w:r>
          </w:p>
        </w:tc>
        <w:tc>
          <w:tcPr>
            <w:tcW w:w="2800" w:type="dxa"/>
            <w:tcMar>
              <w:top w:w="60" w:type="dxa"/>
              <w:left w:w="100" w:type="dxa"/>
              <w:bottom w:w="60" w:type="dxa"/>
              <w:right w:w="100" w:type="dxa"/>
            </w:tcMar>
            <w:vAlign w:val="center"/>
          </w:tcPr>
          <w:p>
            <w:pPr>
              <w:spacing w:after="0" w:line="260" w:lineRule="auto"/>
            </w:pPr>
          </w:p>
        </w:tc>
      </w:tr>
      <w:tr>
        <w:trPr>
          <w:cantSplit/>
        </w:trPr>
        <w:tc>
          <w:tcPr>
            <w:tcW w:w="2000" w:type="dxa"/>
            <w:tcMar>
              <w:top w:w="60" w:type="dxa"/>
              <w:left w:w="100" w:type="dxa"/>
              <w:bottom w:w="60" w:type="dxa"/>
              <w:right w:w="100" w:type="dxa"/>
            </w:tcMar>
            <w:vAlign w:val="center"/>
          </w:tcPr>
          <w:p>
            <w:pPr>
              <w:spacing w:after="0" w:line="260" w:lineRule="auto"/>
            </w:pPr>
            <w:r>
              <w:rPr>
                <w:sz w:val="20"/>
              </w:rPr>
              <w:t>Asignado e independiente</w:t>
            </w:r>
          </w:p>
        </w:tc>
        <w:tc>
          <w:tcPr>
            <w:tcW w:w="5280" w:type="dxa"/>
            <w:tcMar>
              <w:top w:w="60" w:type="dxa"/>
              <w:left w:w="100" w:type="dxa"/>
              <w:bottom w:w="60" w:type="dxa"/>
              <w:right w:w="100" w:type="dxa"/>
            </w:tcMar>
            <w:vAlign w:val="center"/>
          </w:tcPr>
          <w:p>
            <w:pPr>
              <w:spacing w:after="0" w:line="260" w:lineRule="auto"/>
            </w:pPr>
            <w:r>
              <w:rPr>
                <w:sz w:val="20"/>
              </w:rPr>
              <w:t>RACI con una A por fila; Galvan no programa módulos críticos; Lujan audita las evidencias de Galvan y verifica sus defectos.</w:t>
            </w:r>
          </w:p>
        </w:tc>
        <w:tc>
          <w:tcPr>
            <w:tcW w:w="2800" w:type="dxa"/>
            <w:tcMar>
              <w:top w:w="60" w:type="dxa"/>
              <w:left w:w="100" w:type="dxa"/>
              <w:bottom w:w="60" w:type="dxa"/>
              <w:right w:w="100" w:type="dxa"/>
            </w:tcMar>
            <w:vAlign w:val="center"/>
          </w:tcPr>
          <w:p>
            <w:pPr>
              <w:spacing w:after="0" w:line="260" w:lineRule="auto"/>
            </w:pPr>
          </w:p>
        </w:tc>
      </w:tr>
      <w:tr>
        <w:trPr>
          <w:cantSplit/>
        </w:trPr>
        <w:tc>
          <w:tcPr>
            <w:tcW w:w="2000" w:type="dxa"/>
            <w:tcMar>
              <w:top w:w="60" w:type="dxa"/>
              <w:left w:w="100" w:type="dxa"/>
              <w:bottom w:w="60" w:type="dxa"/>
              <w:right w:w="100" w:type="dxa"/>
            </w:tcMar>
            <w:vAlign w:val="center"/>
          </w:tcPr>
          <w:p>
            <w:pPr>
              <w:spacing w:after="0" w:line="260" w:lineRule="auto"/>
            </w:pPr>
            <w:r>
              <w:rPr>
                <w:sz w:val="20"/>
              </w:rPr>
              <w:t>Consistente</w:t>
            </w:r>
          </w:p>
        </w:tc>
        <w:tc>
          <w:tcPr>
            <w:tcW w:w="5280" w:type="dxa"/>
            <w:tcMar>
              <w:top w:w="60" w:type="dxa"/>
              <w:left w:w="100" w:type="dxa"/>
              <w:bottom w:w="60" w:type="dxa"/>
              <w:right w:w="100" w:type="dxa"/>
            </w:tcMar>
            <w:vAlign w:val="center"/>
          </w:tcPr>
          <w:p>
            <w:pPr>
              <w:spacing w:after="0" w:line="260" w:lineRule="auto"/>
            </w:pPr>
            <w:r>
              <w:rPr>
                <w:sz w:val="20"/>
              </w:rPr>
              <w:t xml:space="preserve">80, 90, 3, 2000, 1, 0, 100, 68, 99,0, 24 h y 2 h aparecen iguales en las Secciones 5, 7 y 12, en el Anexo A, en </w:t>
            </w:r>
            <w:r>
              <w:rPr>
                <w:rFonts w:ascii="Consolas" w:hAnsi="Consolas" w:cs="Consolas"/>
                <w:sz w:val="19"/>
              </w:rPr>
              <w:t>matrices-sqap.xlsx</w:t>
            </w:r>
            <w:r>
              <w:rPr>
                <w:sz w:val="20"/>
              </w:rPr>
              <w:t xml:space="preserve"> y en el Anexo C.</w:t>
            </w:r>
          </w:p>
        </w:tc>
        <w:tc>
          <w:tcPr>
            <w:tcW w:w="2800" w:type="dxa"/>
            <w:tcMar>
              <w:top w:w="60" w:type="dxa"/>
              <w:left w:w="100" w:type="dxa"/>
              <w:bottom w:w="60" w:type="dxa"/>
              <w:right w:w="100" w:type="dxa"/>
            </w:tcMar>
            <w:vAlign w:val="center"/>
          </w:tcPr>
          <w:p>
            <w:pPr>
              <w:spacing w:after="0" w:line="260" w:lineRule="auto"/>
            </w:pPr>
          </w:p>
        </w:tc>
      </w:tr>
      <w:tr>
        <w:trPr>
          <w:cantSplit/>
        </w:trPr>
        <w:tc>
          <w:tcPr>
            <w:tcW w:w="2000" w:type="dxa"/>
            <w:tcMar>
              <w:top w:w="60" w:type="dxa"/>
              <w:left w:w="100" w:type="dxa"/>
              <w:bottom w:w="60" w:type="dxa"/>
              <w:right w:w="100" w:type="dxa"/>
            </w:tcMar>
            <w:vAlign w:val="center"/>
          </w:tcPr>
          <w:p>
            <w:pPr>
              <w:spacing w:after="0" w:line="260" w:lineRule="auto"/>
            </w:pPr>
            <w:r>
              <w:rPr>
                <w:sz w:val="20"/>
              </w:rPr>
              <w:t>Trazable</w:t>
            </w:r>
          </w:p>
        </w:tc>
        <w:tc>
          <w:tcPr>
            <w:tcW w:w="5280" w:type="dxa"/>
            <w:tcMar>
              <w:top w:w="60" w:type="dxa"/>
              <w:left w:w="100" w:type="dxa"/>
              <w:bottom w:w="60" w:type="dxa"/>
              <w:right w:w="100" w:type="dxa"/>
            </w:tcMar>
            <w:vAlign w:val="center"/>
          </w:tcPr>
          <w:p>
            <w:pPr>
              <w:spacing w:after="0" w:line="260" w:lineRule="auto"/>
            </w:pPr>
            <w:r>
              <w:rPr>
                <w:sz w:val="20"/>
              </w:rPr>
              <w:t>Cada métrica cita un RNF o un riesgo; cada historia tiene su trazabilidad en el Anexo B; los nueve riesgos altos tienen mitigación con responsable.</w:t>
            </w:r>
          </w:p>
        </w:tc>
        <w:tc>
          <w:tcPr>
            <w:tcW w:w="2800" w:type="dxa"/>
            <w:tcMar>
              <w:top w:w="60" w:type="dxa"/>
              <w:left w:w="100" w:type="dxa"/>
              <w:bottom w:w="60" w:type="dxa"/>
              <w:right w:w="100" w:type="dxa"/>
            </w:tcMar>
            <w:vAlign w:val="center"/>
          </w:tcPr>
          <w:p>
            <w:pPr>
              <w:spacing w:after="0" w:line="260" w:lineRule="auto"/>
            </w:pPr>
          </w:p>
        </w:tc>
      </w:tr>
      <w:tr>
        <w:trPr>
          <w:cantSplit/>
        </w:trPr>
        <w:tc>
          <w:tcPr>
            <w:tcW w:w="2000" w:type="dxa"/>
            <w:tcMar>
              <w:top w:w="60" w:type="dxa"/>
              <w:left w:w="100" w:type="dxa"/>
              <w:bottom w:w="60" w:type="dxa"/>
              <w:right w:w="100" w:type="dxa"/>
            </w:tcMar>
            <w:vAlign w:val="center"/>
          </w:tcPr>
          <w:p>
            <w:pPr>
              <w:spacing w:after="0" w:line="260" w:lineRule="auto"/>
            </w:pPr>
            <w:r>
              <w:rPr>
                <w:sz w:val="20"/>
              </w:rPr>
              <w:t>Evidenciable</w:t>
            </w:r>
          </w:p>
        </w:tc>
        <w:tc>
          <w:tcPr>
            <w:tcW w:w="5280" w:type="dxa"/>
            <w:tcMar>
              <w:top w:w="60" w:type="dxa"/>
              <w:left w:w="100" w:type="dxa"/>
              <w:bottom w:w="60" w:type="dxa"/>
              <w:right w:w="100" w:type="dxa"/>
            </w:tcMar>
            <w:vAlign w:val="center"/>
          </w:tcPr>
          <w:p>
            <w:pPr>
              <w:spacing w:after="0" w:line="260" w:lineRule="auto"/>
            </w:pPr>
            <w:r>
              <w:rPr>
                <w:sz w:val="20"/>
              </w:rPr>
              <w:t>La Sección 12 da ubicación, formato, retención y responsable de cada evidencia.</w:t>
            </w:r>
          </w:p>
        </w:tc>
        <w:tc>
          <w:tcPr>
            <w:tcW w:w="2800" w:type="dxa"/>
            <w:tcMar>
              <w:top w:w="60" w:type="dxa"/>
              <w:left w:w="100" w:type="dxa"/>
              <w:bottom w:w="60" w:type="dxa"/>
              <w:right w:w="100" w:type="dxa"/>
            </w:tcMar>
            <w:vAlign w:val="center"/>
          </w:tcPr>
          <w:p>
            <w:pPr>
              <w:spacing w:after="0" w:line="260" w:lineRule="auto"/>
            </w:pPr>
          </w:p>
        </w:tc>
      </w:tr>
    </w:tbl>
    <w:p>
      <w:pPr>
        <w:spacing w:after="60" w:line="276" w:lineRule="auto"/>
      </w:pPr>
    </w:p>
    <w:p>
      <w:pPr>
        <w:pStyle w:val="Ttulo1"/>
      </w:pPr>
      <w:r>
        <w:t>Anexo F — Datos y decisiones pendientes</w:t>
      </w:r>
    </w:p>
    <w:p>
      <w:pPr>
        <w:spacing w:after="120" w:line="276" w:lineRule="auto"/>
      </w:pPr>
      <w:r>
        <w:t>El plan rige con estos supuestos. Las reglas del cálculo y de la asistencia se resolvieron con las decisiones D1 a D20 de docs/backlog/reglas-ministerio.md (13/10/2026 en adelante); la última columna indica el estado al 30/10/2026. Lo que sigue abierto se registra en la Sección 16 cuando se resuelva.</w:t>
      </w:r>
    </w:p>
    <w:p>
      <w:pPr>
        <w:keepNext/>
        <w:spacing w:before="120" w:after="80" w:line="276" w:lineRule="auto"/>
      </w:pPr>
      <w:r>
        <w:rPr>
          <w:b/>
          <w:color w:val="1F4E79"/>
          <w:sz w:val="19"/>
        </w:rPr>
        <w:t xml:space="preserve">Tabla 37. </w:t>
      </w:r>
      <w:r>
        <w:rPr>
          <w:color w:val="595959"/>
          <w:sz w:val="19"/>
        </w:rPr>
        <w:t>Pendientes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200"/>
        <w:gridCol w:w="2200"/>
        <w:gridCol w:w="1500"/>
        <w:gridCol w:w="2180"/>
      </w:tblGrid>
      <w:tr>
        <w:trPr>
          <w:cantSplit/>
          <w:tblHeader/>
        </w:trPr>
        <w:tc>
          <w:tcPr>
            <w:tcW w:w="4200" w:type="dxa"/>
            <w:shd w:val="clear" w:color="auto" w:fill="DDEBF7"/>
            <w:tcMar>
              <w:top w:w="60" w:type="dxa"/>
              <w:left w:w="100" w:type="dxa"/>
              <w:bottom w:w="60" w:type="dxa"/>
              <w:right w:w="100" w:type="dxa"/>
            </w:tcMar>
          </w:tcPr>
          <w:p>
            <w:pPr>
              <w:spacing w:after="0" w:line="260" w:lineRule="auto"/>
            </w:pPr>
            <w:r>
              <w:rPr>
                <w:b/>
                <w:sz w:val="20"/>
              </w:rPr>
              <w:t>Pendiente</w:t>
            </w:r>
          </w:p>
        </w:tc>
        <w:tc>
          <w:tcPr>
            <w:tcW w:w="2200" w:type="dxa"/>
            <w:shd w:val="clear" w:color="auto" w:fill="DDEBF7"/>
            <w:tcMar>
              <w:top w:w="60" w:type="dxa"/>
              <w:left w:w="100" w:type="dxa"/>
              <w:bottom w:w="60" w:type="dxa"/>
              <w:right w:w="100" w:type="dxa"/>
            </w:tcMar>
          </w:tcPr>
          <w:p>
            <w:pPr>
              <w:spacing w:after="0" w:line="260" w:lineRule="auto"/>
            </w:pPr>
            <w:r>
              <w:rPr>
                <w:b/>
                <w:sz w:val="20"/>
              </w:rPr>
              <w:t>Quién lo resuelve</w:t>
            </w:r>
          </w:p>
        </w:tc>
        <w:tc>
          <w:tcPr>
            <w:tcW w:w="1500" w:type="dxa"/>
            <w:shd w:val="clear" w:color="auto" w:fill="DDEBF7"/>
            <w:tcMar>
              <w:top w:w="60" w:type="dxa"/>
              <w:left w:w="100" w:type="dxa"/>
              <w:bottom w:w="60" w:type="dxa"/>
              <w:right w:w="100" w:type="dxa"/>
            </w:tcMar>
          </w:tcPr>
          <w:p>
            <w:pPr>
              <w:spacing w:after="0" w:line="260" w:lineRule="auto"/>
            </w:pPr>
            <w:r>
              <w:rPr>
                <w:b/>
                <w:sz w:val="20"/>
              </w:rPr>
              <w:t>Estado al 30/10/2026</w:t>
            </w:r>
          </w:p>
        </w:tc>
        <w:tc>
          <w:tcPr>
            <w:tcW w:w="2180" w:type="dxa"/>
            <w:shd w:val="clear" w:color="auto" w:fill="DDEBF7"/>
            <w:tcMar>
              <w:top w:w="60" w:type="dxa"/>
              <w:left w:w="100" w:type="dxa"/>
              <w:bottom w:w="60" w:type="dxa"/>
              <w:right w:w="100" w:type="dxa"/>
            </w:tcMar>
          </w:tcPr>
          <w:p>
            <w:pPr>
              <w:spacing w:after="0" w:line="260" w:lineRule="auto"/>
            </w:pPr>
            <w:r>
              <w:rPr>
                <w:b/>
                <w:sz w:val="20"/>
              </w:rPr>
              <w:t>Dónde impacta</w:t>
            </w:r>
          </w:p>
        </w:tc>
      </w:tr>
      <w:tr>
        <w:trPr>
          <w:cantSplit/>
        </w:trPr>
        <w:tc>
          <w:tcPr>
            <w:tcW w:w="4200" w:type="dxa"/>
            <w:tcMar>
              <w:top w:w="60" w:type="dxa"/>
              <w:left w:w="100" w:type="dxa"/>
              <w:bottom w:w="60" w:type="dxa"/>
              <w:right w:w="100" w:type="dxa"/>
            </w:tcMar>
            <w:vAlign w:val="center"/>
          </w:tcPr>
          <w:p>
            <w:pPr>
              <w:spacing w:after="0" w:line="260" w:lineRule="auto"/>
            </w:pPr>
            <w:r>
              <w:rPr>
                <w:sz w:val="20"/>
              </w:rPr>
              <w:t>Nombre de la unidad educativa piloto y de sus representantes</w:t>
            </w:r>
          </w:p>
        </w:tc>
        <w:tc>
          <w:tcPr>
            <w:tcW w:w="2200" w:type="dxa"/>
            <w:tcMar>
              <w:top w:w="60" w:type="dxa"/>
              <w:left w:w="100" w:type="dxa"/>
              <w:bottom w:w="60" w:type="dxa"/>
              <w:right w:w="100" w:type="dxa"/>
            </w:tcMar>
            <w:vAlign w:val="center"/>
          </w:tcPr>
          <w:p>
            <w:pPr>
              <w:spacing w:after="0" w:line="260" w:lineRule="auto"/>
            </w:pPr>
            <w:r>
              <w:rPr>
                <w:sz w:val="20"/>
              </w:rPr>
              <w:t>Líder</w:t>
            </w:r>
          </w:p>
        </w:tc>
        <w:tc>
          <w:tcPr>
            <w:tcW w:w="1500" w:type="dxa"/>
            <w:tcMar>
              <w:top w:w="60" w:type="dxa"/>
              <w:left w:w="100" w:type="dxa"/>
              <w:bottom w:w="60" w:type="dxa"/>
              <w:right w:w="100" w:type="dxa"/>
            </w:tcMar>
            <w:vAlign w:val="center"/>
          </w:tcPr>
          <w:p>
            <w:pPr>
              <w:spacing w:after="0" w:line="260" w:lineRule="auto"/>
            </w:pPr>
            <w:r>
              <w:rPr>
                <w:sz w:val="20"/>
              </w:rPr>
              <w:t>Resuelto (30/10/2026): Unidad Educativa Nazareno; directora Fabiana Parrado y profesora Fatima Carreño.</w:t>
            </w:r>
          </w:p>
        </w:tc>
        <w:tc>
          <w:tcPr>
            <w:tcW w:w="2180" w:type="dxa"/>
            <w:tcMar>
              <w:top w:w="60" w:type="dxa"/>
              <w:left w:w="100" w:type="dxa"/>
              <w:bottom w:w="60" w:type="dxa"/>
              <w:right w:w="100" w:type="dxa"/>
            </w:tcMar>
            <w:vAlign w:val="center"/>
          </w:tcPr>
          <w:p>
            <w:pPr>
              <w:spacing w:after="0" w:line="260" w:lineRule="auto"/>
            </w:pPr>
            <w:r>
              <w:rPr>
                <w:sz w:val="20"/>
              </w:rPr>
              <w:t>Portada, Secciones 1 y 3</w:t>
            </w:r>
          </w:p>
        </w:tc>
      </w:tr>
      <w:tr>
        <w:trPr>
          <w:cantSplit/>
        </w:trPr>
        <w:tc>
          <w:tcPr>
            <w:tcW w:w="4200" w:type="dxa"/>
            <w:tcMar>
              <w:top w:w="60" w:type="dxa"/>
              <w:left w:w="100" w:type="dxa"/>
              <w:bottom w:w="60" w:type="dxa"/>
              <w:right w:w="100" w:type="dxa"/>
            </w:tcMar>
            <w:vAlign w:val="center"/>
          </w:tcPr>
          <w:p>
            <w:pPr>
              <w:spacing w:after="0" w:line="260" w:lineRule="auto"/>
            </w:pPr>
            <w:r>
              <w:rPr>
                <w:sz w:val="20"/>
              </w:rPr>
              <w:t>Aprobación de US-17 a US-20 y de dejar los pagos fuera de la v1.0</w:t>
            </w:r>
          </w:p>
        </w:tc>
        <w:tc>
          <w:tcPr>
            <w:tcW w:w="2200" w:type="dxa"/>
            <w:tcMar>
              <w:top w:w="60" w:type="dxa"/>
              <w:left w:w="100" w:type="dxa"/>
              <w:bottom w:w="60" w:type="dxa"/>
              <w:right w:w="100" w:type="dxa"/>
            </w:tcMar>
            <w:vAlign w:val="center"/>
          </w:tcPr>
          <w:p>
            <w:pPr>
              <w:spacing w:after="0" w:line="260" w:lineRule="auto"/>
            </w:pPr>
            <w:r>
              <w:rPr>
                <w:sz w:val="20"/>
              </w:rPr>
              <w:t>Docente</w:t>
            </w:r>
          </w:p>
        </w:tc>
        <w:tc>
          <w:tcPr>
            <w:tcW w:w="1500" w:type="dxa"/>
            <w:tcMar>
              <w:top w:w="60" w:type="dxa"/>
              <w:left w:w="100" w:type="dxa"/>
              <w:bottom w:w="60" w:type="dxa"/>
              <w:right w:w="100" w:type="dxa"/>
            </w:tcMar>
            <w:vAlign w:val="center"/>
          </w:tcPr>
          <w:p>
            <w:pPr>
              <w:spacing w:after="0" w:line="260" w:lineRule="auto"/>
            </w:pPr>
            <w:r>
              <w:rPr>
                <w:sz w:val="20"/>
              </w:rPr>
              <w:t>Resuelto: el docente aprobó US-17 a US-20 y dejar los pagos fuera (confirmado el 30/10/2026).</w:t>
            </w:r>
          </w:p>
        </w:tc>
        <w:tc>
          <w:tcPr>
            <w:tcW w:w="2180" w:type="dxa"/>
            <w:tcMar>
              <w:top w:w="60" w:type="dxa"/>
              <w:left w:w="100" w:type="dxa"/>
              <w:bottom w:w="60" w:type="dxa"/>
              <w:right w:w="100" w:type="dxa"/>
            </w:tcMar>
            <w:vAlign w:val="center"/>
          </w:tcPr>
          <w:p>
            <w:pPr>
              <w:spacing w:after="0" w:line="260" w:lineRule="auto"/>
            </w:pPr>
            <w:r>
              <w:rPr>
                <w:sz w:val="20"/>
              </w:rPr>
              <w:t>Sección 1 y backlog</w:t>
            </w:r>
          </w:p>
        </w:tc>
      </w:tr>
      <w:tr>
        <w:trPr>
          <w:cantSplit/>
        </w:trPr>
        <w:tc>
          <w:tcPr>
            <w:tcW w:w="4200" w:type="dxa"/>
            <w:tcMar>
              <w:top w:w="60" w:type="dxa"/>
              <w:left w:w="100" w:type="dxa"/>
              <w:bottom w:w="60" w:type="dxa"/>
              <w:right w:w="100" w:type="dxa"/>
            </w:tcMar>
            <w:vAlign w:val="center"/>
          </w:tcPr>
          <w:p>
            <w:pPr>
              <w:spacing w:after="0" w:line="260" w:lineRule="auto"/>
            </w:pPr>
            <w:r>
              <w:rPr>
                <w:sz w:val="20"/>
              </w:rPr>
              <w:t>Regla de la nota anual (¿promedio de los tres trimestres?)</w:t>
            </w:r>
          </w:p>
        </w:tc>
        <w:tc>
          <w:tcPr>
            <w:tcW w:w="2200" w:type="dxa"/>
            <w:tcMar>
              <w:top w:w="60" w:type="dxa"/>
              <w:left w:w="100" w:type="dxa"/>
              <w:bottom w:w="60" w:type="dxa"/>
              <w:right w:w="100" w:type="dxa"/>
            </w:tcMar>
            <w:vAlign w:val="center"/>
          </w:tcPr>
          <w:p>
            <w:pPr>
              <w:spacing w:after="0" w:line="260" w:lineRule="auto"/>
            </w:pPr>
            <w:r>
              <w:rPr>
                <w:sz w:val="20"/>
              </w:rPr>
              <w:t>Cliente, con el texto oficial del reglamento</w:t>
            </w:r>
          </w:p>
        </w:tc>
        <w:tc>
          <w:tcPr>
            <w:tcW w:w="1500" w:type="dxa"/>
            <w:tcMar>
              <w:top w:w="60" w:type="dxa"/>
              <w:left w:w="100" w:type="dxa"/>
              <w:bottom w:w="60" w:type="dxa"/>
              <w:right w:w="100" w:type="dxa"/>
            </w:tcMar>
            <w:vAlign w:val="center"/>
          </w:tcPr>
          <w:p>
            <w:pPr>
              <w:spacing w:after="0" w:line="260" w:lineRule="auto"/>
            </w:pPr>
            <w:r>
              <w:rPr>
                <w:sz w:val="20"/>
              </w:rPr>
              <w:t>Resuelto: D3 (promedio de los tres trimestres, redondeo D2).</w:t>
            </w:r>
          </w:p>
        </w:tc>
        <w:tc>
          <w:tcPr>
            <w:tcW w:w="2180" w:type="dxa"/>
            <w:tcMar>
              <w:top w:w="60" w:type="dxa"/>
              <w:left w:w="100" w:type="dxa"/>
              <w:bottom w:w="60" w:type="dxa"/>
              <w:right w:w="100" w:type="dxa"/>
            </w:tcMar>
            <w:vAlign w:val="center"/>
          </w:tcPr>
          <w:p>
            <w:pPr>
              <w:spacing w:after="0" w:line="260" w:lineRule="auto"/>
            </w:pPr>
            <w:r>
              <w:rPr>
                <w:sz w:val="20"/>
              </w:rPr>
              <w:t>RNF-01, US-02, glosario</w:t>
            </w:r>
          </w:p>
        </w:tc>
      </w:tr>
      <w:tr>
        <w:trPr>
          <w:cantSplit/>
        </w:trPr>
        <w:tc>
          <w:tcPr>
            <w:tcW w:w="4200" w:type="dxa"/>
            <w:tcMar>
              <w:top w:w="60" w:type="dxa"/>
              <w:left w:w="100" w:type="dxa"/>
              <w:bottom w:w="60" w:type="dxa"/>
              <w:right w:w="100" w:type="dxa"/>
            </w:tcMar>
            <w:vAlign w:val="center"/>
          </w:tcPr>
          <w:p>
            <w:pPr>
              <w:spacing w:after="0" w:line="260" w:lineRule="auto"/>
            </w:pPr>
            <w:r>
              <w:rPr>
                <w:sz w:val="20"/>
              </w:rPr>
              <w:t>¿Se admite 0 en una actividad no presentada? ¿Redondeo 0,5 hacia arriba?</w:t>
            </w:r>
          </w:p>
        </w:tc>
        <w:tc>
          <w:tcPr>
            <w:tcW w:w="2200" w:type="dxa"/>
            <w:tcMar>
              <w:top w:w="60" w:type="dxa"/>
              <w:left w:w="100" w:type="dxa"/>
              <w:bottom w:w="60" w:type="dxa"/>
              <w:right w:w="100" w:type="dxa"/>
            </w:tcMar>
            <w:vAlign w:val="center"/>
          </w:tcPr>
          <w:p>
            <w:pPr>
              <w:spacing w:after="0" w:line="260" w:lineRule="auto"/>
            </w:pPr>
            <w:r>
              <w:rPr>
                <w:sz w:val="20"/>
              </w:rPr>
              <w:t>Cliente</w:t>
            </w:r>
          </w:p>
        </w:tc>
        <w:tc>
          <w:tcPr>
            <w:tcW w:w="1500" w:type="dxa"/>
            <w:tcMar>
              <w:top w:w="60" w:type="dxa"/>
              <w:left w:w="100" w:type="dxa"/>
              <w:bottom w:w="60" w:type="dxa"/>
              <w:right w:w="100" w:type="dxa"/>
            </w:tcMar>
            <w:vAlign w:val="center"/>
          </w:tcPr>
          <w:p>
            <w:pPr>
              <w:spacing w:after="0" w:line="260" w:lineRule="auto"/>
            </w:pPr>
            <w:r>
              <w:rPr>
                <w:sz w:val="20"/>
              </w:rPr>
              <w:t>Resuelto: D1 (no; mínimo 1) y D2 (0,5 hacia arriba, al final de la suma).</w:t>
            </w:r>
          </w:p>
        </w:tc>
        <w:tc>
          <w:tcPr>
            <w:tcW w:w="2180" w:type="dxa"/>
            <w:tcMar>
              <w:top w:w="60" w:type="dxa"/>
              <w:left w:w="100" w:type="dxa"/>
              <w:bottom w:w="60" w:type="dxa"/>
              <w:right w:w="100" w:type="dxa"/>
            </w:tcMar>
            <w:vAlign w:val="center"/>
          </w:tcPr>
          <w:p>
            <w:pPr>
              <w:spacing w:after="0" w:line="260" w:lineRule="auto"/>
            </w:pPr>
            <w:r>
              <w:rPr>
                <w:sz w:val="20"/>
              </w:rPr>
              <w:t>RNF-01, US-01, US-02</w:t>
            </w:r>
          </w:p>
        </w:tc>
      </w:tr>
      <w:tr>
        <w:trPr>
          <w:cantSplit/>
        </w:trPr>
        <w:tc>
          <w:tcPr>
            <w:tcW w:w="4200" w:type="dxa"/>
            <w:tcMar>
              <w:top w:w="60" w:type="dxa"/>
              <w:left w:w="100" w:type="dxa"/>
              <w:bottom w:w="60" w:type="dxa"/>
              <w:right w:w="100" w:type="dxa"/>
            </w:tcMar>
            <w:vAlign w:val="center"/>
          </w:tcPr>
          <w:p>
            <w:pPr>
              <w:spacing w:after="0" w:line="260" w:lineRule="auto"/>
            </w:pPr>
            <w:r>
              <w:rPr>
                <w:sz w:val="20"/>
              </w:rPr>
              <w:t>¿La licencia cuenta como asistencia? Umbral de "en riesgo"</w:t>
            </w:r>
          </w:p>
        </w:tc>
        <w:tc>
          <w:tcPr>
            <w:tcW w:w="2200" w:type="dxa"/>
            <w:tcMar>
              <w:top w:w="60" w:type="dxa"/>
              <w:left w:w="100" w:type="dxa"/>
              <w:bottom w:w="60" w:type="dxa"/>
              <w:right w:w="100" w:type="dxa"/>
            </w:tcMar>
            <w:vAlign w:val="center"/>
          </w:tcPr>
          <w:p>
            <w:pPr>
              <w:spacing w:after="0" w:line="260" w:lineRule="auto"/>
            </w:pPr>
            <w:r>
              <w:rPr>
                <w:sz w:val="20"/>
              </w:rPr>
              <w:t>Cliente</w:t>
            </w:r>
          </w:p>
        </w:tc>
        <w:tc>
          <w:tcPr>
            <w:tcW w:w="1500" w:type="dxa"/>
            <w:tcMar>
              <w:top w:w="60" w:type="dxa"/>
              <w:left w:w="100" w:type="dxa"/>
              <w:bottom w:w="60" w:type="dxa"/>
              <w:right w:w="100" w:type="dxa"/>
            </w:tcMar>
            <w:vAlign w:val="center"/>
          </w:tcPr>
          <w:p>
            <w:pPr>
              <w:spacing w:after="0" w:line="260" w:lineRule="auto"/>
            </w:pPr>
            <w:r>
              <w:rPr>
                <w:sz w:val="20"/>
              </w:rPr>
              <w:t>Resuelto: D5 (la licencia cuenta) y D6 (en riesgo: promedio &lt; 51 o asistencia &lt; 80 %, configurable).</w:t>
            </w:r>
          </w:p>
        </w:tc>
        <w:tc>
          <w:tcPr>
            <w:tcW w:w="2180" w:type="dxa"/>
            <w:tcMar>
              <w:top w:w="60" w:type="dxa"/>
              <w:left w:w="100" w:type="dxa"/>
              <w:bottom w:w="60" w:type="dxa"/>
              <w:right w:w="100" w:type="dxa"/>
            </w:tcMar>
            <w:vAlign w:val="center"/>
          </w:tcPr>
          <w:p>
            <w:pPr>
              <w:spacing w:after="0" w:line="260" w:lineRule="auto"/>
            </w:pPr>
            <w:r>
              <w:rPr>
                <w:sz w:val="20"/>
              </w:rPr>
              <w:t>US-19, US-06</w:t>
            </w:r>
          </w:p>
        </w:tc>
      </w:tr>
      <w:tr>
        <w:trPr>
          <w:cantSplit/>
        </w:trPr>
        <w:tc>
          <w:tcPr>
            <w:tcW w:w="4200" w:type="dxa"/>
            <w:tcMar>
              <w:top w:w="60" w:type="dxa"/>
              <w:left w:w="100" w:type="dxa"/>
              <w:bottom w:w="60" w:type="dxa"/>
              <w:right w:w="100" w:type="dxa"/>
            </w:tcMar>
            <w:vAlign w:val="center"/>
          </w:tcPr>
          <w:p>
            <w:pPr>
              <w:spacing w:after="0" w:line="260" w:lineRule="auto"/>
            </w:pPr>
            <w:r>
              <w:rPr>
                <w:sz w:val="20"/>
              </w:rPr>
              <w:t>Absorber la sobrecarga de la semana 1 (horas extra) o pasar US-02 a la semana 2</w:t>
            </w:r>
          </w:p>
        </w:tc>
        <w:tc>
          <w:tcPr>
            <w:tcW w:w="2200" w:type="dxa"/>
            <w:tcMar>
              <w:top w:w="60" w:type="dxa"/>
              <w:left w:w="100" w:type="dxa"/>
              <w:bottom w:w="60" w:type="dxa"/>
              <w:right w:w="100" w:type="dxa"/>
            </w:tcMar>
            <w:vAlign w:val="center"/>
          </w:tcPr>
          <w:p>
            <w:pPr>
              <w:spacing w:after="0" w:line="260" w:lineRule="auto"/>
            </w:pPr>
            <w:r>
              <w:rPr>
                <w:sz w:val="20"/>
              </w:rPr>
              <w:t>Equipo</w:t>
            </w:r>
          </w:p>
        </w:tc>
        <w:tc>
          <w:tcPr>
            <w:tcW w:w="1500" w:type="dxa"/>
            <w:tcMar>
              <w:top w:w="60" w:type="dxa"/>
              <w:left w:w="100" w:type="dxa"/>
              <w:bottom w:w="60" w:type="dxa"/>
              <w:right w:w="100" w:type="dxa"/>
            </w:tcMar>
            <w:vAlign w:val="center"/>
          </w:tcPr>
          <w:p>
            <w:pPr>
              <w:spacing w:after="0" w:line="260" w:lineRule="auto"/>
            </w:pPr>
            <w:r>
              <w:rPr>
                <w:sz w:val="20"/>
              </w:rPr>
              <w:t>Resuelto: US-02 se mantuvo en la semana 1 (backlog v2.0, Tabla 3).</w:t>
            </w:r>
          </w:p>
        </w:tc>
        <w:tc>
          <w:tcPr>
            <w:tcW w:w="2180" w:type="dxa"/>
            <w:tcMar>
              <w:top w:w="60" w:type="dxa"/>
              <w:left w:w="100" w:type="dxa"/>
              <w:bottom w:w="60" w:type="dxa"/>
              <w:right w:w="100" w:type="dxa"/>
            </w:tcMar>
            <w:vAlign w:val="center"/>
          </w:tcPr>
          <w:p>
            <w:pPr>
              <w:spacing w:after="0" w:line="260" w:lineRule="auto"/>
            </w:pPr>
            <w:r>
              <w:rPr>
                <w:sz w:val="20"/>
              </w:rPr>
              <w:t>Sección 1, R09</w:t>
            </w:r>
          </w:p>
        </w:tc>
      </w:tr>
      <w:tr>
        <w:trPr>
          <w:cantSplit/>
        </w:trPr>
        <w:tc>
          <w:tcPr>
            <w:tcW w:w="4200" w:type="dxa"/>
            <w:tcMar>
              <w:top w:w="60" w:type="dxa"/>
              <w:left w:w="100" w:type="dxa"/>
              <w:bottom w:w="60" w:type="dxa"/>
              <w:right w:w="100" w:type="dxa"/>
            </w:tcMar>
            <w:vAlign w:val="center"/>
          </w:tcPr>
          <w:p>
            <w:pPr>
              <w:spacing w:after="0" w:line="260" w:lineRule="auto"/>
            </w:pPr>
            <w:r>
              <w:rPr>
                <w:sz w:val="20"/>
              </w:rPr>
              <w:t>Proveedor del monitor de disponibilidad y del correo con API HTTP</w:t>
            </w:r>
          </w:p>
        </w:tc>
        <w:tc>
          <w:tcPr>
            <w:tcW w:w="2200" w:type="dxa"/>
            <w:tcMar>
              <w:top w:w="60" w:type="dxa"/>
              <w:left w:w="100" w:type="dxa"/>
              <w:bottom w:w="60" w:type="dxa"/>
              <w:right w:w="100" w:type="dxa"/>
            </w:tcMar>
            <w:vAlign w:val="center"/>
          </w:tcPr>
          <w:p>
            <w:pPr>
              <w:spacing w:after="0" w:line="260" w:lineRule="auto"/>
            </w:pPr>
            <w:r>
              <w:rPr>
                <w:sz w:val="20"/>
              </w:rPr>
              <w:t>Galvan</w:t>
            </w:r>
          </w:p>
        </w:tc>
        <w:tc>
          <w:tcPr>
            <w:tcW w:w="1500" w:type="dxa"/>
            <w:tcMar>
              <w:top w:w="60" w:type="dxa"/>
              <w:left w:w="100" w:type="dxa"/>
              <w:bottom w:w="60" w:type="dxa"/>
              <w:right w:w="100" w:type="dxa"/>
            </w:tcMar>
            <w:vAlign w:val="center"/>
          </w:tcPr>
          <w:p>
            <w:pPr>
              <w:spacing w:after="0" w:line="260" w:lineRule="auto"/>
            </w:pPr>
            <w:r>
              <w:rPr>
                <w:sz w:val="20"/>
              </w:rPr>
              <w:t>Monitor resuelto (30/10/2026): UptimeRobot. Correo: abierto hasta US-08 y US-12 (Sprint 4).</w:t>
            </w:r>
          </w:p>
        </w:tc>
        <w:tc>
          <w:tcPr>
            <w:tcW w:w="2180" w:type="dxa"/>
            <w:tcMar>
              <w:top w:w="60" w:type="dxa"/>
              <w:left w:w="100" w:type="dxa"/>
              <w:bottom w:w="60" w:type="dxa"/>
              <w:right w:w="100" w:type="dxa"/>
            </w:tcMar>
            <w:vAlign w:val="center"/>
          </w:tcPr>
          <w:p>
            <w:pPr>
              <w:spacing w:after="0" w:line="260" w:lineRule="auto"/>
            </w:pPr>
            <w:r>
              <w:rPr>
                <w:sz w:val="20"/>
              </w:rPr>
              <w:t>Secciones 5, 9 y 11</w:t>
            </w:r>
          </w:p>
        </w:tc>
      </w:tr>
    </w:tbl>
    <w:p>
      <w:pPr>
        <w:spacing w:after="60" w:line="276" w:lineRule="auto"/>
      </w:pPr>
    </w:p>
    <w:sectPr w:rsidR="007D388D">
      <w:footerReference w:type="default" r:id="rId1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10080"/>
      </w:tabs>
    </w:pPr>
    <w:r/>
    <w:r>
      <w:rPr>
        <w:color w:val="767171"/>
        <w:sz w:val="17"/>
      </w:rPr>
      <w:t>CalisFacu v1.0 · SQAP · Equipo L-001</w:t>
    </w:r>
    <w:r>
      <w:rPr>
        <w:color w:val="767171"/>
        <w:sz w:val="17"/>
      </w:rPr>
      <w:tab/>
      <w:t xml:space="preserve">Página </w:t>
    </w:r>
    <w:r>
      <w:rPr>
        <w:color w:val="767171"/>
        <w:sz w:val="17"/>
      </w:rPr>
      <w:fldChar w:fldCharType="begin"/>
    </w:r>
    <w:r>
      <w:rPr>
        <w:color w:val="767171"/>
        <w:sz w:val="17"/>
      </w:rPr>
      <w:instrText xml:space="preserve"> PAGE </w:instrText>
    </w:r>
    <w:r>
      <w:rPr>
        <w:color w:val="767171"/>
        <w:sz w:val="17"/>
      </w:rPr>
      <w:fldChar w:fldCharType="separate"/>
    </w:r>
    <w:r>
      <w:rPr>
        <w:color w:val="767171"/>
        <w:sz w:val="17"/>
      </w:rPr>
      <w:t>1</w:t>
    </w:r>
    <w:r>
      <w:rPr>
        <w:color w:val="767171"/>
        <w:sz w:val="17"/>
      </w:rPr>
      <w:fldChar w:fldCharType="end"/>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6788"/>
    <w:multiLevelType w:val="hybridMultilevel"/>
    <w:tmpl w:val="1ADE1160"/>
    <w:lvl w:ilvl="0" w:tplc="F35C934E">
      <w:start w:val="1"/>
      <w:numFmt w:val="bullet"/>
      <w:lvlText w:val="•"/>
      <w:lvlJc w:val="left"/>
      <w:pPr>
        <w:ind w:left="720" w:hanging="360"/>
      </w:pPr>
    </w:lvl>
    <w:lvl w:ilvl="1" w:tplc="79D695A6">
      <w:numFmt w:val="decimal"/>
      <w:lvlText w:val=""/>
      <w:lvlJc w:val="left"/>
    </w:lvl>
    <w:lvl w:ilvl="2" w:tplc="99E2002E">
      <w:numFmt w:val="decimal"/>
      <w:lvlText w:val=""/>
      <w:lvlJc w:val="left"/>
    </w:lvl>
    <w:lvl w:ilvl="3" w:tplc="5338F824">
      <w:numFmt w:val="decimal"/>
      <w:lvlText w:val=""/>
      <w:lvlJc w:val="left"/>
    </w:lvl>
    <w:lvl w:ilvl="4" w:tplc="354E5AE2">
      <w:numFmt w:val="decimal"/>
      <w:lvlText w:val=""/>
      <w:lvlJc w:val="left"/>
    </w:lvl>
    <w:lvl w:ilvl="5" w:tplc="283CCD6A">
      <w:numFmt w:val="decimal"/>
      <w:lvlText w:val=""/>
      <w:lvlJc w:val="left"/>
    </w:lvl>
    <w:lvl w:ilvl="6" w:tplc="08DE88FE">
      <w:numFmt w:val="decimal"/>
      <w:lvlText w:val=""/>
      <w:lvlJc w:val="left"/>
    </w:lvl>
    <w:lvl w:ilvl="7" w:tplc="12CC80C0">
      <w:numFmt w:val="decimal"/>
      <w:lvlText w:val=""/>
      <w:lvlJc w:val="left"/>
    </w:lvl>
    <w:lvl w:ilvl="8" w:tplc="DB84FCCC">
      <w:numFmt w:val="decimal"/>
      <w:lvlText w:val=""/>
      <w:lvlJc w:val="left"/>
    </w:lvl>
  </w:abstractNum>
  <w:abstractNum w:abstractNumId="1" w15:restartNumberingAfterBreak="0">
    <w:nsid w:val="2B7E3094"/>
    <w:multiLevelType w:val="hybridMultilevel"/>
    <w:tmpl w:val="141A94D8"/>
    <w:lvl w:ilvl="0" w:tplc="88662DE0">
      <w:start w:val="1"/>
      <w:numFmt w:val="bullet"/>
      <w:lvlText w:val="●"/>
      <w:lvlJc w:val="left"/>
      <w:pPr>
        <w:ind w:left="720" w:hanging="360"/>
      </w:pPr>
    </w:lvl>
    <w:lvl w:ilvl="1" w:tplc="5860B8EC">
      <w:start w:val="1"/>
      <w:numFmt w:val="bullet"/>
      <w:lvlText w:val="○"/>
      <w:lvlJc w:val="left"/>
      <w:pPr>
        <w:ind w:left="1440" w:hanging="360"/>
      </w:pPr>
    </w:lvl>
    <w:lvl w:ilvl="2" w:tplc="C9402874">
      <w:start w:val="1"/>
      <w:numFmt w:val="bullet"/>
      <w:lvlText w:val="■"/>
      <w:lvlJc w:val="left"/>
      <w:pPr>
        <w:ind w:left="2160" w:hanging="360"/>
      </w:pPr>
    </w:lvl>
    <w:lvl w:ilvl="3" w:tplc="55F03B36">
      <w:start w:val="1"/>
      <w:numFmt w:val="bullet"/>
      <w:lvlText w:val="●"/>
      <w:lvlJc w:val="left"/>
      <w:pPr>
        <w:ind w:left="2880" w:hanging="360"/>
      </w:pPr>
    </w:lvl>
    <w:lvl w:ilvl="4" w:tplc="D68689FC">
      <w:start w:val="1"/>
      <w:numFmt w:val="bullet"/>
      <w:lvlText w:val="○"/>
      <w:lvlJc w:val="left"/>
      <w:pPr>
        <w:ind w:left="3600" w:hanging="360"/>
      </w:pPr>
    </w:lvl>
    <w:lvl w:ilvl="5" w:tplc="0AE4170C">
      <w:start w:val="1"/>
      <w:numFmt w:val="bullet"/>
      <w:lvlText w:val="■"/>
      <w:lvlJc w:val="left"/>
      <w:pPr>
        <w:ind w:left="4320" w:hanging="360"/>
      </w:pPr>
    </w:lvl>
    <w:lvl w:ilvl="6" w:tplc="6AA80BBA">
      <w:start w:val="1"/>
      <w:numFmt w:val="bullet"/>
      <w:lvlText w:val="●"/>
      <w:lvlJc w:val="left"/>
      <w:pPr>
        <w:ind w:left="5040" w:hanging="360"/>
      </w:pPr>
    </w:lvl>
    <w:lvl w:ilvl="7" w:tplc="2ACEA940">
      <w:start w:val="1"/>
      <w:numFmt w:val="bullet"/>
      <w:lvlText w:val="●"/>
      <w:lvlJc w:val="left"/>
      <w:pPr>
        <w:ind w:left="5760" w:hanging="360"/>
      </w:pPr>
    </w:lvl>
    <w:lvl w:ilvl="8" w:tplc="A6AEE6A8">
      <w:start w:val="1"/>
      <w:numFmt w:val="bullet"/>
      <w:lvlText w:val="●"/>
      <w:lvlJc w:val="left"/>
      <w:pPr>
        <w:ind w:left="6480" w:hanging="360"/>
      </w:pPr>
    </w:lvl>
  </w:abstractNum>
  <w:abstractNum w:abstractNumId="2" w15:restartNumberingAfterBreak="0">
    <w:nsid w:val="67DF1A0E"/>
    <w:multiLevelType w:val="multilevel"/>
    <w:tmpl w:val="636A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17417C"/>
    <w:multiLevelType w:val="multilevel"/>
    <w:tmpl w:val="CAD28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7534614">
    <w:abstractNumId w:val="1"/>
    <w:lvlOverride w:ilvl="0">
      <w:startOverride w:val="1"/>
    </w:lvlOverride>
  </w:num>
  <w:num w:numId="2" w16cid:durableId="193349164">
    <w:abstractNumId w:val="3"/>
  </w:num>
  <w:num w:numId="3" w16cid:durableId="2817704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4CCA"/>
    <w:rsid w:val="000F629E"/>
    <w:rsid w:val="0018407E"/>
    <w:rsid w:val="002A581D"/>
    <w:rsid w:val="0032653D"/>
    <w:rsid w:val="003E6354"/>
    <w:rsid w:val="003F3B09"/>
    <w:rsid w:val="004C790F"/>
    <w:rsid w:val="005E0DD1"/>
    <w:rsid w:val="00635136"/>
    <w:rsid w:val="00746670"/>
    <w:rsid w:val="007D388D"/>
    <w:rsid w:val="008434FC"/>
    <w:rsid w:val="00BE6768"/>
    <w:rsid w:val="00E24CCA"/>
    <w:rsid w:val="00E66A9C"/>
    <w:rsid w:val="00E84E0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4348A"/>
  <w15:docId w15:val="{31D061EC-CEF1-4549-B84A-2270AE51F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32"/>
      <w:szCs w:val="32"/>
    </w:rPr>
  </w:style>
  <w:style w:type="paragraph" w:styleId="Ttulo2">
    <w:name w:val="heading 2"/>
    <w:uiPriority w:val="9"/>
    <w:semiHidden/>
    <w:unhideWhenUsed/>
    <w:qFormat/>
    <w:pPr>
      <w:spacing w:before="260" w:after="120"/>
      <w:outlineLvl w:val="1"/>
    </w:pPr>
    <w:rPr>
      <w:b/>
      <w:bCs/>
      <w:color w:val="1F4E79"/>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Fuerte">
    <w:name w:val="Strong"/>
    <w:basedOn w:val="Fuentedeprrafopredeter"/>
    <w:uiPriority w:val="22"/>
    <w:qFormat/>
    <w:rsid w:val="00E66A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136</TotalTime>
  <Pages>7</Pages>
  <Words>1662</Words>
  <Characters>9144</Characters>
  <Application>Microsoft Office Word</Application>
  <DocSecurity>0</DocSecurity>
  <Lines>76</Lines>
  <Paragraphs>21</Paragraphs>
  <ScaleCrop>false</ScaleCrop>
  <HeadingPairs>
    <vt:vector size="2" baseType="variant">
      <vt:variant>
        <vt:lpstr>Título</vt:lpstr>
      </vt:variant>
      <vt:variant>
        <vt:i4>1</vt:i4>
      </vt:variant>
    </vt:vector>
  </HeadingPairs>
  <TitlesOfParts>
    <vt:vector size="1" baseType="lpstr">
      <vt:lpstr>Plantilla SQAP</vt:lpstr>
    </vt:vector>
  </TitlesOfParts>
  <Company/>
  <LinksUpToDate>false</LinksUpToDate>
  <CharactersWithSpaces>10785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SQAP</dc:title>
  <dc:creator>COM450</dc:creator>
  <cp:lastModifiedBy>Joel Porcel</cp:lastModifiedBy>
  <cp:revision>2</cp:revision>
  <cp:lastPrinted>2026-10-05T00:49:00Z</cp:lastPrinted>
  <dcterms:created xsi:type="dcterms:W3CDTF">2026-10-02T10:46:00Z</dcterms:created>
  <dcterms:modified xsi:type="dcterms:W3CDTF">2026-10-05T00:52:00Z</dcterms:modified>
</cp:coreProperties>
</file>