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39CE5" w14:textId="34696A42" w:rsidR="00E24CCA" w:rsidRDefault="00E84E01">
      <w:pPr>
        <w:spacing w:after="120"/>
        <w:jc w:val="center"/>
      </w:pPr>
      <w:r>
        <w:rPr>
          <w:color w:val="1F4E79"/>
          <w:sz w:val="36"/>
          <w:szCs w:val="36"/>
        </w:rPr>
        <w:t xml:space="preserve">Práctica 7 — Partes A y B</w:t>
      </w:r>
    </w:p>
    <w:p w14:paraId="44E6CF3D" w14:textId="77777777" w:rsidR="00E24CCA" w:rsidRDefault="00000000">
      <w:pPr>
        <w:spacing w:after="120"/>
        <w:jc w:val="center"/>
      </w:pPr>
      <w:r>
        <w:rPr>
          <w:sz w:val="28"/>
          <w:szCs w:val="28"/>
        </w:rPr>
        <w:t xml:space="preserve">Plan de Aseguramiento de Calidad de Software (SQAP) con IEEE Std 730</w:t>
      </w:r>
    </w:p>
    <w:p w14:paraId="26314587" w14:textId="5B77712B" w:rsidR="00E24CCA" w:rsidRDefault="00000000">
      <w:pPr>
        <w:spacing w:after="120"/>
        <w:jc w:val="center"/>
      </w:pPr>
      <w:r>
        <w:rPr>
          <w:color w:val="767171"/>
          <w:sz w:val="24"/>
          <w:szCs w:val="24"/>
        </w:rPr>
        <w:t xml:space="preserve">Universidad San Francisco Xavier · COM450 Calidad de Software</w:t>
      </w:r>
    </w:p>
    <w:p w14:paraId="26314587" w14:textId="5B77712B" w:rsidR="00E24CCA" w:rsidRDefault="00000000">
      <w:pPr>
        <w:spacing w:after="120"/>
        <w:jc w:val="center"/>
      </w:pPr>
      <w:r>
        <w:rPr>
          <w:color w:val="767171"/>
          <w:sz w:val="24"/>
          <w:szCs w:val="24"/>
        </w:rPr>
        <w:t xml:space="preserve">Equipo L-001: Lujan y Galvan · Proyecto piloto: CalisFacu (Opción D) · Gestión II/2026</w:t>
      </w:r>
    </w:p>
    <w:p w14:paraId="26314587" w14:textId="5B77712B" w:rsidR="00E24CCA" w:rsidRDefault="00000000">
      <w:pPr>
        <w:spacing w:after="120"/>
        <w:jc w:val="center"/>
      </w:pPr>
      <w:r>
        <w:rPr>
          <w:color w:val="767171"/>
          <w:sz w:val="24"/>
          <w:szCs w:val="24"/>
        </w:rPr>
        <w:t xml:space="preserve">Fecha de entrega: 04/10/2026</w:t>
      </w:r>
    </w:p>
    <w:p w14:paraId="72DFB923" w14:textId="77777777" w:rsidR="00E24CCA" w:rsidRDefault="00000000">
      <w:pPr>
        <w:pStyle w:val="Ttulo1"/>
        <w:keepNext/>
      </w:pPr>
      <w:r>
        <w:t xml:space="preserve">1. Contenido de la entrega</w:t>
      </w:r>
    </w:p>
    <w:p w14:paraId="12E6A8C5" w14:textId="77777777" w:rsidR="0032653D" w:rsidRPr="0032653D" w:rsidRDefault="0032653D" w:rsidP="0032653D">
      <w:pPr>
        <w:spacing w:after="120" w:line="276" w:lineRule="auto"/>
      </w:pPr>
      <w:r>
        <w:t xml:space="preserve">Este informe reúne las Evidencias 1 a 7 de la Parte A y la tabla de auditoría de la Parte B. Los dos planes van como anexos al final de este mismo PDF.</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8"/>
        <w:gridCol w:w="6449"/>
      </w:tblGrid>
      <w:tr w:rsidR="00E24CCA" w14:paraId="7236FD13" w14:textId="77777777">
        <w:tblPrEx>
          <w:tblCellMar>
            <w:top w:w="0" w:type="dxa"/>
            <w:bottom w:w="0" w:type="dxa"/>
          </w:tblCellMar>
        </w:tblPrEx>
        <w:trPr>
          <w:cantSplit/>
          <w:tblHeader/>
        </w:trPr>
        <w:tc>
          <w:tcPr>
            <w:tcW w:w="3628"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rPr>
              <w:t xml:space="preserve">Archivo</w:t>
            </w:r>
          </w:p>
        </w:tc>
        <w:tc>
          <w:tcPr>
            <w:tcW w:w="6449"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rPr>
              <w:t xml:space="preserve">Contenido</w:t>
            </w:r>
          </w:p>
        </w:tc>
      </w:tr>
      <w:tr w:rsidR="00E66A9C" w14:paraId="015932D9" w14:textId="77777777" w:rsidTr="005930EA">
        <w:tblPrEx>
          <w:tblCellMar>
            <w:top w:w="0" w:type="dxa"/>
            <w:bottom w:w="0" w:type="dxa"/>
          </w:tblCellMar>
        </w:tblPrEx>
        <w:trPr>
          <w:cantSplit/>
        </w:trPr>
        <w:tc>
          <w:tcPr>
            <w:tcW w:w="3628"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Este informe</w:t>
            </w:r>
          </w:p>
        </w:tc>
        <w:tc>
          <w:tcPr>
            <w:tcW w:w="6449"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Mapa de evidencias, autoevaluación, reporte de defecto CAL-001 y tabla de auditoría del reto.</w:t>
            </w:r>
          </w:p>
        </w:tc>
      </w:tr>
      <w:tr w:rsidR="00E66A9C" w14:paraId="015932D9" w14:textId="77777777" w:rsidTr="005930EA">
        <w:tblPrEx>
          <w:tblCellMar>
            <w:top w:w="0" w:type="dxa"/>
            <w:bottom w:w="0" w:type="dxa"/>
          </w:tblCellMar>
        </w:tblPrEx>
        <w:trPr>
          <w:cantSplit/>
        </w:trPr>
        <w:tc>
          <w:tcPr>
            <w:tcW w:w="3628"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Anexo A: SQAP-CalisFacu.docx (versión 0.2)</w:t>
            </w:r>
          </w:p>
        </w:tc>
        <w:tc>
          <w:tcPr>
            <w:tcW w:w="6449"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SQAP mínimo de la Parte A, con las Evidencias 1 a 7.</w:t>
            </w:r>
          </w:p>
        </w:tc>
      </w:tr>
      <w:tr w:rsidR="00E66A9C" w14:paraId="015932D9" w14:textId="77777777" w:rsidTr="005930EA">
        <w:tblPrEx>
          <w:tblCellMar>
            <w:top w:w="0" w:type="dxa"/>
            <w:bottom w:w="0" w:type="dxa"/>
          </w:tblCellMar>
        </w:tblPrEx>
        <w:trPr>
          <w:cantSplit/>
        </w:trPr>
        <w:tc>
          <w:tcPr>
            <w:tcW w:w="3628"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Anexo B: SQAP-BIBLIOUSFX-v1.0.docx</w:t>
            </w:r>
          </w:p>
        </w:tc>
        <w:tc>
          <w:tcPr>
            <w:tcW w:w="6449"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Plan del reto corregido, con una entrada en el historial por defecto.</w:t>
            </w:r>
          </w:p>
        </w:tc>
      </w:tr>
      <w:tr w:rsidR="00E66A9C" w14:paraId="015932D9" w14:textId="77777777" w:rsidTr="005930EA">
        <w:tblPrEx>
          <w:tblCellMar>
            <w:top w:w="0" w:type="dxa"/>
            <w:bottom w:w="0" w:type="dxa"/>
          </w:tblCellMar>
        </w:tblPrEx>
        <w:trPr>
          <w:cantSplit/>
        </w:trPr>
        <w:tc>
          <w:tcPr>
            <w:tcW w:w="3628"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matrices-sqap.xlsx</w:t>
            </w:r>
          </w:p>
        </w:tc>
        <w:tc>
          <w:tcPr>
            <w:tcW w:w="6449"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Hojas Métricas (M01 a M09), Riesgos (R01 a R07), SLA y Componentes de terceros.</w:t>
            </w:r>
          </w:p>
        </w:tc>
      </w:tr>
      <w:tr w:rsidR="00E66A9C" w14:paraId="015932D9" w14:textId="77777777" w:rsidTr="005930EA">
        <w:tblPrEx>
          <w:tblCellMar>
            <w:top w:w="0" w:type="dxa"/>
            <w:bottom w:w="0" w:type="dxa"/>
          </w:tblCellMar>
        </w:tblPrEx>
        <w:trPr>
          <w:cantSplit/>
        </w:trPr>
        <w:tc>
          <w:tcPr>
            <w:tcW w:w="3628"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reporte-defecto-CAL-001.md</w:t>
            </w:r>
          </w:p>
        </w:tc>
        <w:tc>
          <w:tcPr>
            <w:tcW w:w="6449"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Reporte de defecto con la plantilla del curso (también en el apartado 4).</w:t>
            </w:r>
          </w:p>
        </w:tc>
      </w:tr>
      <w:tr w:rsidR="00E66A9C" w14:paraId="015932D9" w14:textId="77777777" w:rsidTr="005930EA">
        <w:tblPrEx>
          <w:tblCellMar>
            <w:top w:w="0" w:type="dxa"/>
            <w:bottom w:w="0" w:type="dxa"/>
          </w:tblCellMar>
        </w:tblPrEx>
        <w:trPr>
          <w:cantSplit/>
        </w:trPr>
        <w:tc>
          <w:tcPr>
            <w:tcW w:w="3628"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diagrama-estados-defecto.png</w:t>
            </w:r>
          </w:p>
        </w:tc>
        <w:tc>
          <w:tcPr>
            <w:tcW w:w="6449"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Diagrama de estados del defecto (Figura 1 del SQAP).</w:t>
            </w:r>
          </w:p>
        </w:tc>
      </w:tr>
    </w:tbl>
    <w:p w14:paraId="72DFB923" w14:textId="77777777" w:rsidR="00E24CCA" w:rsidRDefault="00000000">
      <w:pPr>
        <w:pStyle w:val="Ttulo1"/>
        <w:keepNext/>
      </w:pPr>
      <w:r>
        <w:t xml:space="preserve">2. Parte A — Evidencias del SQAP mínimo de CalisFacu</w:t>
      </w:r>
    </w:p>
    <w:p w14:paraId="12E6A8C5" w14:textId="77777777" w:rsidR="0032653D" w:rsidRPr="0032653D" w:rsidRDefault="0032653D" w:rsidP="0032653D">
      <w:pPr>
        <w:spacing w:after="120" w:line="276" w:lineRule="auto"/>
      </w:pPr>
      <w:r>
        <w:t xml:space="preserve">Cada evidencia está dentro del SQAP (Anexo A). La tabla indica dónde encontrarla.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6"/>
        <w:gridCol w:w="3829"/>
        <w:gridCol w:w="5442"/>
      </w:tblGrid>
      <w:tr w:rsidR="00E24CCA" w14:paraId="7236FD13" w14:textId="77777777">
        <w:tblPrEx>
          <w:tblCellMar>
            <w:top w:w="0" w:type="dxa"/>
            <w:bottom w:w="0" w:type="dxa"/>
          </w:tblCellMar>
        </w:tblPrEx>
        <w:trPr>
          <w:cantSplit/>
          <w:tblHeader/>
        </w:trPr>
        <w:tc>
          <w:tcPr>
            <w:tcW w:w="806"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rPr>
              <w:t xml:space="preserve">N.º</w:t>
            </w:r>
          </w:p>
        </w:tc>
        <w:tc>
          <w:tcPr>
            <w:tcW w:w="3829"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rPr>
              <w:t xml:space="preserve">Qué pide la guía</w:t>
            </w:r>
          </w:p>
        </w:tc>
        <w:tc>
          <w:tcPr>
            <w:tcW w:w="5442"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rPr>
              <w:t xml:space="preserve">Dónde está</w:t>
            </w:r>
          </w:p>
        </w:tc>
      </w:tr>
      <w:tr w:rsidR="00E66A9C" w14:paraId="015932D9" w14:textId="77777777" w:rsidTr="005930EA">
        <w:tblPrEx>
          <w:tblCellMar>
            <w:top w:w="0" w:type="dxa"/>
            <w:bottom w:w="0" w:type="dxa"/>
          </w:tblCellMar>
        </w:tblPrEx>
        <w:trPr>
          <w:cantSplit/>
        </w:trPr>
        <w:tc>
          <w:tcPr>
            <w:tcW w:w="806"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1</w:t>
            </w:r>
          </w:p>
        </w:tc>
        <w:tc>
          <w:tcPr>
            <w:tcW w:w="3829"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Alcance y nivel de integridad</w:t>
            </w:r>
          </w:p>
        </w:tc>
        <w:tc>
          <w:tcPr>
            <w:tcW w:w="5442"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Sección 1: tres casos de uso, Gestión II/2026, nivel de integridad 2 justificado y módulos críticos.</w:t>
            </w:r>
          </w:p>
        </w:tc>
      </w:tr>
      <w:tr w:rsidR="00E66A9C" w14:paraId="015932D9" w14:textId="77777777" w:rsidTr="005930EA">
        <w:tblPrEx>
          <w:tblCellMar>
            <w:top w:w="0" w:type="dxa"/>
            <w:bottom w:w="0" w:type="dxa"/>
          </w:tblCellMar>
        </w:tblPrEx>
        <w:trPr>
          <w:cantSplit/>
        </w:trPr>
        <w:tc>
          <w:tcPr>
            <w:tcW w:w="806"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2</w:t>
            </w:r>
          </w:p>
        </w:tc>
        <w:tc>
          <w:tcPr>
            <w:tcW w:w="3829"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Roles, independencia y matriz RACI</w:t>
            </w:r>
          </w:p>
        </w:tc>
        <w:tc>
          <w:tcPr>
            <w:tcW w:w="5442"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Sección 3: roles por persona, regla de independencia y RACI con una sola A por fila.</w:t>
            </w:r>
          </w:p>
        </w:tc>
      </w:tr>
      <w:tr w:rsidR="00E66A9C" w14:paraId="015932D9" w14:textId="77777777" w:rsidTr="005930EA">
        <w:tblPrEx>
          <w:tblCellMar>
            <w:top w:w="0" w:type="dxa"/>
            <w:bottom w:w="0" w:type="dxa"/>
          </w:tblCellMar>
        </w:tblPrEx>
        <w:trPr>
          <w:cantSplit/>
        </w:trPr>
        <w:tc>
          <w:tcPr>
            <w:tcW w:w="806"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3</w:t>
            </w:r>
          </w:p>
        </w:tc>
        <w:tc>
          <w:tcPr>
            <w:tcW w:w="3829"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Hoja Métricas: al menos tres características y dos métricas por característica</w:t>
            </w:r>
          </w:p>
        </w:tc>
        <w:tc>
          <w:tcPr>
            <w:tcW w:w="5442"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Sección 5 y hoja Métricas: cuatro características (adecuación funcional, eficiencia, mantenibilidad y seguridad) con nueve métricas, M01 a M09.</w:t>
            </w:r>
          </w:p>
        </w:tc>
      </w:tr>
      <w:tr w:rsidR="00E66A9C" w14:paraId="015932D9" w14:textId="77777777" w:rsidTr="005930EA">
        <w:tblPrEx>
          <w:tblCellMar>
            <w:top w:w="0" w:type="dxa"/>
            <w:bottom w:w="0" w:type="dxa"/>
          </w:tblCellMar>
        </w:tblPrEx>
        <w:trPr>
          <w:cantSplit/>
        </w:trPr>
        <w:tc>
          <w:tcPr>
            <w:tcW w:w="806"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4</w:t>
            </w:r>
          </w:p>
        </w:tc>
        <w:tc>
          <w:tcPr>
            <w:tcW w:w="3829"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El mismo número en dos lugares, con el fragmento de configuración</w:t>
            </w:r>
          </w:p>
        </w:tc>
        <w:tc>
          <w:tcPr>
            <w:tcW w:w="5442"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Sección 5: tabla métrica, herramienta y configuración, más los fragmentos del Jenkinsfile y del Quality Gate.</w:t>
            </w:r>
          </w:p>
        </w:tc>
      </w:tr>
      <w:tr w:rsidR="00E66A9C" w14:paraId="015932D9" w14:textId="77777777" w:rsidTr="005930EA">
        <w:tblPrEx>
          <w:tblCellMar>
            <w:top w:w="0" w:type="dxa"/>
            <w:bottom w:w="0" w:type="dxa"/>
          </w:tblCellMar>
        </w:tblPrEx>
        <w:trPr>
          <w:cantSplit/>
        </w:trPr>
        <w:tc>
          <w:tcPr>
            <w:tcW w:w="806"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5</w:t>
            </w:r>
          </w:p>
        </w:tc>
        <w:tc>
          <w:tcPr>
            <w:tcW w:w="3829"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Estrategia de pruebas por nivel con cobertura mínima</w:t>
            </w:r>
          </w:p>
        </w:tc>
        <w:tc>
          <w:tcPr>
            <w:tcW w:w="5442"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Sección 7: cuatro niveles con criterios de entrada y salida; ≥ 80 % en código nuevo y ≥ 90 % en Cálculo de promedios.</w:t>
            </w:r>
          </w:p>
        </w:tc>
      </w:tr>
      <w:tr w:rsidR="00E66A9C" w14:paraId="015932D9" w14:textId="77777777" w:rsidTr="005930EA">
        <w:tblPrEx>
          <w:tblCellMar>
            <w:top w:w="0" w:type="dxa"/>
            <w:bottom w:w="0" w:type="dxa"/>
          </w:tblCellMar>
        </w:tblPrEx>
        <w:trPr>
          <w:cantSplit/>
        </w:trPr>
        <w:tc>
          <w:tcPr>
            <w:tcW w:w="806"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6</w:t>
            </w:r>
          </w:p>
        </w:tc>
        <w:tc>
          <w:tcPr>
            <w:tcW w:w="3829"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Diagrama de estados, SLA y un defecto reportado</w:t>
            </w:r>
          </w:p>
        </w:tc>
        <w:tc>
          <w:tcPr>
            <w:tcW w:w="5442"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Sección 8 (Figura 1 y SLA), hoja SLA y apartado 4 de este informe (CAL-001).</w:t>
            </w:r>
          </w:p>
        </w:tc>
      </w:tr>
      <w:tr w:rsidR="00E66A9C" w14:paraId="015932D9" w14:textId="77777777" w:rsidTr="005930EA">
        <w:tblPrEx>
          <w:tblCellMar>
            <w:top w:w="0" w:type="dxa"/>
            <w:bottom w:w="0" w:type="dxa"/>
          </w:tblCellMar>
        </w:tblPrEx>
        <w:trPr>
          <w:cantSplit/>
        </w:trPr>
        <w:tc>
          <w:tcPr>
            <w:tcW w:w="806"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7</w:t>
            </w:r>
          </w:p>
        </w:tc>
        <w:tc>
          <w:tcPr>
            <w:tcW w:w="3829"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Hoja Riesgos con al menos cinco riesgos</w:t>
            </w:r>
          </w:p>
        </w:tc>
        <w:tc>
          <w:tcPr>
            <w:tcW w:w="5442"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Sección 14 y hoja Riesgos: siete riesgos, cinco de nivel alto, todos con mitigación accionable, responsable, disparador y contingencia.</w:t>
            </w:r>
          </w:p>
        </w:tc>
      </w:tr>
    </w:tbl>
    <w:p w14:paraId="72DFB923" w14:textId="77777777" w:rsidR="00E24CCA" w:rsidRDefault="00000000">
      <w:pPr>
        <w:pStyle w:val="Ttulo1"/>
        <w:keepNext/>
      </w:pPr>
      <w:r>
        <w:t xml:space="preserve">3. Autoevaluación contra la regla del plan verificable</w:t>
      </w:r>
    </w:p>
    <w:p w14:paraId="12E6A8C5" w14:textId="77777777" w:rsidR="0032653D" w:rsidRPr="0032653D" w:rsidRDefault="0032653D" w:rsidP="0032653D">
      <w:pPr>
        <w:spacing w:after="120" w:line="276" w:lineRule="auto"/>
      </w:pPr>
      <w:r>
        <w:t xml:space="preserve">La última columna es para el equipo que revisa el SQAP mínimo en clase: anoten "cumple" o el texto exacto que incumple.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5"/>
        <w:gridCol w:w="5442"/>
        <w:gridCol w:w="2620"/>
      </w:tblGrid>
      <w:tr w:rsidR="00E24CCA" w14:paraId="7236FD13" w14:textId="77777777">
        <w:tblPrEx>
          <w:tblCellMar>
            <w:top w:w="0" w:type="dxa"/>
            <w:bottom w:w="0" w:type="dxa"/>
          </w:tblCellMar>
        </w:tblPrEx>
        <w:trPr>
          <w:cantSplit/>
          <w:tblHeader/>
        </w:trPr>
        <w:tc>
          <w:tcPr>
            <w:tcW w:w="2015"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rPr>
              <w:t xml:space="preserve">Indicador</w:t>
            </w:r>
          </w:p>
        </w:tc>
        <w:tc>
          <w:tcPr>
            <w:tcW w:w="5442"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rPr>
              <w:t xml:space="preserve">Cómo lo cumple CalisFacu</w:t>
            </w:r>
          </w:p>
        </w:tc>
        <w:tc>
          <w:tcPr>
            <w:tcW w:w="2620"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rPr>
              <w:t xml:space="preserve">Revisión del otro equipo</w:t>
            </w:r>
          </w:p>
        </w:tc>
      </w:tr>
      <w:tr w:rsidR="00E66A9C" w14:paraId="015932D9" w14:textId="77777777" w:rsidTr="005930EA">
        <w:tblPrEx>
          <w:tblCellMar>
            <w:top w:w="0" w:type="dxa"/>
            <w:bottom w:w="0" w:type="dxa"/>
          </w:tblCellMar>
        </w:tblPrEx>
        <w:trPr>
          <w:cantSplit/>
        </w:trPr>
        <w:tc>
          <w:tcPr>
            <w:tcW w:w="2015"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Completo</w:t>
            </w:r>
          </w:p>
        </w:tc>
        <w:tc>
          <w:tcPr>
            <w:tcW w:w="5442"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Están las 16 secciones de IEEE 730-2002. Las Secciones 10, 11 y 13 quedan pendientes de la Parte C, y cada una dice qué rige mientras tanto.</w:t>
            </w:r>
          </w:p>
        </w:tc>
        <w:tc>
          <w:tcPr>
            <w:tcW w:w="2620"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p>
        </w:tc>
      </w:tr>
      <w:tr w:rsidR="00E66A9C" w14:paraId="015932D9" w14:textId="77777777" w:rsidTr="005930EA">
        <w:tblPrEx>
          <w:tblCellMar>
            <w:top w:w="0" w:type="dxa"/>
            <w:bottom w:w="0" w:type="dxa"/>
          </w:tblCellMar>
        </w:tblPrEx>
        <w:trPr>
          <w:cantSplit/>
        </w:trPr>
        <w:tc>
          <w:tcPr>
            <w:tcW w:w="2015"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Medible</w:t>
            </w:r>
          </w:p>
        </w:tc>
        <w:tc>
          <w:tcPr>
            <w:tcW w:w="5442"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Los nueve objetivos tienen número (M01 a M09). Ningún objetivo dice "rápido", "intuitivo" o "alto".</w:t>
            </w:r>
          </w:p>
        </w:tc>
        <w:tc>
          <w:tcPr>
            <w:tcW w:w="2620"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p>
        </w:tc>
      </w:tr>
      <w:tr w:rsidR="00E66A9C" w14:paraId="015932D9" w14:textId="77777777" w:rsidTr="005930EA">
        <w:tblPrEx>
          <w:tblCellMar>
            <w:top w:w="0" w:type="dxa"/>
            <w:bottom w:w="0" w:type="dxa"/>
          </w:tblCellMar>
        </w:tblPrEx>
        <w:trPr>
          <w:cantSplit/>
        </w:trPr>
        <w:tc>
          <w:tcPr>
            <w:tcW w:w="2015"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Instrumentado</w:t>
            </w:r>
          </w:p>
        </w:tc>
        <w:tc>
          <w:tcPr>
            <w:tcW w:w="5442"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Cada métrica dice con qué herramienta de las Prácticas 1 a 6, en qué condiciones y en qué momento se mide.</w:t>
            </w:r>
          </w:p>
        </w:tc>
        <w:tc>
          <w:tcPr>
            <w:tcW w:w="2620"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p>
        </w:tc>
      </w:tr>
      <w:tr w:rsidR="00E66A9C" w14:paraId="015932D9" w14:textId="77777777" w:rsidTr="005930EA">
        <w:tblPrEx>
          <w:tblCellMar>
            <w:top w:w="0" w:type="dxa"/>
            <w:bottom w:w="0" w:type="dxa"/>
          </w:tblCellMar>
        </w:tblPrEx>
        <w:trPr>
          <w:cantSplit/>
        </w:trPr>
        <w:tc>
          <w:tcPr>
            <w:tcW w:w="2015"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Asignado e independiente</w:t>
            </w:r>
          </w:p>
        </w:tc>
        <w:tc>
          <w:tcPr>
            <w:tcW w:w="5442"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La RACI tiene una A por fila. Galvan (SQA) no programa los módulos críticos. Las evidencias que produce como Tester las audita el Líder.</w:t>
            </w:r>
          </w:p>
        </w:tc>
        <w:tc>
          <w:tcPr>
            <w:tcW w:w="2620"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p>
        </w:tc>
      </w:tr>
      <w:tr w:rsidR="00E66A9C" w14:paraId="015932D9" w14:textId="77777777" w:rsidTr="005930EA">
        <w:tblPrEx>
          <w:tblCellMar>
            <w:top w:w="0" w:type="dxa"/>
            <w:bottom w:w="0" w:type="dxa"/>
          </w:tblCellMar>
        </w:tblPrEx>
        <w:trPr>
          <w:cantSplit/>
        </w:trPr>
        <w:tc>
          <w:tcPr>
            <w:tcW w:w="2015"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Consistente</w:t>
            </w:r>
          </w:p>
        </w:tc>
        <w:tc>
          <w:tcPr>
            <w:tcW w:w="5442"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80 %, 90 %, 2000 ms, 1 % y 3 % son iguales en las Secciones 5, 6 y 7, en matrices-sqap.xlsx y en la configuración de Jenkins y SonarQube.</w:t>
            </w:r>
          </w:p>
        </w:tc>
        <w:tc>
          <w:tcPr>
            <w:tcW w:w="2620"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p>
        </w:tc>
      </w:tr>
      <w:tr w:rsidR="00E66A9C" w14:paraId="015932D9" w14:textId="77777777" w:rsidTr="005930EA">
        <w:tblPrEx>
          <w:tblCellMar>
            <w:top w:w="0" w:type="dxa"/>
            <w:bottom w:w="0" w:type="dxa"/>
          </w:tblCellMar>
        </w:tblPrEx>
        <w:trPr>
          <w:cantSplit/>
        </w:trPr>
        <w:tc>
          <w:tcPr>
            <w:tcW w:w="2015"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Trazable</w:t>
            </w:r>
          </w:p>
        </w:tc>
        <w:tc>
          <w:tcPr>
            <w:tcW w:w="5442"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Cada métrica cita un RNF (Anexo del SQAP) o un riesgo (R03, R05). Cada riesgo alto tiene mitigación con responsable.</w:t>
            </w:r>
          </w:p>
        </w:tc>
        <w:tc>
          <w:tcPr>
            <w:tcW w:w="2620"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p>
        </w:tc>
      </w:tr>
      <w:tr w:rsidR="00E66A9C" w14:paraId="015932D9" w14:textId="77777777" w:rsidTr="005930EA">
        <w:tblPrEx>
          <w:tblCellMar>
            <w:top w:w="0" w:type="dxa"/>
            <w:bottom w:w="0" w:type="dxa"/>
          </w:tblCellMar>
        </w:tblPrEx>
        <w:trPr>
          <w:cantSplit/>
        </w:trPr>
        <w:tc>
          <w:tcPr>
            <w:tcW w:w="2015"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Evidenciable</w:t>
            </w:r>
          </w:p>
        </w:tc>
        <w:tc>
          <w:tcPr>
            <w:tcW w:w="5442"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La Sección 12 da ubicación, formato, retención y responsable de cada evidencia.</w:t>
            </w:r>
          </w:p>
        </w:tc>
        <w:tc>
          <w:tcPr>
            <w:tcW w:w="2620"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p>
        </w:tc>
      </w:tr>
    </w:tbl>
    <w:p w14:paraId="72DFB923" w14:textId="77777777" w:rsidR="00E24CCA" w:rsidRDefault="00000000">
      <w:pPr>
        <w:pStyle w:val="Ttulo1"/>
        <w:keepNext/>
      </w:pPr>
      <w:r>
        <w:t xml:space="preserve">4. Reporte de defecto CAL-001 (Evidencia 6)</w:t>
      </w:r>
    </w:p>
    <w:p w14:paraId="12E6A8C5" w14:textId="77777777" w:rsidR="0032653D" w:rsidRPr="0032653D" w:rsidRDefault="0032653D" w:rsidP="0032653D">
      <w:pPr>
        <w:spacing w:after="120" w:line="276" w:lineRule="auto"/>
      </w:pPr>
      <w:r>
        <w:t xml:space="preserve">Reportado en GitHub Issues con la plantilla del curso (plantilla-reporte-defecto.md).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7457"/>
      </w:tblGrid>
      <w:tr w:rsidR="00E24CCA" w14:paraId="7236FD13" w14:textId="77777777">
        <w:tblPrEx>
          <w:tblCellMar>
            <w:top w:w="0" w:type="dxa"/>
            <w:bottom w:w="0" w:type="dxa"/>
          </w:tblCellMar>
        </w:tblPrEx>
        <w:trPr>
          <w:cantSplit/>
          <w:tblHeader/>
        </w:trPr>
        <w:tc>
          <w:tcPr>
            <w:tcW w:w="2620"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rPr>
              <w:t xml:space="preserve">Campo</w:t>
            </w:r>
          </w:p>
        </w:tc>
        <w:tc>
          <w:tcPr>
            <w:tcW w:w="7457"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rPr>
              <w:t xml:space="preserve">Valor</w:t>
            </w:r>
          </w:p>
        </w:tc>
      </w:tr>
      <w:tr w:rsidR="00E66A9C" w14:paraId="015932D9" w14:textId="77777777" w:rsidTr="005930EA">
        <w:tblPrEx>
          <w:tblCellMar>
            <w:top w:w="0" w:type="dxa"/>
            <w:bottom w:w="0" w:type="dxa"/>
          </w:tblCellMar>
        </w:tblPrEx>
        <w:trPr>
          <w:cantSplit/>
        </w:trPr>
        <w:tc>
          <w:tcPr>
            <w:tcW w:w="2620"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Título</w:t>
            </w:r>
          </w:p>
        </w:tc>
        <w:tc>
          <w:tcPr>
            <w:tcW w:w="745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La exportación a PDF falla con Error 500 en materias con más de 50 alumnos</w:t>
            </w:r>
          </w:p>
        </w:tc>
      </w:tr>
      <w:tr w:rsidR="00E66A9C" w14:paraId="015932D9" w14:textId="77777777" w:rsidTr="005930EA">
        <w:tblPrEx>
          <w:tblCellMar>
            <w:top w:w="0" w:type="dxa"/>
            <w:bottom w:w="0" w:type="dxa"/>
          </w:tblCellMar>
        </w:tblPrEx>
        <w:trPr>
          <w:cantSplit/>
        </w:trPr>
        <w:tc>
          <w:tcPr>
            <w:tcW w:w="2620"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Reportado por / fecha</w:t>
            </w:r>
          </w:p>
        </w:tc>
        <w:tc>
          <w:tcPr>
            <w:tcW w:w="745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Galvan (Tester) / 04/10/2026</w:t>
            </w:r>
          </w:p>
        </w:tc>
      </w:tr>
      <w:tr w:rsidR="00E66A9C" w14:paraId="015932D9" w14:textId="77777777" w:rsidTr="005930EA">
        <w:tblPrEx>
          <w:tblCellMar>
            <w:top w:w="0" w:type="dxa"/>
            <w:bottom w:w="0" w:type="dxa"/>
          </w:tblCellMar>
        </w:tblPrEx>
        <w:trPr>
          <w:cantSplit/>
        </w:trPr>
        <w:tc>
          <w:tcPr>
            <w:tcW w:w="2620"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Módulo / versión</w:t>
            </w:r>
          </w:p>
        </w:tc>
        <w:tc>
          <w:tcPr>
            <w:tcW w:w="745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Exportación Historial / CalisFacu v1.0-RC1</w:t>
            </w:r>
          </w:p>
        </w:tc>
      </w:tr>
      <w:tr w:rsidR="00E66A9C" w14:paraId="015932D9" w14:textId="77777777" w:rsidTr="005930EA">
        <w:tblPrEx>
          <w:tblCellMar>
            <w:top w:w="0" w:type="dxa"/>
            <w:bottom w:w="0" w:type="dxa"/>
          </w:tblCellMar>
        </w:tblPrEx>
        <w:trPr>
          <w:cantSplit/>
        </w:trPr>
        <w:tc>
          <w:tcPr>
            <w:tcW w:w="2620"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Entorno</w:t>
            </w:r>
          </w:p>
        </w:tc>
        <w:tc>
          <w:tcPr>
            <w:tcW w:w="745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Staging, Navegador Chrome v118, Windows 11, MySQL 8</w:t>
            </w:r>
          </w:p>
        </w:tc>
      </w:tr>
      <w:tr w:rsidR="00E66A9C" w14:paraId="015932D9" w14:textId="77777777" w:rsidTr="005930EA">
        <w:tblPrEx>
          <w:tblCellMar>
            <w:top w:w="0" w:type="dxa"/>
            <w:bottom w:w="0" w:type="dxa"/>
          </w:tblCellMar>
        </w:tblPrEx>
        <w:trPr>
          <w:cantSplit/>
        </w:trPr>
        <w:tc>
          <w:tcPr>
            <w:tcW w:w="2620"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Severidad (la fija QA)</w:t>
            </w:r>
          </w:p>
        </w:tc>
        <w:tc>
          <w:tcPr>
            <w:tcW w:w="745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S2 Alta: funcionalidad principal sin alternativa; el sistema sigue usable y no hay pérdida de datos (Sección 8 del SQAP)</w:t>
            </w:r>
          </w:p>
        </w:tc>
      </w:tr>
      <w:tr w:rsidR="00E66A9C" w14:paraId="015932D9" w14:textId="77777777" w:rsidTr="005930EA">
        <w:tblPrEx>
          <w:tblCellMar>
            <w:top w:w="0" w:type="dxa"/>
            <w:bottom w:w="0" w:type="dxa"/>
          </w:tblCellMar>
        </w:tblPrEx>
        <w:trPr>
          <w:cantSplit/>
        </w:trPr>
        <w:tc>
          <w:tcPr>
            <w:tcW w:w="2620"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Prioridad (la fija el líder)</w:t>
            </w:r>
          </w:p>
        </w:tc>
        <w:tc>
          <w:tcPr>
            <w:tcW w:w="745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P1: se corrige primero porque el cierre de notas de la gestión depende del PDF</w:t>
            </w:r>
          </w:p>
        </w:tc>
      </w:tr>
      <w:tr w:rsidR="00E66A9C" w14:paraId="015932D9" w14:textId="77777777" w:rsidTr="005930EA">
        <w:tblPrEx>
          <w:tblCellMar>
            <w:top w:w="0" w:type="dxa"/>
            <w:bottom w:w="0" w:type="dxa"/>
          </w:tblCellMar>
        </w:tblPrEx>
        <w:trPr>
          <w:cantSplit/>
        </w:trPr>
        <w:tc>
          <w:tcPr>
            <w:tcW w:w="2620"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Estado</w:t>
            </w:r>
          </w:p>
        </w:tc>
        <w:tc>
          <w:tcPr>
            <w:tcW w:w="745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Asignado</w:t>
            </w:r>
          </w:p>
        </w:tc>
      </w:tr>
      <w:tr w:rsidR="00E66A9C" w14:paraId="015932D9" w14:textId="77777777" w:rsidTr="005930EA">
        <w:tblPrEx>
          <w:tblCellMar>
            <w:top w:w="0" w:type="dxa"/>
            <w:bottom w:w="0" w:type="dxa"/>
          </w:tblCellMar>
        </w:tblPrEx>
        <w:trPr>
          <w:cantSplit/>
        </w:trPr>
        <w:tc>
          <w:tcPr>
            <w:tcW w:w="2620"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Requerimiento afectado</w:t>
            </w:r>
          </w:p>
        </w:tc>
        <w:tc>
          <w:tcPr>
            <w:tcW w:w="745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RNF-03 (métrica M03: p95 de Exportar PDF ≤ 2000 ms)</w:t>
            </w:r>
          </w:p>
        </w:tc>
      </w:tr>
    </w:tbl>
    <w:p w14:paraId="12E6A8C5" w14:textId="77777777" w:rsidR="0032653D" w:rsidRPr="0032653D" w:rsidRDefault="0032653D" w:rsidP="0032653D">
      <w:pPr>
        <w:spacing w:after="120" w:line="276" w:lineRule="auto" w:before="160"/>
      </w:pPr>
      <w:r>
        <w:rPr>
          <w:b/>
          <w:bCs/>
        </w:rPr>
        <w:t xml:space="preserve">Pasos para reproducir</w:t>
      </w:r>
    </w:p>
    <w:p w14:paraId="12E6A8C5" w14:textId="77777777" w:rsidR="0032653D" w:rsidRPr="0032653D" w:rsidRDefault="0032653D" w:rsidP="0032653D">
      <w:pPr>
        <w:spacing w:after="120" w:line="276" w:lineRule="auto"/>
      </w:pPr>
      <w:r>
        <w:t xml:space="preserve">1. Iniciar sesión en el sistema con el rol "Docente".</w:t>
      </w:r>
    </w:p>
    <w:p w14:paraId="12E6A8C5" w14:textId="77777777" w:rsidR="0032653D" w:rsidRPr="0032653D" w:rsidRDefault="0032653D" w:rsidP="0032653D">
      <w:pPr>
        <w:spacing w:after="120" w:line="276" w:lineRule="auto"/>
      </w:pPr>
      <w:r>
        <w:t xml:space="preserve">2. Navegar a "Mis Materias" y seleccionar una materia que tenga más de 50 estudiantes inscritos.</w:t>
      </w:r>
    </w:p>
    <w:p w14:paraId="12E6A8C5" w14:textId="77777777" w:rsidR="0032653D" w:rsidRPr="0032653D" w:rsidRDefault="0032653D" w:rsidP="0032653D">
      <w:pPr>
        <w:spacing w:after="120" w:line="276" w:lineRule="auto"/>
      </w:pPr>
      <w:r>
        <w:t xml:space="preserve">3. Hacer clic en el botón superior derecho "Exportar historial a PDF".</w:t>
      </w:r>
    </w:p>
    <w:p w14:paraId="12E6A8C5" w14:textId="77777777" w:rsidR="0032653D" w:rsidRPr="0032653D" w:rsidRDefault="0032653D" w:rsidP="0032653D">
      <w:pPr>
        <w:spacing w:after="120" w:line="276" w:lineRule="auto"/>
      </w:pPr>
      <w:r>
        <w:t xml:space="preserve">4. Esperar la respuesta del servidor.</w:t>
      </w:r>
    </w:p>
    <w:p w14:paraId="12E6A8C5" w14:textId="77777777" w:rsidR="0032653D" w:rsidRPr="0032653D" w:rsidRDefault="0032653D" w:rsidP="0032653D">
      <w:pPr>
        <w:spacing w:after="120" w:line="276" w:lineRule="auto"/>
      </w:pPr>
      <w:r>
        <w:rPr>
          <w:b/>
          <w:bCs/>
        </w:rPr>
        <w:t xml:space="preserve">Resultado esperado:</w:t>
      </w:r>
      <w:r>
        <w:t xml:space="preserve"> El sistema procesa las notas y descarga el archivo historial_materia.pdf. Bajo la carga de la Sección 5 (100 usuarios concurrentes, 10 min), el p95 de esta operación es ≤ 2000 ms.</w:t>
      </w:r>
    </w:p>
    <w:p w14:paraId="12E6A8C5" w14:textId="77777777" w:rsidR="0032653D" w:rsidRPr="0032653D" w:rsidRDefault="0032653D" w:rsidP="0032653D">
      <w:pPr>
        <w:spacing w:after="120" w:line="276" w:lineRule="auto"/>
      </w:pPr>
      <w:r>
        <w:rPr>
          <w:b/>
          <w:bCs/>
        </w:rPr>
        <w:t xml:space="preserve">Resultado observado:</w:t>
      </w:r>
      <w:r>
        <w:t xml:space="preserve"> El navegador se queda cargando y a los 30 segundos muestra un Error HTTP 500 "Maximum execution time exceeded". No se descarga ningún archivo. En la etapa Rendimiento del build de RC1, el 100 % de las peticiones de exportación en materias de más de 50 alumnos terminó en error.</w:t>
      </w:r>
    </w:p>
    <w:p w14:paraId="12E6A8C5" w14:textId="77777777" w:rsidR="0032653D" w:rsidRPr="0032653D" w:rsidRDefault="0032653D" w:rsidP="0032653D">
      <w:pPr>
        <w:spacing w:after="120" w:line="276" w:lineRule="auto"/>
      </w:pPr>
      <w:r>
        <w:rPr>
          <w:b/>
          <w:bCs/>
        </w:rPr>
        <w:t xml:space="preserve">Evidencia</w:t>
      </w:r>
    </w:p>
    <w:p w14:paraId="39449A6A" w14:textId="77777777" w:rsidR="0032653D" w:rsidRPr="0032653D" w:rsidRDefault="0032653D" w:rsidP="0032653D">
      <w:pPr>
        <w:numPr>
          <w:ilvl w:val="0"/>
          <w:numId w:val="2"/>
        </w:numPr>
        <w:spacing w:after="120" w:line="276" w:lineRule="auto"/>
      </w:pPr>
      <w:r>
        <w:t xml:space="preserve">Captura de la traza de error de Laravel con el timeout en DomPDF: docs/evidencias/CAL-001/traza-timeout-dompdf.png</w:t>
      </w:r>
    </w:p>
    <w:p w14:paraId="39449A6A" w14:textId="77777777" w:rsidR="0032653D" w:rsidRPr="0032653D" w:rsidRDefault="0032653D" w:rsidP="0032653D">
      <w:pPr>
        <w:numPr>
          <w:ilvl w:val="0"/>
          <w:numId w:val="2"/>
        </w:numPr>
        <w:spacing w:after="120" w:line="276" w:lineRule="auto"/>
      </w:pPr>
      <w:r>
        <w:t xml:space="preserve">Dashboard de JMeter del build de RC1: artefacto perf/pdf/ en Jenkins (Sección 12 del SQAP)</w:t>
      </w:r>
    </w:p>
    <w:p w14:paraId="12E6A8C5" w14:textId="77777777" w:rsidR="0032653D" w:rsidRPr="0032653D" w:rsidRDefault="0032653D" w:rsidP="0032653D">
      <w:pPr>
        <w:spacing w:after="120" w:line="276" w:lineRule="auto" w:before="120"/>
      </w:pPr>
      <w:r>
        <w:rPr>
          <w:b/>
          <w:bCs/>
        </w:rPr>
        <w:t xml:space="preserve">Historial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1"/>
        <w:gridCol w:w="1209"/>
        <w:gridCol w:w="1713"/>
        <w:gridCol w:w="5643"/>
      </w:tblGrid>
      <w:tr w:rsidR="00E24CCA" w14:paraId="7236FD13" w14:textId="77777777">
        <w:tblPrEx>
          <w:tblCellMar>
            <w:top w:w="0" w:type="dxa"/>
            <w:bottom w:w="0" w:type="dxa"/>
          </w:tblCellMar>
        </w:tblPrEx>
        <w:trPr>
          <w:cantSplit/>
          <w:tblHeader/>
        </w:trPr>
        <w:tc>
          <w:tcPr>
            <w:tcW w:w="1511"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rPr>
              <w:t xml:space="preserve">Fecha</w:t>
            </w:r>
          </w:p>
        </w:tc>
        <w:tc>
          <w:tcPr>
            <w:tcW w:w="1209"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rPr>
              <w:t xml:space="preserve">Estado</w:t>
            </w:r>
          </w:p>
        </w:tc>
        <w:tc>
          <w:tcPr>
            <w:tcW w:w="1713"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rPr>
              <w:t xml:space="preserve">Quién</w:t>
            </w:r>
          </w:p>
        </w:tc>
        <w:tc>
          <w:tcPr>
            <w:tcW w:w="5643"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rPr>
              <w:t xml:space="preserve">Comentario</w:t>
            </w:r>
          </w:p>
        </w:tc>
      </w:tr>
      <w:tr w:rsidR="00E66A9C" w14:paraId="015932D9" w14:textId="77777777" w:rsidTr="005930EA">
        <w:tblPrEx>
          <w:tblCellMar>
            <w:top w:w="0" w:type="dxa"/>
            <w:bottom w:w="0" w:type="dxa"/>
          </w:tblCellMar>
        </w:tblPrEx>
        <w:trPr>
          <w:cantSplit/>
        </w:trPr>
        <w:tc>
          <w:tcPr>
            <w:tcW w:w="1511"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04/10/2026</w:t>
            </w:r>
          </w:p>
        </w:tc>
        <w:tc>
          <w:tcPr>
            <w:tcW w:w="1209"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Nuevo</w:t>
            </w:r>
          </w:p>
        </w:tc>
        <w:tc>
          <w:tcPr>
            <w:tcW w:w="1713"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Galvan (Tester)</w:t>
            </w:r>
          </w:p>
        </w:tc>
        <w:tc>
          <w:tcPr>
            <w:tcW w:w="5643"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Falló la etapa Rendimiento (JMeter) de RC1; se reprodujo manualmente con los pasos de arriba. Severidad S2.</w:t>
            </w:r>
          </w:p>
        </w:tc>
      </w:tr>
      <w:tr w:rsidR="00E66A9C" w14:paraId="015932D9" w14:textId="77777777" w:rsidTr="005930EA">
        <w:tblPrEx>
          <w:tblCellMar>
            <w:top w:w="0" w:type="dxa"/>
            <w:bottom w:w="0" w:type="dxa"/>
          </w:tblCellMar>
        </w:tblPrEx>
        <w:trPr>
          <w:cantSplit/>
        </w:trPr>
        <w:tc>
          <w:tcPr>
            <w:tcW w:w="1511"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04/10/2026</w:t>
            </w:r>
          </w:p>
        </w:tc>
        <w:tc>
          <w:tcPr>
            <w:tcW w:w="1209"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Asignado</w:t>
            </w:r>
          </w:p>
        </w:tc>
        <w:tc>
          <w:tcPr>
            <w:tcW w:w="1713"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Lujan (Líder)</w:t>
            </w:r>
          </w:p>
        </w:tc>
        <w:tc>
          <w:tcPr>
            <w:tcW w:w="5643"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Prioridad P1 por el cierre de gestión. Asignado a Lujan (backend). SLA S2: respuesta en 1 día hábil, resolución en 2 días hábiles. Relacionado con el riesgo R05.</w:t>
            </w:r>
          </w:p>
        </w:tc>
      </w:tr>
    </w:tbl>
    <w:p>
      <w:pPr>
        <w:sectPr>
          <w:pgSz w:w="12240" w:h="15840"/>
          <w:pgMar w:top="1080" w:right="1080" w:bottom="1080" w:left="1080" w:header="708" w:footer="708" w:gutter="0"/>
          <w:cols w:space="720"/>
          <w:docGrid w:linePitch="360"/>
        </w:sectPr>
      </w:pPr>
    </w:p>
    <w:p w14:paraId="72DFB923" w14:textId="77777777" w:rsidR="00E24CCA" w:rsidRDefault="00000000">
      <w:pPr>
        <w:pStyle w:val="Ttulo1"/>
        <w:keepNext/>
      </w:pPr>
      <w:r>
        <w:t xml:space="preserve">5. Parte B — Auditoría de SQAP-BIBLIOUSFX-v0.9</w:t>
      </w:r>
    </w:p>
    <w:p w14:paraId="12E6A8C5" w14:textId="77777777" w:rsidR="0032653D" w:rsidRPr="0032653D" w:rsidRDefault="0032653D" w:rsidP="0032653D">
      <w:pPr>
        <w:spacing w:after="120" w:line="276" w:lineRule="auto"/>
      </w:pPr>
      <w:r>
        <w:rPr>
          <w:b/>
          <w:bCs/>
        </w:rPr>
        <w:t xml:space="preserve">Método.</w:t>
      </w:r>
      <w:r>
        <w:t xml:space="preserve"> Se leyó el plan completo una vez. En la segunda lectura se recorrió cada uno de los siete indicadores en todo el documento, respondiendo las cuatro preguntas del Paso 3: qué promete, cómo se sabría si se cumplió, quién lo comprueba y si coincide con el resto del plan. Se encontraron seis defectos, cada uno contra un indicador distinto. Evidenciable ya se cumplía (Sección 11 de la v0.9, Registros). Cada corrección es una versión 0.9.x del historial, y la versión final es la 1.0 (Anexo B).</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
        <w:gridCol w:w="1565"/>
        <w:gridCol w:w="2608"/>
        <w:gridCol w:w="1507"/>
        <w:gridCol w:w="2492"/>
        <w:gridCol w:w="3246"/>
        <w:gridCol w:w="1854"/>
      </w:tblGrid>
      <w:tr w:rsidR="00E24CCA" w14:paraId="7236FD13" w14:textId="77777777">
        <w:tblPrEx>
          <w:tblCellMar>
            <w:top w:w="0" w:type="dxa"/>
            <w:bottom w:w="0" w:type="dxa"/>
          </w:tblCellMar>
        </w:tblPrEx>
        <w:trPr>
          <w:cantSplit/>
          <w:tblHeader/>
        </w:trPr>
        <w:tc>
          <w:tcPr>
            <w:tcW w:w="405"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sz w:val="18"/>
                <w:szCs w:val="18"/>
              </w:rPr>
              <w:t xml:space="preserve">#</w:t>
            </w:r>
          </w:p>
        </w:tc>
        <w:tc>
          <w:tcPr>
            <w:tcW w:w="1565"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sz w:val="18"/>
                <w:szCs w:val="18"/>
              </w:rPr>
              <w:t xml:space="preserve">Ubicación</w:t>
            </w:r>
          </w:p>
        </w:tc>
        <w:tc>
          <w:tcPr>
            <w:tcW w:w="2608"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sz w:val="18"/>
                <w:szCs w:val="18"/>
              </w:rPr>
              <w:t xml:space="preserve">Evidencia textual</w:t>
            </w:r>
          </w:p>
        </w:tc>
        <w:tc>
          <w:tcPr>
            <w:tcW w:w="1507"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sz w:val="18"/>
                <w:szCs w:val="18"/>
              </w:rPr>
              <w:t xml:space="preserve">Indicador violado</w:t>
            </w:r>
          </w:p>
        </w:tc>
        <w:tc>
          <w:tcPr>
            <w:tcW w:w="2492"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sz w:val="18"/>
                <w:szCs w:val="18"/>
              </w:rPr>
              <w:t xml:space="preserve">Consecuencia</w:t>
            </w:r>
          </w:p>
        </w:tc>
        <w:tc>
          <w:tcPr>
            <w:tcW w:w="3246"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sz w:val="18"/>
                <w:szCs w:val="18"/>
              </w:rPr>
              <w:t xml:space="preserve">Corrección (antes y después)</w:t>
            </w:r>
          </w:p>
        </w:tc>
        <w:tc>
          <w:tcPr>
            <w:tcW w:w="1854"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sz w:val="18"/>
                <w:szCs w:val="18"/>
              </w:rPr>
              <w:t xml:space="preserve">Entrada en el historial</w:t>
            </w:r>
          </w:p>
        </w:tc>
      </w:tr>
      <w:tr w:rsidR="00E66A9C" w14:paraId="015932D9" w14:textId="77777777" w:rsidTr="005930EA">
        <w:tblPrEx>
          <w:tblCellMar>
            <w:top w:w="0" w:type="dxa"/>
            <w:bottom w:w="0" w:type="dxa"/>
          </w:tblCellMar>
        </w:tblPrEx>
        <w:trPr>
          <w:cantSplit/>
        </w:trPr>
        <w:tc>
          <w:tcPr>
            <w:tcW w:w="405"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1</w:t>
            </w:r>
          </w:p>
        </w:tc>
        <w:tc>
          <w:tcPr>
            <w:tcW w:w="1565"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Sección 5, tabla de métricas, fila Usabilidad</w:t>
            </w:r>
          </w:p>
        </w:tc>
        <w:tc>
          <w:tcPr>
            <w:tcW w:w="2608"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"La interfaz debe ser intuitiva y amigable para los usuarios" · Instrumento: "Opinión del equipo" · Objetivo: "Alta"</w:t>
            </w:r>
          </w:p>
        </w:tc>
        <w:tc>
          <w:tcPr>
            <w:tcW w:w="150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Medible (también Instrumentado)</w:t>
            </w:r>
          </w:p>
        </w:tc>
        <w:tc>
          <w:tcPr>
            <w:tcW w:w="2492"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No hay número que comparar. El equipo que construyó la interfaz la declarará "intuitiva", y RNF-03 (un estudiante nuevo registra un préstamo sin ayuda) quedará sin verificar.</w:t>
            </w:r>
          </w:p>
        </w:tc>
        <w:tc>
          <w:tcPr>
            <w:tcW w:w="3246"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Antes: métrica adjetiva, "Opinión del equipo", "Alta".</w:t>
            </w:r>
          </w:p>
          <w:p w14:paraId="22DB7613" w14:textId="4104FA5E" w:rsidR="00E66A9C" w:rsidRPr="00E66A9C" w:rsidRDefault="00E66A9C" w:rsidP="00E66A9C">
            <w:pPr>
              <w:spacing w:line="260" w:lineRule="auto"/>
            </w:pPr>
            <w:r>
              <w:rPr>
                <w:color w:val="1F1F1F"/>
                <w:sz w:val="18"/>
                <w:szCs w:val="18"/>
              </w:rPr>
              <w:t xml:space="preserve">Después: "Tasa de éxito de la tarea 'registrar un préstamo' sin ayuda; puntaje SUS" · "Prueba con 5 estudiantes que nunca usaron el sistema, al cierre del sprint 3; cuestionario SUS de 10 ítems" · "≥ 90 % de éxito; SUS promedio ≥ 68".</w:t>
            </w:r>
          </w:p>
        </w:tc>
        <w:tc>
          <w:tcPr>
            <w:tcW w:w="1854"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0.9.1 · 04/10/2026 · Sección 5: métrica de usabilidad medible y trazable a RNF-03 · Autor: Galvan · Revisor: Lujan</w:t>
            </w:r>
          </w:p>
        </w:tc>
      </w:tr>
      <w:tr w:rsidR="00E66A9C" w14:paraId="015932D9" w14:textId="77777777" w:rsidTr="005930EA">
        <w:tblPrEx>
          <w:tblCellMar>
            <w:top w:w="0" w:type="dxa"/>
            <w:bottom w:w="0" w:type="dxa"/>
          </w:tblCellMar>
        </w:tblPrEx>
        <w:trPr>
          <w:cantSplit/>
        </w:trPr>
        <w:tc>
          <w:tcPr>
            <w:tcW w:w="405"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2</w:t>
            </w:r>
          </w:p>
        </w:tc>
        <w:tc>
          <w:tcPr>
            <w:tcW w:w="1565"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Sección 3, tabla de roles y párrafo final</w:t>
            </w:r>
          </w:p>
        </w:tc>
        <w:tc>
          <w:tcPr>
            <w:tcW w:w="2608"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"Responsable SQA | … aprobación de pull requests de los módulos críticos | Carla Flores" y "Desarrollador backend | API REST y pruebas JUnit de los módulos Préstamos y Multas | Carla Flores". "La Responsable SQA conoce mejor que nadie los módulos críticos, porque los desarrolla"</w:t>
            </w:r>
          </w:p>
        </w:tc>
        <w:tc>
          <w:tcPr>
            <w:tcW w:w="150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Asignado e independiente</w:t>
            </w:r>
          </w:p>
        </w:tc>
        <w:tc>
          <w:tcPr>
            <w:tcW w:w="2492"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Carla escribe y aprueba sus propios pull requests de Préstamos y Multas. Un error en el cálculo de multas (RNF-06: Bs 2 por día, tope de Bs 60) llega a main sin que nadie más lo revise.</w:t>
            </w:r>
          </w:p>
        </w:tc>
        <w:tc>
          <w:tcPr>
            <w:tcW w:w="3246"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Antes: backend de Préstamos y Multas = Carla Flores.</w:t>
            </w:r>
          </w:p>
          <w:p w14:paraId="22DB7613" w14:textId="4104FA5E" w:rsidR="00E66A9C" w:rsidRPr="00E66A9C" w:rsidRDefault="00E66A9C" w:rsidP="00E66A9C">
            <w:pPr>
              <w:spacing w:line="260" w:lineRule="auto"/>
            </w:pPr>
            <w:r>
              <w:rPr>
                <w:color w:val="1F1F1F"/>
                <w:sz w:val="18"/>
                <w:szCs w:val="18"/>
              </w:rPr>
              <w:t xml:space="preserve">Después: = Bruno Mamani y Ana Quispe. Carla desarrolla solo Buscar libro (no crítico), cuyos PR revisa otro integrante. El párrafo se reemplaza por la regla de independencia.</w:t>
            </w:r>
          </w:p>
        </w:tc>
        <w:tc>
          <w:tcPr>
            <w:tcW w:w="1854"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0.9.2 · 04/10/2026 · Sección 3: la Responsable SQA deja de programar Préstamos y Multas · Autor: Lujan · Revisor: Galvan</w:t>
            </w:r>
          </w:p>
        </w:tc>
      </w:tr>
      <w:tr w:rsidR="00E66A9C" w14:paraId="015932D9" w14:textId="77777777" w:rsidTr="005930EA">
        <w:tblPrEx>
          <w:tblCellMar>
            <w:top w:w="0" w:type="dxa"/>
            <w:bottom w:w="0" w:type="dxa"/>
          </w:tblCellMar>
        </w:tblPrEx>
        <w:trPr>
          <w:cantSplit/>
        </w:trPr>
        <w:tc>
          <w:tcPr>
            <w:tcW w:w="405"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3</w:t>
            </w:r>
          </w:p>
        </w:tc>
        <w:tc>
          <w:tcPr>
            <w:tcW w:w="1565"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Sección 5, tabla de métricas, fila Eficiencia de desempeño</w:t>
            </w:r>
          </w:p>
        </w:tc>
        <w:tc>
          <w:tcPr>
            <w:tcW w:w="2608"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"Verificado por el equipo navegando el sistema durante la demo final"</w:t>
            </w:r>
          </w:p>
        </w:tc>
        <w:tc>
          <w:tcPr>
            <w:tcW w:w="150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Instrumentado</w:t>
            </w:r>
          </w:p>
        </w:tc>
        <w:tc>
          <w:tcPr>
            <w:tcW w:w="2492"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Navegar entre cuatro personas no reproduce los 100 usuarios concurrentes de RNF-01 ni produce un percentil 95, y se mide al final, cuando ya no hay tiempo de corregir. La búsqueda puede caer en el horario pico de exámenes con el plan "cumplido".</w:t>
            </w:r>
          </w:p>
        </w:tc>
        <w:tc>
          <w:tcPr>
            <w:tcW w:w="3246"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Antes: "Verificado por el equipo navegando… durante la demo final".</w:t>
            </w:r>
          </w:p>
          <w:p w14:paraId="22DB7613" w14:textId="4104FA5E" w:rsidR="00E66A9C" w:rsidRPr="00E66A9C" w:rsidRDefault="00E66A9C" w:rsidP="00E66A9C">
            <w:pPr>
              <w:spacing w:line="260" w:lineRule="auto"/>
            </w:pPr>
            <w:r>
              <w:rPr>
                <w:color w:val="1F1F1F"/>
                <w:sz w:val="18"/>
                <w:szCs w:val="18"/>
              </w:rPr>
              <w:t xml:space="preserve">Después: "JMeter (Práctica 5), 100 usuarios concurrentes, 10 minutos, ambiente de staging; etapa Rendimiento del pipeline en cada release candidate". El objetivo ≤ 800 ms no cambia.</w:t>
            </w:r>
          </w:p>
        </w:tc>
        <w:tc>
          <w:tcPr>
            <w:tcW w:w="1854"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0.9.3 · 04/10/2026 · Sección 5: p95 de la búsqueda medido con JMeter en cada release candidate · Autor: Galvan · Revisor: Lujan</w:t>
            </w:r>
          </w:p>
        </w:tc>
      </w:tr>
      <w:tr w:rsidR="00E66A9C" w14:paraId="015932D9" w14:textId="77777777" w:rsidTr="005930EA">
        <w:tblPrEx>
          <w:tblCellMar>
            <w:top w:w="0" w:type="dxa"/>
            <w:bottom w:w="0" w:type="dxa"/>
          </w:tblCellMar>
        </w:tblPrEx>
        <w:trPr>
          <w:cantSplit/>
        </w:trPr>
        <w:tc>
          <w:tcPr>
            <w:tcW w:w="405"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4</w:t>
            </w:r>
          </w:p>
        </w:tc>
        <w:tc>
          <w:tcPr>
            <w:tcW w:w="1565"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Sección 9, Quality Gate y regla de JaCoCo (frente a las Secciones 5 y 7)</w:t>
            </w:r>
          </w:p>
        </w:tc>
        <w:tc>
          <w:tcPr>
            <w:tcW w:w="2608"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"Coverage on New Code is less than 50.0 -&gt; falla" y "&lt;minimum&gt;0.50&lt;/minimum&gt;", mientras las Secciones 5 y 7 dicen "≥ 80 %"</w:t>
            </w:r>
          </w:p>
        </w:tc>
        <w:tc>
          <w:tcPr>
            <w:tcW w:w="150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Consistente</w:t>
            </w:r>
          </w:p>
        </w:tc>
        <w:tc>
          <w:tcPr>
            <w:tcW w:w="2492"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El pipeline aplica el número más permisivo: un pull request de Multas con 55 % de cobertura pasa en verde aunque el plan prometa 80 %.</w:t>
            </w:r>
          </w:p>
        </w:tc>
        <w:tc>
          <w:tcPr>
            <w:tcW w:w="3246"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Antes: 50.0 y 0.50.</w:t>
            </w:r>
          </w:p>
          <w:p w14:paraId="22DB7613" w14:textId="4104FA5E" w:rsidR="00E66A9C" w:rsidRPr="00E66A9C" w:rsidRDefault="00E66A9C" w:rsidP="00E66A9C">
            <w:pPr>
              <w:spacing w:line="260" w:lineRule="auto"/>
            </w:pPr>
            <w:r>
              <w:rPr>
                <w:color w:val="1F1F1F"/>
                <w:sz w:val="18"/>
                <w:szCs w:val="18"/>
              </w:rPr>
              <w:t xml:space="preserve">Después: "Coverage on New Code is less than 80.0 -&gt; falla" y "&lt;minimum&gt;0.80&lt;/minimum&gt;".</w:t>
            </w:r>
          </w:p>
        </w:tc>
        <w:tc>
          <w:tcPr>
            <w:tcW w:w="1854"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0.9.4 · 04/10/2026 · Sección 9: Quality Gate y JaCoCo de 50 % a 80 % · Autor: Lujan · Revisor: Galvan</w:t>
            </w:r>
          </w:p>
        </w:tc>
      </w:tr>
      <w:tr w:rsidR="00E66A9C" w14:paraId="015932D9" w14:textId="77777777" w:rsidTr="005930EA">
        <w:tblPrEx>
          <w:tblCellMar>
            <w:top w:w="0" w:type="dxa"/>
            <w:bottom w:w="0" w:type="dxa"/>
          </w:tblCellMar>
        </w:tblPrEx>
        <w:trPr>
          <w:cantSplit/>
        </w:trPr>
        <w:tc>
          <w:tcPr>
            <w:tcW w:w="405"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5</w:t>
            </w:r>
          </w:p>
        </w:tc>
        <w:tc>
          <w:tcPr>
            <w:tcW w:w="1565"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Índice de secciones y Sección 9</w:t>
            </w:r>
          </w:p>
        </w:tc>
        <w:tc>
          <w:tcPr>
            <w:tcW w:w="2608"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Después de "10. Control de medios" sigue "11. Registros: recolección, mantenimiento y retención": falta Control de proveedores, aunque la Sección 9 dice "El backend usa 21 dependencias directas de Maven y el frontend 22 de npm"</w:t>
            </w:r>
          </w:p>
        </w:tc>
        <w:tc>
          <w:tcPr>
            <w:tcW w:w="150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Completo</w:t>
            </w:r>
          </w:p>
        </w:tc>
        <w:tc>
          <w:tcPr>
            <w:tcW w:w="2492"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43 dependencias de terceros entran sin criterio de selección, sin inventario y sin revisión de licencias. Una librería abandonada o con licencia incompatible se descubre tarde.</w:t>
            </w:r>
          </w:p>
        </w:tc>
        <w:tc>
          <w:tcPr>
            <w:tcW w:w="3246"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Se agrega la Sección 11, Control de proveedores: criterios de selección, inventario en la hoja Componentes de terceros, Dependabot con 0 vulnerabilidades altas o críticas, revisión mensual de licencias y responsable Bruno Mamani. Las Secciones 11 a 15 pasan a ser 12 a 16.</w:t>
            </w:r>
          </w:p>
        </w:tc>
        <w:tc>
          <w:tcPr>
            <w:tcW w:w="1854"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0.9.5 · 04/10/2026 · Nueva Sección 11, Control de proveedores; renumeración · Autor: Galvan · Revisor: Lujan</w:t>
            </w:r>
          </w:p>
        </w:tc>
      </w:tr>
      <w:tr w:rsidR="00E66A9C" w14:paraId="015932D9" w14:textId="77777777" w:rsidTr="005930EA">
        <w:tblPrEx>
          <w:tblCellMar>
            <w:top w:w="0" w:type="dxa"/>
            <w:bottom w:w="0" w:type="dxa"/>
          </w:tblCellMar>
        </w:tblPrEx>
        <w:trPr>
          <w:cantSplit/>
        </w:trPr>
        <w:tc>
          <w:tcPr>
            <w:tcW w:w="405"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6</w:t>
            </w:r>
          </w:p>
        </w:tc>
        <w:tc>
          <w:tcPr>
            <w:tcW w:w="1565"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Sección 13 de la v0.9 (14 en la v1.0), riesgo "Rotación o abandono de un integrante"</w:t>
            </w:r>
          </w:p>
        </w:tc>
        <w:tc>
          <w:tcPr>
            <w:tcW w:w="2608"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"3 | 3 | 3 — Bajo | Estar atentos y procurar que nadie abandone."</w:t>
            </w:r>
          </w:p>
        </w:tc>
        <w:tc>
          <w:tcPr>
            <w:tcW w:w="150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Trazable</w:t>
            </w:r>
          </w:p>
        </w:tc>
        <w:tc>
          <w:tcPr>
            <w:tcW w:w="2492"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3 × 3 = 9, no 3: el riesgo más grave del plan aparece como bajo, y su mitigación no se puede poner como tarea. Si alguien abandona, nadie más conoce su módulo.</w:t>
            </w:r>
          </w:p>
        </w:tc>
        <w:tc>
          <w:tcPr>
            <w:tcW w:w="3246"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Antes: "3 — Bajo"; "Estar atentos…".</w:t>
            </w:r>
          </w:p>
          <w:p w14:paraId="22DB7613" w14:textId="4104FA5E" w:rsidR="00E66A9C" w:rsidRPr="00E66A9C" w:rsidRDefault="00E66A9C" w:rsidP="00E66A9C">
            <w:pPr>
              <w:spacing w:line="260" w:lineRule="auto"/>
            </w:pPr>
            <w:r>
              <w:rPr>
                <w:color w:val="1F1F1F"/>
                <w:sz w:val="18"/>
                <w:szCs w:val="18"/>
              </w:rPr>
              <w:t xml:space="preserve">Después: "9 — Alto"; "Pair programming en Préstamos y Multas; cada módulo documentado en el wiki del repositorio antes de cerrar la historia; revisión quincenal de la carga de trabajo en la planificación."</w:t>
            </w:r>
          </w:p>
        </w:tc>
        <w:tc>
          <w:tcPr>
            <w:tcW w:w="1854"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sz w:val="18"/>
                <w:szCs w:val="18"/>
              </w:rPr>
              <w:t xml:space="preserve">0.9.6 · 04/10/2026 · Sección 14: riesgo de rotación con exposición 9 (Alto) y mitigación accionable · Autor: Lujan · Revisor: Galvan</w:t>
            </w:r>
          </w:p>
        </w:tc>
      </w:tr>
    </w:tbl>
    <w:p w14:paraId="12E6A8C5" w14:textId="77777777" w:rsidR="0032653D" w:rsidRPr="0032653D" w:rsidRDefault="0032653D" w:rsidP="0032653D">
      <w:pPr>
        <w:spacing w:after="120" w:line="276" w:lineRule="auto" w:before="160"/>
      </w:pPr>
      <w:r>
        <w:rPr>
          <w:b/>
          <w:bCs/>
        </w:rPr>
        <w:t xml:space="preserve">Verificación de la Parte B.</w:t>
      </w:r>
      <w:r>
        <w:t xml:space="preserve"> La versión 1.0 cumple los siete indicadores y su Sección 16 tiene una entrada por cada defecto (0.9.1 a 0.9.6) más la entrada 1.0. </w:t>
      </w:r>
      <w:r>
        <w:rPr>
          <w:b/>
          <w:bCs/>
        </w:rPr>
        <w:t xml:space="preserve">No se agregó funcionalidad ni se cambió el alcance:</w:t>
      </w:r>
      <w:r>
        <w:t xml:space="preserve"> siguen los mismos cuatro casos de uso, los mismos RNF del anexo y los mismos objetivos (≤ 800 ms, 99 %, 80 %, 0 vulnerabilidades). Solo se hicieron verificables.</w:t>
      </w:r>
    </w:p>
    <w:p w14:paraId="12E6A8C5" w14:textId="77777777" w:rsidR="0032653D" w:rsidRPr="0032653D" w:rsidRDefault="0032653D" w:rsidP="0032653D">
      <w:pPr>
        <w:spacing w:after="120" w:line="276" w:lineRule="auto"/>
      </w:pPr>
      <w:r>
        <w:rPr>
          <w:b/>
          <w:bCs/>
        </w:rPr>
        <w:t xml:space="preserve">Partes del plan que se dejaron como estaban</w:t>
      </w:r>
      <w:r>
        <w:t xml:space="preserve"> (cumplen la regla y no son defectos): el SLA de la Sección 8, bien escalonado (2 h y 1 día hábil; 1 y 3 días hábiles; 2 días hábiles y 1 semana; 3 días hábiles y siguiente sprint); los riesgos "Requerimientos ambiguos" (3 × 2 = 6, Alto) y "Datos de prueba con información personal real" (1 × 3 = 3, Medio), bien calculados y con mitigación accionable; y la disponibilidad ≥ 99 % medida con un monitor externo cada 5 minutos (RNF-02).</w:t>
      </w:r>
    </w:p>
    <w:sectPr w:rsidR="007D388D">
      <w:pgSz w:w="15840" w:h="12240" w:orient="landscape"/>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788"/>
    <w:multiLevelType w:val="hybridMultilevel"/>
    <w:tmpl w:val="1ADE1160"/>
    <w:lvl w:ilvl="0" w:tplc="F35C934E">
      <w:start w:val="1"/>
      <w:numFmt w:val="bullet"/>
      <w:lvlText w:val="•"/>
      <w:lvlJc w:val="left"/>
      <w:pPr>
        <w:ind w:left="720" w:hanging="360"/>
      </w:pPr>
    </w:lvl>
    <w:lvl w:ilvl="1" w:tplc="79D695A6">
      <w:numFmt w:val="decimal"/>
      <w:lvlText w:val=""/>
      <w:lvlJc w:val="left"/>
    </w:lvl>
    <w:lvl w:ilvl="2" w:tplc="99E2002E">
      <w:numFmt w:val="decimal"/>
      <w:lvlText w:val=""/>
      <w:lvlJc w:val="left"/>
    </w:lvl>
    <w:lvl w:ilvl="3" w:tplc="5338F824">
      <w:numFmt w:val="decimal"/>
      <w:lvlText w:val=""/>
      <w:lvlJc w:val="left"/>
    </w:lvl>
    <w:lvl w:ilvl="4" w:tplc="354E5AE2">
      <w:numFmt w:val="decimal"/>
      <w:lvlText w:val=""/>
      <w:lvlJc w:val="left"/>
    </w:lvl>
    <w:lvl w:ilvl="5" w:tplc="283CCD6A">
      <w:numFmt w:val="decimal"/>
      <w:lvlText w:val=""/>
      <w:lvlJc w:val="left"/>
    </w:lvl>
    <w:lvl w:ilvl="6" w:tplc="08DE88FE">
      <w:numFmt w:val="decimal"/>
      <w:lvlText w:val=""/>
      <w:lvlJc w:val="left"/>
    </w:lvl>
    <w:lvl w:ilvl="7" w:tplc="12CC80C0">
      <w:numFmt w:val="decimal"/>
      <w:lvlText w:val=""/>
      <w:lvlJc w:val="left"/>
    </w:lvl>
    <w:lvl w:ilvl="8" w:tplc="DB84FCCC">
      <w:numFmt w:val="decimal"/>
      <w:lvlText w:val=""/>
      <w:lvlJc w:val="left"/>
    </w:lvl>
  </w:abstractNum>
  <w:abstractNum w:abstractNumId="1" w15:restartNumberingAfterBreak="0">
    <w:nsid w:val="2B7E3094"/>
    <w:multiLevelType w:val="hybridMultilevel"/>
    <w:tmpl w:val="141A94D8"/>
    <w:lvl w:ilvl="0" w:tplc="88662DE0">
      <w:start w:val="1"/>
      <w:numFmt w:val="bullet"/>
      <w:lvlText w:val="●"/>
      <w:lvlJc w:val="left"/>
      <w:pPr>
        <w:ind w:left="720" w:hanging="360"/>
      </w:pPr>
    </w:lvl>
    <w:lvl w:ilvl="1" w:tplc="5860B8EC">
      <w:start w:val="1"/>
      <w:numFmt w:val="bullet"/>
      <w:lvlText w:val="○"/>
      <w:lvlJc w:val="left"/>
      <w:pPr>
        <w:ind w:left="1440" w:hanging="360"/>
      </w:pPr>
    </w:lvl>
    <w:lvl w:ilvl="2" w:tplc="C9402874">
      <w:start w:val="1"/>
      <w:numFmt w:val="bullet"/>
      <w:lvlText w:val="■"/>
      <w:lvlJc w:val="left"/>
      <w:pPr>
        <w:ind w:left="2160" w:hanging="360"/>
      </w:pPr>
    </w:lvl>
    <w:lvl w:ilvl="3" w:tplc="55F03B36">
      <w:start w:val="1"/>
      <w:numFmt w:val="bullet"/>
      <w:lvlText w:val="●"/>
      <w:lvlJc w:val="left"/>
      <w:pPr>
        <w:ind w:left="2880" w:hanging="360"/>
      </w:pPr>
    </w:lvl>
    <w:lvl w:ilvl="4" w:tplc="D68689FC">
      <w:start w:val="1"/>
      <w:numFmt w:val="bullet"/>
      <w:lvlText w:val="○"/>
      <w:lvlJc w:val="left"/>
      <w:pPr>
        <w:ind w:left="3600" w:hanging="360"/>
      </w:pPr>
    </w:lvl>
    <w:lvl w:ilvl="5" w:tplc="0AE4170C">
      <w:start w:val="1"/>
      <w:numFmt w:val="bullet"/>
      <w:lvlText w:val="■"/>
      <w:lvlJc w:val="left"/>
      <w:pPr>
        <w:ind w:left="4320" w:hanging="360"/>
      </w:pPr>
    </w:lvl>
    <w:lvl w:ilvl="6" w:tplc="6AA80BBA">
      <w:start w:val="1"/>
      <w:numFmt w:val="bullet"/>
      <w:lvlText w:val="●"/>
      <w:lvlJc w:val="left"/>
      <w:pPr>
        <w:ind w:left="5040" w:hanging="360"/>
      </w:pPr>
    </w:lvl>
    <w:lvl w:ilvl="7" w:tplc="2ACEA940">
      <w:start w:val="1"/>
      <w:numFmt w:val="bullet"/>
      <w:lvlText w:val="●"/>
      <w:lvlJc w:val="left"/>
      <w:pPr>
        <w:ind w:left="5760" w:hanging="360"/>
      </w:pPr>
    </w:lvl>
    <w:lvl w:ilvl="8" w:tplc="A6AEE6A8">
      <w:start w:val="1"/>
      <w:numFmt w:val="bullet"/>
      <w:lvlText w:val="●"/>
      <w:lvlJc w:val="left"/>
      <w:pPr>
        <w:ind w:left="6480" w:hanging="360"/>
      </w:pPr>
    </w:lvl>
  </w:abstractNum>
  <w:abstractNum w:abstractNumId="2" w15:restartNumberingAfterBreak="0">
    <w:nsid w:val="67DF1A0E"/>
    <w:multiLevelType w:val="multilevel"/>
    <w:tmpl w:val="636A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17417C"/>
    <w:multiLevelType w:val="multilevel"/>
    <w:tmpl w:val="CAD2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534614">
    <w:abstractNumId w:val="1"/>
    <w:lvlOverride w:ilvl="0">
      <w:startOverride w:val="1"/>
    </w:lvlOverride>
  </w:num>
  <w:num w:numId="2" w16cid:durableId="193349164">
    <w:abstractNumId w:val="3"/>
  </w:num>
  <w:num w:numId="3" w16cid:durableId="281770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CCA"/>
    <w:rsid w:val="000F629E"/>
    <w:rsid w:val="0018407E"/>
    <w:rsid w:val="002A581D"/>
    <w:rsid w:val="0032653D"/>
    <w:rsid w:val="003E6354"/>
    <w:rsid w:val="003F3B09"/>
    <w:rsid w:val="004C790F"/>
    <w:rsid w:val="005E0DD1"/>
    <w:rsid w:val="00635136"/>
    <w:rsid w:val="00746670"/>
    <w:rsid w:val="007D388D"/>
    <w:rsid w:val="008434FC"/>
    <w:rsid w:val="00BE6768"/>
    <w:rsid w:val="00E24CCA"/>
    <w:rsid w:val="00E66A9C"/>
    <w:rsid w:val="00E84E0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4348A"/>
  <w15:docId w15:val="{31D061EC-CEF1-4549-B84A-2270AE51F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32"/>
      <w:szCs w:val="32"/>
    </w:rPr>
  </w:style>
  <w:style w:type="paragraph" w:styleId="Ttulo2">
    <w:name w:val="heading 2"/>
    <w:uiPriority w:val="9"/>
    <w:semiHidden/>
    <w:unhideWhenUsed/>
    <w:qFormat/>
    <w:pPr>
      <w:spacing w:before="260" w:after="120"/>
      <w:outlineLvl w:val="1"/>
    </w:pPr>
    <w:rPr>
      <w:b/>
      <w:bCs/>
      <w:color w:val="1F4E79"/>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Fuerte">
    <w:name w:val="Strong"/>
    <w:basedOn w:val="Fuentedeprrafopredeter"/>
    <w:uiPriority w:val="22"/>
    <w:qFormat/>
    <w:rsid w:val="00E66A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TotalTime>
  <Pages>7</Pages>
  <Words>1662</Words>
  <Characters>9144</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Plantilla SQAP</vt:lpstr>
    </vt:vector>
  </TitlesOfParts>
  <Company/>
  <LinksUpToDate>false</LinksUpToDate>
  <CharactersWithSpaces>10785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SQAP</dc:title>
  <dc:creator>COM450</dc:creator>
  <cp:lastModifiedBy>Joel Porcel</cp:lastModifiedBy>
  <cp:revision>2</cp:revision>
  <cp:lastPrinted>2026-10-05T00:49:00Z</cp:lastPrinted>
  <dcterms:created xsi:type="dcterms:W3CDTF">2026-10-02T10:46:00Z</dcterms:created>
  <dcterms:modified xsi:type="dcterms:W3CDTF">2026-10-05T00:52:00Z</dcterms:modified>
</cp:coreProperties>
</file>