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BIBLIOUSFX v1.0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8"/>
          <w:szCs w:val="28"/>
        </w:rPr>
        <w:t xml:space="preserve">Plan de Aseguramiento de Calidad de Software (SQAP)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767171"/>
          <w:sz w:val="24"/>
          <w:szCs w:val="24"/>
        </w:rPr>
        <w:t xml:space="preserve">Versión del documento: 0.9  ·  Estado: Aprobado por el equipo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767171"/>
          <w:sz w:val="24"/>
          <w:szCs w:val="24"/>
        </w:rPr>
        <w:t xml:space="preserve">Equipo M-07 · Facultad de Ciencia y Tecnología · Gestión II/2026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767171"/>
          <w:sz w:val="24"/>
          <w:szCs w:val="24"/>
        </w:rPr>
        <w:t xml:space="preserve">Conforme a IEEE Std 730-2002 · Modelo de calidad ISO/IEC 25010:2011</w:t>
      </w:r>
    </w:p>
    <w:p>
      <w:pPr>
        <w:spacing w:after="6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Propósito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Este plan cubre el desarrollo de BIBLIOUSFX v1.0, aplicación web de gestión de biblioteca de la Facultad de Ciencia y Tecnología. Abarca las fases de requerimientos, diseño, construcción y pruebas de los casos de uso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Buscar libro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Registrar préstamo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Registrar devolución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Calcular multa</w:t>
      </w:r>
      <w:r>
        <w:rPr>
          <w:rFonts w:ascii="Calibri" w:cs="Calibri" w:eastAsia="Calibri" w:hAnsi="Calibri"/>
          <w:sz w:val="22"/>
          <w:szCs w:val="22"/>
        </w:rPr>
        <w:t xml:space="preserve">, durante la Gestión II/2026.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El sistema se clasifica en 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nivel de integridad 2</w:t>
      </w:r>
      <w:r>
        <w:rPr>
          <w:rFonts w:ascii="Calibri" w:cs="Calibri" w:eastAsia="Calibri" w:hAnsi="Calibri"/>
          <w:sz w:val="22"/>
          <w:szCs w:val="22"/>
        </w:rPr>
        <w:t xml:space="preserve"> (esquema de IEEE 1012): su falla causa inconveniencia operativa a estudiantes y bibliotecarios, pero no pérdida de vidas ni daño económico mayor. Los módulos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Préstamos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Multas</w:t>
      </w:r>
      <w:r>
        <w:rPr>
          <w:rFonts w:ascii="Calibri" w:cs="Calibri" w:eastAsia="Calibri" w:hAnsi="Calibri"/>
          <w:sz w:val="22"/>
          <w:szCs w:val="22"/>
        </w:rPr>
        <w:t xml:space="preserve"> se consideran críticos dentro del sistema porque afectan registros académicos y montos cobrados.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Documentos de referencia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6"/>
        <w:gridCol w:w="6964"/>
        <w:gridCol w:w="1650"/>
      </w:tblGrid>
      <w:tr>
        <w:trPr>
          <w:cantSplit/>
          <w:tblHeader/>
        </w:trPr>
        <w:tc>
          <w:tcPr>
            <w:tcW w:type="dxa" w:w="1466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Código</w:t>
            </w:r>
          </w:p>
        </w:tc>
        <w:tc>
          <w:tcPr>
            <w:tcW w:type="dxa" w:w="6964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Documento</w:t>
            </w:r>
          </w:p>
        </w:tc>
        <w:tc>
          <w:tcPr>
            <w:tcW w:type="dxa" w:w="1650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Versión</w:t>
            </w:r>
          </w:p>
        </w:tc>
      </w:tr>
      <w:tr>
        <w:trPr>
          <w:cantSplit/>
          <w:tblHeader w:val="false"/>
        </w:trPr>
        <w:tc>
          <w:tcPr>
            <w:tcW w:type="dxa" w:w="1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SRS</w:t>
            </w:r>
          </w:p>
        </w:tc>
        <w:tc>
          <w:tcPr>
            <w:tcW w:type="dxa" w:w="6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Especificación de requerimientos de BIBLIOUSFX (extracto de RNF en el Anexo)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1.2</w:t>
            </w:r>
          </w:p>
        </w:tc>
      </w:tr>
      <w:tr>
        <w:trPr>
          <w:cantSplit/>
          <w:tblHeader w:val="false"/>
        </w:trPr>
        <w:tc>
          <w:tcPr>
            <w:tcW w:type="dxa" w:w="1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SAD</w:t>
            </w:r>
          </w:p>
        </w:tc>
        <w:tc>
          <w:tcPr>
            <w:tcW w:type="dxa" w:w="6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Documento de arquitectura: Spring Boot 3.3 + PostgreSQL 16 + React 18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1.0</w:t>
            </w:r>
          </w:p>
        </w:tc>
      </w:tr>
      <w:tr>
        <w:trPr>
          <w:cantSplit/>
          <w:tblHeader w:val="false"/>
        </w:trPr>
        <w:tc>
          <w:tcPr>
            <w:tcW w:type="dxa" w:w="1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IEEE 730</w:t>
            </w:r>
          </w:p>
        </w:tc>
        <w:tc>
          <w:tcPr>
            <w:tcW w:type="dxa" w:w="6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IEEE Std 730-2002, Software Quality Assurance Plans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2002</w:t>
            </w:r>
          </w:p>
        </w:tc>
      </w:tr>
      <w:tr>
        <w:trPr>
          <w:cantSplit/>
          <w:tblHeader w:val="false"/>
        </w:trPr>
        <w:tc>
          <w:tcPr>
            <w:tcW w:type="dxa" w:w="1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ISO 25010</w:t>
            </w:r>
          </w:p>
        </w:tc>
        <w:tc>
          <w:tcPr>
            <w:tcW w:type="dxa" w:w="6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ISO/IEC 25010:2011, modelo de calidad del producto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2011</w:t>
            </w:r>
          </w:p>
        </w:tc>
      </w:tr>
      <w:tr>
        <w:trPr>
          <w:cantSplit/>
          <w:tblHeader w:val="false"/>
        </w:trPr>
        <w:tc>
          <w:tcPr>
            <w:tcW w:type="dxa" w:w="1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IEEE 1028</w:t>
            </w:r>
          </w:p>
        </w:tc>
        <w:tc>
          <w:tcPr>
            <w:tcW w:type="dxa" w:w="6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IEEE Std 1028, Software Reviews and Audits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2008</w:t>
            </w:r>
          </w:p>
        </w:tc>
      </w:tr>
      <w:tr>
        <w:trPr>
          <w:cantSplit/>
          <w:tblHeader w:val="false"/>
        </w:trPr>
        <w:tc>
          <w:tcPr>
            <w:tcW w:type="dxa" w:w="1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ESTILO</w:t>
            </w:r>
          </w:p>
        </w:tc>
        <w:tc>
          <w:tcPr>
            <w:tcW w:type="dxa" w:w="6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Google Java Style Guide; Airbnb JavaScript Style Guide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Gestión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El equipo M-07 tiene cuatro integrantes con roles explícitos. Cada integrante tiene más de un rol por el tamaño del equipo.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82"/>
        <w:gridCol w:w="5131"/>
        <w:gridCol w:w="2567"/>
      </w:tblGrid>
      <w:tr>
        <w:trPr>
          <w:cantSplit/>
          <w:tblHeader/>
        </w:trPr>
        <w:tc>
          <w:tcPr>
            <w:tcW w:type="dxa" w:w="2382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Rol</w:t>
            </w:r>
          </w:p>
        </w:tc>
        <w:tc>
          <w:tcPr>
            <w:tcW w:type="dxa" w:w="5131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Responsabilidad principal</w:t>
            </w:r>
          </w:p>
        </w:tc>
        <w:tc>
          <w:tcPr>
            <w:tcW w:type="dxa" w:w="2567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Integrante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Líder de proyecto</w:t>
            </w:r>
          </w:p>
        </w:tc>
        <w:tc>
          <w:tcPr>
            <w:tcW w:type="dxa" w:w="51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Coordinación, cronograma, comunicación con el docente</w:t>
            </w:r>
          </w:p>
        </w:tc>
        <w:tc>
          <w:tcPr>
            <w:tcW w:type="dxa" w:w="25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Ana Quispe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Arquitecto</w:t>
            </w:r>
          </w:p>
        </w:tc>
        <w:tc>
          <w:tcPr>
            <w:tcW w:type="dxa" w:w="51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Decisiones de arquitectura (ADR), revisión de diseño</w:t>
            </w:r>
          </w:p>
        </w:tc>
        <w:tc>
          <w:tcPr>
            <w:tcW w:type="dxa" w:w="25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Bruno Mamani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Responsable SQA</w:t>
            </w:r>
          </w:p>
        </w:tc>
        <w:tc>
          <w:tcPr>
            <w:tcW w:type="dxa" w:w="51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Plan SQA, métricas, auditorías, aprobación de pull requests de los módulos críticos</w:t>
            </w:r>
          </w:p>
        </w:tc>
        <w:tc>
          <w:tcPr>
            <w:tcW w:type="dxa" w:w="25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Carla Flores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Desarrollador backend</w:t>
            </w:r>
          </w:p>
        </w:tc>
        <w:tc>
          <w:tcPr>
            <w:tcW w:type="dxa" w:w="51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API REST y pruebas JUnit de los módulos Préstamos y Multas</w:t>
            </w:r>
          </w:p>
        </w:tc>
        <w:tc>
          <w:tcPr>
            <w:tcW w:type="dxa" w:w="25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Carla Flores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Desarrollador frontend y tester</w:t>
            </w:r>
          </w:p>
        </w:tc>
        <w:tc>
          <w:tcPr>
            <w:tcW w:type="dxa" w:w="51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Interfaz React, pruebas Cypress y JMeter</w:t>
            </w:r>
          </w:p>
        </w:tc>
        <w:tc>
          <w:tcPr>
            <w:tcW w:type="dxa" w:w="25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Diego Choque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La Responsable SQA conoce mejor que nadie los módulos críticos, porque los desarrolla, lo que agiliza las revisiones.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Documentación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9"/>
        <w:gridCol w:w="2290"/>
        <w:gridCol w:w="1832"/>
        <w:gridCol w:w="3209"/>
      </w:tblGrid>
      <w:tr>
        <w:trPr>
          <w:cantSplit/>
          <w:tblHeader/>
        </w:trPr>
        <w:tc>
          <w:tcPr>
            <w:tcW w:type="dxa" w:w="2749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Documento</w:t>
            </w:r>
          </w:p>
        </w:tc>
        <w:tc>
          <w:tcPr>
            <w:tcW w:type="dxa" w:w="2290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Responsable</w:t>
            </w:r>
          </w:p>
        </w:tc>
        <w:tc>
          <w:tcPr>
            <w:tcW w:type="dxa" w:w="1832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Fecha</w:t>
            </w:r>
          </w:p>
        </w:tc>
        <w:tc>
          <w:tcPr>
            <w:tcW w:type="dxa" w:w="3209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Tipo de revisión</w:t>
            </w:r>
          </w:p>
        </w:tc>
      </w:tr>
      <w:tr>
        <w:trPr>
          <w:cantSplit/>
          <w:tblHeader w:val="false"/>
        </w:trPr>
        <w:tc>
          <w:tcPr>
            <w:tcW w:type="dxa" w:w="2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SRS 1.2</w:t>
            </w:r>
          </w:p>
        </w:tc>
        <w:tc>
          <w:tcPr>
            <w:tcW w:type="dxa" w:w="22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Ana Quispe</w:t>
            </w:r>
          </w:p>
        </w:tc>
        <w:tc>
          <w:tcPr>
            <w:tcW w:type="dxa" w:w="18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Semana 1</w:t>
            </w:r>
          </w:p>
        </w:tc>
        <w:tc>
          <w:tcPr>
            <w:tcW w:type="dxa" w:w="32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Revisión con el cliente + inspección Fagan</w:t>
            </w:r>
          </w:p>
        </w:tc>
      </w:tr>
      <w:tr>
        <w:trPr>
          <w:cantSplit/>
          <w:tblHeader w:val="false"/>
        </w:trPr>
        <w:tc>
          <w:tcPr>
            <w:tcW w:type="dxa" w:w="2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SAD 1.0</w:t>
            </w:r>
          </w:p>
        </w:tc>
        <w:tc>
          <w:tcPr>
            <w:tcW w:type="dxa" w:w="22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Bruno Mamani</w:t>
            </w:r>
          </w:p>
        </w:tc>
        <w:tc>
          <w:tcPr>
            <w:tcW w:type="dxa" w:w="18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Semana 2</w:t>
            </w:r>
          </w:p>
        </w:tc>
        <w:tc>
          <w:tcPr>
            <w:tcW w:type="dxa" w:w="32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Inspección Fagan</w:t>
            </w:r>
          </w:p>
        </w:tc>
      </w:tr>
      <w:tr>
        <w:trPr>
          <w:cantSplit/>
          <w:tblHeader w:val="false"/>
        </w:trPr>
        <w:tc>
          <w:tcPr>
            <w:tcW w:type="dxa" w:w="2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Manual de usuario</w:t>
            </w:r>
          </w:p>
        </w:tc>
        <w:tc>
          <w:tcPr>
            <w:tcW w:type="dxa" w:w="22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Diego Choque</w:t>
            </w:r>
          </w:p>
        </w:tc>
        <w:tc>
          <w:tcPr>
            <w:tcW w:type="dxa" w:w="18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Semana 7</w:t>
            </w:r>
          </w:p>
        </w:tc>
        <w:tc>
          <w:tcPr>
            <w:tcW w:type="dxa" w:w="32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Revisión técnica</w:t>
            </w:r>
          </w:p>
        </w:tc>
      </w:tr>
      <w:tr>
        <w:trPr>
          <w:cantSplit/>
          <w:tblHeader w:val="false"/>
        </w:trPr>
        <w:tc>
          <w:tcPr>
            <w:tcW w:type="dxa" w:w="2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Informe de pruebas</w:t>
            </w:r>
          </w:p>
        </w:tc>
        <w:tc>
          <w:tcPr>
            <w:tcW w:type="dxa" w:w="22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Diego Choque</w:t>
            </w:r>
          </w:p>
        </w:tc>
        <w:tc>
          <w:tcPr>
            <w:tcW w:type="dxa" w:w="18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Cada release</w:t>
            </w:r>
          </w:p>
        </w:tc>
        <w:tc>
          <w:tcPr>
            <w:tcW w:type="dxa" w:w="32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Auditoría SQA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Estándares, prácticas, convenciones y métricas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Java sigue Google Java Style Guide y JavaScript sigue Airbnb JavaScript Style Guide, verificados por SonarQube. Las clases de prueba terminan en </w:t>
      </w:r>
      <w:r>
        <w:rPr>
          <w:rFonts w:ascii="Consolas" w:cs="Consolas" w:eastAsia="Consolas" w:hAnsi="Consolas"/>
          <w:sz w:val="20"/>
          <w:szCs w:val="20"/>
        </w:rPr>
        <w:t xml:space="preserve">Test</w:t>
      </w:r>
      <w:r>
        <w:rPr>
          <w:rFonts w:ascii="Calibri" w:cs="Calibri" w:eastAsia="Calibri" w:hAnsi="Calibri"/>
          <w:sz w:val="22"/>
          <w:szCs w:val="22"/>
        </w:rPr>
        <w:t xml:space="preserve"> y sus métodos describen el comportamiento esperado (</w:t>
      </w:r>
      <w:r>
        <w:rPr>
          <w:rFonts w:ascii="Consolas" w:cs="Consolas" w:eastAsia="Consolas" w:hAnsi="Consolas"/>
          <w:sz w:val="20"/>
          <w:szCs w:val="20"/>
        </w:rPr>
        <w:t xml:space="preserve">multaSeCalculaPorDiaDeRetraso</w:t>
      </w:r>
      <w:r>
        <w:rPr>
          <w:rFonts w:ascii="Calibri" w:cs="Calibri" w:eastAsia="Calibri" w:hAnsi="Calibri"/>
          <w:sz w:val="22"/>
          <w:szCs w:val="22"/>
        </w:rPr>
        <w:t xml:space="preserve">). Endpoints en plural y minúsculas (</w:t>
      </w:r>
      <w:r>
        <w:rPr>
          <w:rFonts w:ascii="Consolas" w:cs="Consolas" w:eastAsia="Consolas" w:hAnsi="Consolas"/>
          <w:sz w:val="20"/>
          <w:szCs w:val="20"/>
        </w:rPr>
        <w:t xml:space="preserve">/api/libros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/api/prestamos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2"/>
        <w:gridCol w:w="2565"/>
        <w:gridCol w:w="3115"/>
        <w:gridCol w:w="1466"/>
        <w:gridCol w:w="1102"/>
      </w:tblGrid>
      <w:tr>
        <w:trPr>
          <w:cantSplit/>
          <w:tblHeader/>
        </w:trPr>
        <w:tc>
          <w:tcPr>
            <w:tcW w:type="dxa" w:w="1832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Característica</w:t>
            </w:r>
          </w:p>
        </w:tc>
        <w:tc>
          <w:tcPr>
            <w:tcW w:type="dxa" w:w="2565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Métrica</w:t>
            </w:r>
          </w:p>
        </w:tc>
        <w:tc>
          <w:tcPr>
            <w:tcW w:type="dxa" w:w="3115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Instrumento, condiciones y momento</w:t>
            </w:r>
          </w:p>
        </w:tc>
        <w:tc>
          <w:tcPr>
            <w:tcW w:type="dxa" w:w="1466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Objetivo</w:t>
            </w:r>
          </w:p>
        </w:tc>
        <w:tc>
          <w:tcPr>
            <w:tcW w:type="dxa" w:w="1102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RNF</w:t>
            </w:r>
          </w:p>
        </w:tc>
      </w:tr>
      <w:tr>
        <w:trPr>
          <w:cantSplit/>
          <w:tblHeader w:val="false"/>
        </w:trPr>
        <w:tc>
          <w:tcPr>
            <w:tcW w:type="dxa" w:w="18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Adecuación funcional</w:t>
            </w:r>
          </w:p>
        </w:tc>
        <w:tc>
          <w:tcPr>
            <w:tcW w:type="dxa" w:w="25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% de casos de prueba de Multas que pasan</w:t>
            </w:r>
          </w:p>
        </w:tc>
        <w:tc>
          <w:tcPr>
            <w:tcW w:type="dxa" w:w="31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JUnit 5, en cada build del pipeline</w:t>
            </w:r>
          </w:p>
        </w:tc>
        <w:tc>
          <w:tcPr>
            <w:tcW w:type="dxa" w:w="1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100 %</w:t>
            </w:r>
          </w:p>
        </w:tc>
        <w:tc>
          <w:tcPr>
            <w:tcW w:type="dxa" w:w="11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RNF-06</w:t>
            </w:r>
          </w:p>
        </w:tc>
      </w:tr>
      <w:tr>
        <w:trPr>
          <w:cantSplit/>
          <w:tblHeader w:val="false"/>
        </w:trPr>
        <w:tc>
          <w:tcPr>
            <w:tcW w:type="dxa" w:w="18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Eficiencia de desempeño</w:t>
            </w:r>
          </w:p>
        </w:tc>
        <w:tc>
          <w:tcPr>
            <w:tcW w:type="dxa" w:w="25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Percentil 95 del tiempo de respuesta de la búsqueda</w:t>
            </w:r>
          </w:p>
        </w:tc>
        <w:tc>
          <w:tcPr>
            <w:tcW w:type="dxa" w:w="31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Verificado por el equipo navegando el sistema durante la demo final</w:t>
            </w:r>
          </w:p>
        </w:tc>
        <w:tc>
          <w:tcPr>
            <w:tcW w:type="dxa" w:w="1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≤ 800 ms</w:t>
            </w:r>
          </w:p>
        </w:tc>
        <w:tc>
          <w:tcPr>
            <w:tcW w:type="dxa" w:w="11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RNF-01</w:t>
            </w:r>
          </w:p>
        </w:tc>
      </w:tr>
      <w:tr>
        <w:trPr>
          <w:cantSplit/>
          <w:tblHeader w:val="false"/>
        </w:trPr>
        <w:tc>
          <w:tcPr>
            <w:tcW w:type="dxa" w:w="18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Usabilidad</w:t>
            </w:r>
          </w:p>
        </w:tc>
        <w:tc>
          <w:tcPr>
            <w:tcW w:type="dxa" w:w="25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 interfaz debe ser intuitiva y amigable para los usuarios</w:t>
            </w:r>
          </w:p>
        </w:tc>
        <w:tc>
          <w:tcPr>
            <w:tcW w:type="dxa" w:w="31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Opinión del equipo</w:t>
            </w:r>
          </w:p>
        </w:tc>
        <w:tc>
          <w:tcPr>
            <w:tcW w:type="dxa" w:w="1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Alta</w:t>
            </w:r>
          </w:p>
        </w:tc>
        <w:tc>
          <w:tcPr>
            <w:tcW w:type="dxa" w:w="11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RNF-03</w:t>
            </w:r>
          </w:p>
        </w:tc>
      </w:tr>
      <w:tr>
        <w:trPr>
          <w:cantSplit/>
          <w:tblHeader w:val="false"/>
        </w:trPr>
        <w:tc>
          <w:tcPr>
            <w:tcW w:type="dxa" w:w="18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Fiabilidad</w:t>
            </w:r>
          </w:p>
        </w:tc>
        <w:tc>
          <w:tcPr>
            <w:tcW w:type="dxa" w:w="25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Disponibilidad mensual en horario de servicio</w:t>
            </w:r>
          </w:p>
        </w:tc>
        <w:tc>
          <w:tcPr>
            <w:tcW w:type="dxa" w:w="31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Monitor externo cada 5 minutos, informe mensual</w:t>
            </w:r>
          </w:p>
        </w:tc>
        <w:tc>
          <w:tcPr>
            <w:tcW w:type="dxa" w:w="1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≥ 99,0 %</w:t>
            </w:r>
          </w:p>
        </w:tc>
        <w:tc>
          <w:tcPr>
            <w:tcW w:type="dxa" w:w="11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RNF-02</w:t>
            </w:r>
          </w:p>
        </w:tc>
      </w:tr>
      <w:tr>
        <w:trPr>
          <w:cantSplit/>
          <w:tblHeader w:val="false"/>
        </w:trPr>
        <w:tc>
          <w:tcPr>
            <w:tcW w:type="dxa" w:w="18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Seguridad</w:t>
            </w:r>
          </w:p>
        </w:tc>
        <w:tc>
          <w:tcPr>
            <w:tcW w:type="dxa" w:w="25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Vulnerabilidades altas o críticas</w:t>
            </w:r>
          </w:p>
        </w:tc>
        <w:tc>
          <w:tcPr>
            <w:tcW w:type="dxa" w:w="31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SonarQube y Dependabot en cada pull request</w:t>
            </w:r>
          </w:p>
        </w:tc>
        <w:tc>
          <w:tcPr>
            <w:tcW w:type="dxa" w:w="1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</w:t>
            </w:r>
          </w:p>
        </w:tc>
        <w:tc>
          <w:tcPr>
            <w:tcW w:type="dxa" w:w="11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RNF-04</w:t>
            </w:r>
          </w:p>
        </w:tc>
      </w:tr>
      <w:tr>
        <w:trPr>
          <w:cantSplit/>
          <w:tblHeader w:val="false"/>
        </w:trPr>
        <w:tc>
          <w:tcPr>
            <w:tcW w:type="dxa" w:w="18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Mantenibilidad</w:t>
            </w:r>
          </w:p>
        </w:tc>
        <w:tc>
          <w:tcPr>
            <w:tcW w:type="dxa" w:w="25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Cobertura de líneas de Préstamos y Multas</w:t>
            </w:r>
          </w:p>
        </w:tc>
        <w:tc>
          <w:tcPr>
            <w:tcW w:type="dxa" w:w="31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JaCoCo en cada build</w:t>
            </w:r>
          </w:p>
        </w:tc>
        <w:tc>
          <w:tcPr>
            <w:tcW w:type="dxa" w:w="1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≥ 80 %</w:t>
            </w:r>
          </w:p>
        </w:tc>
        <w:tc>
          <w:tcPr>
            <w:tcW w:type="dxa" w:w="11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RNF-05</w:t>
            </w:r>
          </w:p>
        </w:tc>
      </w:tr>
      <w:tr>
        <w:trPr>
          <w:cantSplit/>
          <w:tblHeader w:val="false"/>
        </w:trPr>
        <w:tc>
          <w:tcPr>
            <w:tcW w:type="dxa" w:w="18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Mantenibilidad</w:t>
            </w:r>
          </w:p>
        </w:tc>
        <w:tc>
          <w:tcPr>
            <w:tcW w:type="dxa" w:w="25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Deuda técnica</w:t>
            </w:r>
          </w:p>
        </w:tc>
        <w:tc>
          <w:tcPr>
            <w:tcW w:type="dxa" w:w="31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SonarQube en cada build</w:t>
            </w:r>
          </w:p>
        </w:tc>
        <w:tc>
          <w:tcPr>
            <w:tcW w:type="dxa" w:w="1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&lt; 5 días-persona</w:t>
            </w:r>
          </w:p>
        </w:tc>
        <w:tc>
          <w:tcPr>
            <w:tcW w:type="dxa" w:w="11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RNF-05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Revisiones de software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1557"/>
        <w:gridCol w:w="1282"/>
        <w:gridCol w:w="2749"/>
        <w:gridCol w:w="2476"/>
      </w:tblGrid>
      <w:tr>
        <w:trPr>
          <w:cantSplit/>
          <w:tblHeader/>
        </w:trPr>
        <w:tc>
          <w:tcPr>
            <w:tcW w:type="dxa" w:w="2016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Revisión</w:t>
            </w:r>
          </w:p>
        </w:tc>
        <w:tc>
          <w:tcPr>
            <w:tcW w:type="dxa" w:w="1557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Artefacto</w:t>
            </w:r>
          </w:p>
        </w:tc>
        <w:tc>
          <w:tcPr>
            <w:tcW w:type="dxa" w:w="1282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Cuándo</w:t>
            </w:r>
          </w:p>
        </w:tc>
        <w:tc>
          <w:tcPr>
            <w:tcW w:type="dxa" w:w="2749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Quién revisa</w:t>
            </w:r>
          </w:p>
        </w:tc>
        <w:tc>
          <w:tcPr>
            <w:tcW w:type="dxa" w:w="2476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Criterio de aceptación</w:t>
            </w:r>
          </w:p>
        </w:tc>
      </w:tr>
      <w:tr>
        <w:trPr>
          <w:cantSplit/>
          <w:tblHeader w:val="false"/>
        </w:trPr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Revisión de requerimientos</w:t>
            </w:r>
          </w:p>
        </w:tc>
        <w:tc>
          <w:tcPr>
            <w:tcW w:type="dxa" w:w="1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SRS</w:t>
            </w:r>
          </w:p>
        </w:tc>
        <w:tc>
          <w:tcPr>
            <w:tcW w:type="dxa" w:w="12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Semana 1</w:t>
            </w:r>
          </w:p>
        </w:tc>
        <w:tc>
          <w:tcPr>
            <w:tcW w:type="dxa" w:w="2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Cliente, Arquitecto, SQA</w:t>
            </w:r>
          </w:p>
        </w:tc>
        <w:tc>
          <w:tcPr>
            <w:tcW w:type="dxa" w:w="24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Cada RNF tiene criterio verificable</w:t>
            </w:r>
          </w:p>
        </w:tc>
      </w:tr>
      <w:tr>
        <w:trPr>
          <w:cantSplit/>
          <w:tblHeader w:val="false"/>
        </w:trPr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Inspección Fagan</w:t>
            </w:r>
          </w:p>
        </w:tc>
        <w:tc>
          <w:tcPr>
            <w:tcW w:type="dxa" w:w="1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SAD</w:t>
            </w:r>
          </w:p>
        </w:tc>
        <w:tc>
          <w:tcPr>
            <w:tcW w:type="dxa" w:w="12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Semana 2</w:t>
            </w:r>
          </w:p>
        </w:tc>
        <w:tc>
          <w:tcPr>
            <w:tcW w:type="dxa" w:w="2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Moderadora: Carla Flores; inspectores: Ana y Diego</w:t>
            </w:r>
          </w:p>
        </w:tc>
        <w:tc>
          <w:tcPr>
            <w:tcW w:type="dxa" w:w="24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 defectos mayores abiertos</w:t>
            </w:r>
          </w:p>
        </w:tc>
      </w:tr>
      <w:tr>
        <w:trPr>
          <w:cantSplit/>
          <w:tblHeader w:val="false"/>
        </w:trPr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Revisión de código</w:t>
            </w:r>
          </w:p>
        </w:tc>
        <w:tc>
          <w:tcPr>
            <w:tcW w:type="dxa" w:w="1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Pull request</w:t>
            </w:r>
          </w:p>
        </w:tc>
        <w:tc>
          <w:tcPr>
            <w:tcW w:type="dxa" w:w="12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Cada PR</w:t>
            </w:r>
          </w:p>
        </w:tc>
        <w:tc>
          <w:tcPr>
            <w:tcW w:type="dxa" w:w="2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Responsable SQA (módulos críticos); otro integrante (resto)</w:t>
            </w:r>
          </w:p>
        </w:tc>
        <w:tc>
          <w:tcPr>
            <w:tcW w:type="dxa" w:w="24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Lista de verificación de PR completa; Quality Gate en verde</w:t>
            </w:r>
          </w:p>
        </w:tc>
      </w:tr>
      <w:tr>
        <w:trPr>
          <w:cantSplit/>
          <w:tblHeader w:val="false"/>
        </w:trPr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Auditoría de cierre</w:t>
            </w:r>
          </w:p>
        </w:tc>
        <w:tc>
          <w:tcPr>
            <w:tcW w:type="dxa" w:w="1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Cumplimiento del SQAP</w:t>
            </w:r>
          </w:p>
        </w:tc>
        <w:tc>
          <w:tcPr>
            <w:tcW w:type="dxa" w:w="12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Semana 8</w:t>
            </w:r>
          </w:p>
        </w:tc>
        <w:tc>
          <w:tcPr>
            <w:tcW w:type="dxa" w:w="2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Responsable SQA y docente</w:t>
            </w:r>
          </w:p>
        </w:tc>
        <w:tc>
          <w:tcPr>
            <w:tcW w:type="dxa" w:w="24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Siete indicadores de la regla cumplidos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7. Pruebas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6"/>
        <w:gridCol w:w="3298"/>
        <w:gridCol w:w="1832"/>
        <w:gridCol w:w="3484"/>
      </w:tblGrid>
      <w:tr>
        <w:trPr>
          <w:cantSplit/>
          <w:tblHeader/>
        </w:trPr>
        <w:tc>
          <w:tcPr>
            <w:tcW w:type="dxa" w:w="1466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Nivel</w:t>
            </w:r>
          </w:p>
        </w:tc>
        <w:tc>
          <w:tcPr>
            <w:tcW w:type="dxa" w:w="3298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Técnica y herramienta</w:t>
            </w:r>
          </w:p>
        </w:tc>
        <w:tc>
          <w:tcPr>
            <w:tcW w:type="dxa" w:w="1832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Responsable</w:t>
            </w:r>
          </w:p>
        </w:tc>
        <w:tc>
          <w:tcPr>
            <w:tcW w:type="dxa" w:w="3484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Criterio de salida</w:t>
            </w:r>
          </w:p>
        </w:tc>
      </w:tr>
      <w:tr>
        <w:trPr>
          <w:cantSplit/>
          <w:tblHeader w:val="false"/>
        </w:trPr>
        <w:tc>
          <w:tcPr>
            <w:tcW w:type="dxa" w:w="1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Unitario</w:t>
            </w:r>
          </w:p>
        </w:tc>
        <w:tc>
          <w:tcPr>
            <w:tcW w:type="dxa" w:w="32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TDD obligatorio en Préstamos y Multas; JUnit 5 + JaCoCo</w:t>
            </w:r>
          </w:p>
        </w:tc>
        <w:tc>
          <w:tcPr>
            <w:tcW w:type="dxa" w:w="18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Desarrolladores</w:t>
            </w:r>
          </w:p>
        </w:tc>
        <w:tc>
          <w:tcPr>
            <w:tcW w:type="dxa" w:w="34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100 % en verde; cobertura de líneas ≥ 80 % en Préstamos y Multas, ≥ 60 % global</w:t>
            </w:r>
          </w:p>
        </w:tc>
      </w:tr>
      <w:tr>
        <w:trPr>
          <w:cantSplit/>
          <w:tblHeader w:val="false"/>
        </w:trPr>
        <w:tc>
          <w:tcPr>
            <w:tcW w:type="dxa" w:w="1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Integración</w:t>
            </w:r>
          </w:p>
        </w:tc>
        <w:tc>
          <w:tcPr>
            <w:tcW w:type="dxa" w:w="32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Pruebas de API con Testcontainers (PostgreSQL)</w:t>
            </w:r>
          </w:p>
        </w:tc>
        <w:tc>
          <w:tcPr>
            <w:tcW w:type="dxa" w:w="18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Desarrolladores</w:t>
            </w:r>
          </w:p>
        </w:tc>
        <w:tc>
          <w:tcPr>
            <w:tcW w:type="dxa" w:w="34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 fallos</w:t>
            </w:r>
          </w:p>
        </w:tc>
      </w:tr>
      <w:tr>
        <w:trPr>
          <w:cantSplit/>
          <w:tblHeader w:val="false"/>
        </w:trPr>
        <w:tc>
          <w:tcPr>
            <w:tcW w:type="dxa" w:w="1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Sistema</w:t>
            </w:r>
          </w:p>
        </w:tc>
        <w:tc>
          <w:tcPr>
            <w:tcW w:type="dxa" w:w="32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E2E con Cypress; carga con JMeter</w:t>
            </w:r>
          </w:p>
        </w:tc>
        <w:tc>
          <w:tcPr>
            <w:tcW w:type="dxa" w:w="18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Diego Choque</w:t>
            </w:r>
          </w:p>
        </w:tc>
        <w:tc>
          <w:tcPr>
            <w:tcW w:type="dxa" w:w="34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Escenarios críticos en verde; objetivos de la Sección 5 cumplidos</w:t>
            </w:r>
          </w:p>
        </w:tc>
      </w:tr>
      <w:tr>
        <w:trPr>
          <w:cantSplit/>
          <w:tblHeader w:val="false"/>
        </w:trPr>
        <w:tc>
          <w:tcPr>
            <w:tcW w:type="dxa" w:w="1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Aceptación</w:t>
            </w:r>
          </w:p>
        </w:tc>
        <w:tc>
          <w:tcPr>
            <w:tcW w:type="dxa" w:w="32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Escenarios con la bibliotecaria; prueba de usabilidad</w:t>
            </w:r>
          </w:p>
        </w:tc>
        <w:tc>
          <w:tcPr>
            <w:tcW w:type="dxa" w:w="18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Ana Quispe</w:t>
            </w:r>
          </w:p>
        </w:tc>
        <w:tc>
          <w:tcPr>
            <w:tcW w:type="dxa" w:w="34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 defectos S1 o S2 abiertos; acta firmada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8. Reporte de problemas y acción correctiva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Los defectos se registran como issues de GitHub con la plantilla del equipo. Estados: nuevo → asignado → en progreso → resuelto → verificado → cerrado; desde verificado o cerrado puede pasar a reabierto. La severidad la fija la Responsable SQA; la prioridad, la líder de proyecto.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2"/>
        <w:gridCol w:w="4215"/>
        <w:gridCol w:w="2016"/>
        <w:gridCol w:w="2017"/>
      </w:tblGrid>
      <w:tr>
        <w:trPr>
          <w:cantSplit/>
          <w:tblHeader/>
        </w:trPr>
        <w:tc>
          <w:tcPr>
            <w:tcW w:type="dxa" w:w="1832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Severidad</w:t>
            </w:r>
          </w:p>
        </w:tc>
        <w:tc>
          <w:tcPr>
            <w:tcW w:type="dxa" w:w="4215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Definición</w:t>
            </w:r>
          </w:p>
        </w:tc>
        <w:tc>
          <w:tcPr>
            <w:tcW w:type="dxa" w:w="2016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Respuesta</w:t>
            </w:r>
          </w:p>
        </w:tc>
        <w:tc>
          <w:tcPr>
            <w:tcW w:type="dxa" w:w="2017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Resolución</w:t>
            </w:r>
          </w:p>
        </w:tc>
      </w:tr>
      <w:tr>
        <w:trPr>
          <w:cantSplit/>
          <w:tblHeader w:val="false"/>
        </w:trPr>
        <w:tc>
          <w:tcPr>
            <w:tcW w:type="dxa" w:w="18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Crítica (S1)</w:t>
            </w:r>
          </w:p>
        </w:tc>
        <w:tc>
          <w:tcPr>
            <w:tcW w:type="dxa" w:w="42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Sistema inusable o pérdida de datos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 horas</w:t>
            </w:r>
          </w:p>
        </w:tc>
        <w:tc>
          <w:tcPr>
            <w:tcW w:type="dxa" w:w="20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día hábil</w:t>
            </w:r>
          </w:p>
        </w:tc>
      </w:tr>
      <w:tr>
        <w:trPr>
          <w:cantSplit/>
          <w:tblHeader w:val="false"/>
        </w:trPr>
        <w:tc>
          <w:tcPr>
            <w:tcW w:type="dxa" w:w="18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Alta (S2)</w:t>
            </w:r>
          </w:p>
        </w:tc>
        <w:tc>
          <w:tcPr>
            <w:tcW w:type="dxa" w:w="42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Funcionalidad principal afectada sin alternativa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día hábil</w:t>
            </w:r>
          </w:p>
        </w:tc>
        <w:tc>
          <w:tcPr>
            <w:tcW w:type="dxa" w:w="20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 días hábiles</w:t>
            </w:r>
          </w:p>
        </w:tc>
      </w:tr>
      <w:tr>
        <w:trPr>
          <w:cantSplit/>
          <w:tblHeader w:val="false"/>
        </w:trPr>
        <w:tc>
          <w:tcPr>
            <w:tcW w:type="dxa" w:w="18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Media (S3)</w:t>
            </w:r>
          </w:p>
        </w:tc>
        <w:tc>
          <w:tcPr>
            <w:tcW w:type="dxa" w:w="42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Funcionalidad secundaria afectada o con alternativa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 días hábiles</w:t>
            </w:r>
          </w:p>
        </w:tc>
        <w:tc>
          <w:tcPr>
            <w:tcW w:type="dxa" w:w="20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semana</w:t>
            </w:r>
          </w:p>
        </w:tc>
      </w:tr>
      <w:tr>
        <w:trPr>
          <w:cantSplit/>
          <w:tblHeader w:val="false"/>
        </w:trPr>
        <w:tc>
          <w:tcPr>
            <w:tcW w:type="dxa" w:w="18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Baja (S4)</w:t>
            </w:r>
          </w:p>
        </w:tc>
        <w:tc>
          <w:tcPr>
            <w:tcW w:type="dxa" w:w="42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Cosmético o mejora menor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 días hábiles</w:t>
            </w:r>
          </w:p>
        </w:tc>
        <w:tc>
          <w:tcPr>
            <w:tcW w:type="dxa" w:w="20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Siguiente sprint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9. Herramientas, técnicas y metodologías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Repositorio en GitHub; integración continua con Jenkins (</w:t>
      </w:r>
      <w:r>
        <w:rPr>
          <w:rFonts w:ascii="Consolas" w:cs="Consolas" w:eastAsia="Consolas" w:hAnsi="Consolas"/>
          <w:sz w:val="20"/>
          <w:szCs w:val="20"/>
        </w:rPr>
        <w:t xml:space="preserve">Jenkinsfile</w:t>
      </w:r>
      <w:r>
        <w:rPr>
          <w:rFonts w:ascii="Calibri" w:cs="Calibri" w:eastAsia="Calibri" w:hAnsi="Calibri"/>
          <w:sz w:val="22"/>
          <w:szCs w:val="22"/>
        </w:rPr>
        <w:t xml:space="preserve"> en la raíz del repositorio); análisis estático con SonarQube; JUnit 5, JaCoCo, Testcontainers, Cypress y JMeter. El backend usa 21 dependencias directas de Maven y el frontend 22 de npm.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Configuración del Quality Gate “BIBLIOUSFX” en SonarQube:</w:t>
      </w:r>
    </w:p>
    <w:p>
      <w:pPr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20"/>
          <w:szCs w:val="20"/>
        </w:rPr>
        <w:t xml:space="preserve">Coverage on New Code is less than 50.0       -&gt; falla</w:t>
      </w:r>
    </w:p>
    <w:p>
      <w:pPr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20"/>
          <w:szCs w:val="20"/>
        </w:rPr>
        <w:t xml:space="preserve">Duplicated Lines on New Code &gt; 3.0 %         -&gt; falla</w:t>
      </w:r>
    </w:p>
    <w:p>
      <w:pPr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20"/>
          <w:szCs w:val="20"/>
        </w:rPr>
        <w:t xml:space="preserve">Security Rating on New Code worse than A     -&gt; falla</w:t>
      </w:r>
    </w:p>
    <w:p>
      <w:pPr>
        <w:pBdr>
          <w:left w:val="single" w:color="9DBBD8" w:sz="12" w:space="6"/>
        </w:pBdr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20"/>
          <w:szCs w:val="20"/>
        </w:rPr>
        <w:t xml:space="preserve">Maintainability Rating on New Code worse than A -&gt; falla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Regla de JaCoCo en el </w:t>
      </w:r>
      <w:r>
        <w:rPr>
          <w:rFonts w:ascii="Consolas" w:cs="Consolas" w:eastAsia="Consolas" w:hAnsi="Consolas"/>
          <w:sz w:val="20"/>
          <w:szCs w:val="20"/>
        </w:rPr>
        <w:t xml:space="preserve">pom.xml</w:t>
      </w:r>
      <w:r>
        <w:rPr>
          <w:rFonts w:ascii="Calibri" w:cs="Calibri" w:eastAsia="Calibri" w:hAnsi="Calibri"/>
          <w:sz w:val="22"/>
          <w:szCs w:val="22"/>
        </w:rPr>
        <w:t xml:space="preserve"> (paquetes </w:t>
      </w:r>
      <w:r>
        <w:rPr>
          <w:rFonts w:ascii="Consolas" w:cs="Consolas" w:eastAsia="Consolas" w:hAnsi="Consolas"/>
          <w:sz w:val="20"/>
          <w:szCs w:val="20"/>
        </w:rPr>
        <w:t xml:space="preserve">prestamos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multas</w:t>
      </w:r>
      <w:r>
        <w:rPr>
          <w:rFonts w:ascii="Calibri" w:cs="Calibri" w:eastAsia="Calibri" w:hAnsi="Calibri"/>
          <w:sz w:val="22"/>
          <w:szCs w:val="22"/>
        </w:rPr>
        <w:t xml:space="preserve">), ejecutada en la etapa Cobertura del </w:t>
      </w:r>
      <w:r>
        <w:rPr>
          <w:rFonts w:ascii="Consolas" w:cs="Consolas" w:eastAsia="Consolas" w:hAnsi="Consolas"/>
          <w:sz w:val="20"/>
          <w:szCs w:val="20"/>
        </w:rPr>
        <w:t xml:space="preserve">Jenkinsfile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20"/>
          <w:szCs w:val="20"/>
        </w:rPr>
        <w:t xml:space="preserve">&lt;limit&gt;</w:t>
      </w:r>
    </w:p>
    <w:p>
      <w:pPr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20"/>
          <w:szCs w:val="20"/>
        </w:rPr>
        <w:t xml:space="preserve">    &lt;counter&gt;LINE&lt;/counter&gt;</w:t>
      </w:r>
    </w:p>
    <w:p>
      <w:pPr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20"/>
          <w:szCs w:val="20"/>
        </w:rPr>
        <w:t xml:space="preserve">    &lt;value&gt;COVEREDRATIO&lt;/value&gt;</w:t>
      </w:r>
    </w:p>
    <w:p>
      <w:pPr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20"/>
          <w:szCs w:val="20"/>
        </w:rPr>
        <w:t xml:space="preserve">    &lt;minimum&gt;0.50&lt;/minimum&gt;</w:t>
      </w:r>
    </w:p>
    <w:p>
      <w:pPr>
        <w:pBdr>
          <w:left w:val="single" w:color="9DBBD8" w:sz="12" w:space="6"/>
        </w:pBdr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20"/>
          <w:szCs w:val="20"/>
        </w:rPr>
        <w:t xml:space="preserve">&lt;/limit&gt;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10. Control de medios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GitHub Flow: la rama </w:t>
      </w:r>
      <w:r>
        <w:rPr>
          <w:rFonts w:ascii="Consolas" w:cs="Consolas" w:eastAsia="Consolas" w:hAnsi="Consolas"/>
          <w:sz w:val="20"/>
          <w:szCs w:val="20"/>
        </w:rPr>
        <w:t xml:space="preserve">main</w:t>
      </w:r>
      <w:r>
        <w:rPr>
          <w:rFonts w:ascii="Calibri" w:cs="Calibri" w:eastAsia="Calibri" w:hAnsi="Calibri"/>
          <w:sz w:val="22"/>
          <w:szCs w:val="22"/>
        </w:rPr>
        <w:t xml:space="preserve"> está protegida (sin push directo, un pull request aprobado y el build de Jenkins en verde para hacer merge). El repositorio se respalda cada semana con </w:t>
      </w:r>
      <w:r>
        <w:rPr>
          <w:rFonts w:ascii="Consolas" w:cs="Consolas" w:eastAsia="Consolas" w:hAnsi="Consolas"/>
          <w:sz w:val="20"/>
          <w:szCs w:val="20"/>
        </w:rPr>
        <w:t xml:space="preserve">git bundle</w:t>
      </w:r>
      <w:r>
        <w:rPr>
          <w:rFonts w:ascii="Calibri" w:cs="Calibri" w:eastAsia="Calibri" w:hAnsi="Calibri"/>
          <w:sz w:val="22"/>
          <w:szCs w:val="22"/>
        </w:rPr>
        <w:t xml:space="preserve"> en el Drive de la facultad, con retención de 3 meses; la restauración se prueba una vez por mes. La base de datos de staging se respalda cada noche con </w:t>
      </w:r>
      <w:r>
        <w:rPr>
          <w:rFonts w:ascii="Consolas" w:cs="Consolas" w:eastAsia="Consolas" w:hAnsi="Consolas"/>
          <w:sz w:val="20"/>
          <w:szCs w:val="20"/>
        </w:rPr>
        <w:t xml:space="preserve">pg_dump</w:t>
      </w:r>
      <w:r>
        <w:rPr>
          <w:rFonts w:ascii="Calibri" w:cs="Calibri" w:eastAsia="Calibri" w:hAnsi="Calibri"/>
          <w:sz w:val="22"/>
          <w:szCs w:val="22"/>
        </w:rPr>
        <w:t xml:space="preserve">. Solo la líder y el arquitecto tienen permiso de administración en GitHub y Jenkins.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11. Registros: recolección, mantenimiento y retención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5"/>
        <w:gridCol w:w="3665"/>
        <w:gridCol w:w="2750"/>
      </w:tblGrid>
      <w:tr>
        <w:trPr>
          <w:cantSplit/>
          <w:tblHeader/>
        </w:trPr>
        <w:tc>
          <w:tcPr>
            <w:tcW w:type="dxa" w:w="3665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Evidencia</w:t>
            </w:r>
          </w:p>
        </w:tc>
        <w:tc>
          <w:tcPr>
            <w:tcW w:type="dxa" w:w="3665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Ubicación</w:t>
            </w:r>
          </w:p>
        </w:tc>
        <w:tc>
          <w:tcPr>
            <w:tcW w:type="dxa" w:w="2750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Retención</w:t>
            </w:r>
          </w:p>
        </w:tc>
      </w:tr>
      <w:tr>
        <w:trPr>
          <w:cantSplit/>
          <w:tblHeader w:val="false"/>
        </w:trPr>
        <w:tc>
          <w:tcPr>
            <w:tcW w:type="dxa" w:w="36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Actas de revisión e inspección</w:t>
            </w:r>
          </w:p>
        </w:tc>
        <w:tc>
          <w:tcPr>
            <w:tcW w:type="dxa" w:w="36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docs/actas/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en el repositorio</w:t>
            </w:r>
          </w:p>
        </w:tc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Toda la vida del proyecto</w:t>
            </w:r>
          </w:p>
        </w:tc>
      </w:tr>
      <w:tr>
        <w:trPr>
          <w:cantSplit/>
          <w:tblHeader w:val="false"/>
        </w:trPr>
        <w:tc>
          <w:tcPr>
            <w:tcW w:type="dxa" w:w="36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Informes de pruebas JUnit y JaCoCo</w:t>
            </w:r>
          </w:p>
        </w:tc>
        <w:tc>
          <w:tcPr>
            <w:tcW w:type="dxa" w:w="36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Artefactos del build en Jenkins</w:t>
            </w:r>
          </w:p>
        </w:tc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30 builds</w:t>
            </w:r>
          </w:p>
        </w:tc>
      </w:tr>
      <w:tr>
        <w:trPr>
          <w:cantSplit/>
          <w:tblHeader w:val="false"/>
        </w:trPr>
        <w:tc>
          <w:tcPr>
            <w:tcW w:type="dxa" w:w="36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Dashboards de JMeter</w:t>
            </w:r>
          </w:p>
        </w:tc>
        <w:tc>
          <w:tcPr>
            <w:tcW w:type="dxa" w:w="36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Artefactos del build de cada release</w:t>
            </w:r>
          </w:p>
        </w:tc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Toda la vida del proyecto</w:t>
            </w:r>
          </w:p>
        </w:tc>
      </w:tr>
      <w:tr>
        <w:trPr>
          <w:cantSplit/>
          <w:tblHeader w:val="false"/>
        </w:trPr>
        <w:tc>
          <w:tcPr>
            <w:tcW w:type="dxa" w:w="36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Informes de SonarQube</w:t>
            </w:r>
          </w:p>
        </w:tc>
        <w:tc>
          <w:tcPr>
            <w:tcW w:type="dxa" w:w="36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Servidor SonarQube del equipo</w:t>
            </w:r>
          </w:p>
        </w:tc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 meses</w:t>
            </w:r>
          </w:p>
        </w:tc>
      </w:tr>
      <w:tr>
        <w:trPr>
          <w:cantSplit/>
          <w:tblHeader w:val="false"/>
        </w:trPr>
        <w:tc>
          <w:tcPr>
            <w:tcW w:type="dxa" w:w="36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Issues de defectos</w:t>
            </w:r>
          </w:p>
        </w:tc>
        <w:tc>
          <w:tcPr>
            <w:tcW w:type="dxa" w:w="36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GitHub Issues</w:t>
            </w:r>
          </w:p>
        </w:tc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Toda la vida del proyecto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12. Capacitación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9"/>
        <w:gridCol w:w="2290"/>
        <w:gridCol w:w="5041"/>
      </w:tblGrid>
      <w:tr>
        <w:trPr>
          <w:cantSplit/>
          <w:tblHeader/>
        </w:trPr>
        <w:tc>
          <w:tcPr>
            <w:tcW w:type="dxa" w:w="2749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Competencia</w:t>
            </w:r>
          </w:p>
        </w:tc>
        <w:tc>
          <w:tcPr>
            <w:tcW w:type="dxa" w:w="2290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Quién</w:t>
            </w:r>
          </w:p>
        </w:tc>
        <w:tc>
          <w:tcPr>
            <w:tcW w:type="dxa" w:w="5041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Sesión</w:t>
            </w:r>
          </w:p>
        </w:tc>
      </w:tr>
      <w:tr>
        <w:trPr>
          <w:cantSplit/>
          <w:tblHeader w:val="false"/>
        </w:trPr>
        <w:tc>
          <w:tcPr>
            <w:tcW w:type="dxa" w:w="2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Testcontainers</w:t>
            </w:r>
          </w:p>
        </w:tc>
        <w:tc>
          <w:tcPr>
            <w:tcW w:type="dxa" w:w="22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Ana, Bruno</w:t>
            </w:r>
          </w:p>
        </w:tc>
        <w:tc>
          <w:tcPr>
            <w:tcW w:type="dxa" w:w="50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Taller interno de 2 horas, semana 2 (dicta Bruno)</w:t>
            </w:r>
          </w:p>
        </w:tc>
      </w:tr>
      <w:tr>
        <w:trPr>
          <w:cantSplit/>
          <w:tblHeader w:val="false"/>
        </w:trPr>
        <w:tc>
          <w:tcPr>
            <w:tcW w:type="dxa" w:w="2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Inspecciones Fagan</w:t>
            </w:r>
          </w:p>
        </w:tc>
        <w:tc>
          <w:tcPr>
            <w:tcW w:type="dxa" w:w="22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Todo el equipo</w:t>
            </w:r>
          </w:p>
        </w:tc>
        <w:tc>
          <w:tcPr>
            <w:tcW w:type="dxa" w:w="50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Lectura de IEEE 1028 y simulacro con el SRS, semana 1</w:t>
            </w:r>
          </w:p>
        </w:tc>
      </w:tr>
      <w:tr>
        <w:trPr>
          <w:cantSplit/>
          <w:tblHeader w:val="false"/>
        </w:trPr>
        <w:tc>
          <w:tcPr>
            <w:tcW w:type="dxa" w:w="2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JMeter en el pipeline</w:t>
            </w:r>
          </w:p>
        </w:tc>
        <w:tc>
          <w:tcPr>
            <w:tcW w:type="dxa" w:w="22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Diego</w:t>
            </w:r>
          </w:p>
        </w:tc>
        <w:tc>
          <w:tcPr>
            <w:tcW w:type="dxa" w:w="50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Repaso de las Prácticas 5 y 6, semana 3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13. Gestión de riesgos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Escala de 1 (bajo) a 3 (alto). Exposición = probabilidad × impacto. Nivel: 1–2 bajo, 3–4 medio, 6–9 alto.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9"/>
        <w:gridCol w:w="458"/>
        <w:gridCol w:w="458"/>
        <w:gridCol w:w="1191"/>
        <w:gridCol w:w="4215"/>
        <w:gridCol w:w="1009"/>
      </w:tblGrid>
      <w:tr>
        <w:trPr>
          <w:cantSplit/>
          <w:tblHeader/>
        </w:trPr>
        <w:tc>
          <w:tcPr>
            <w:tcW w:type="dxa" w:w="2749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Riesgo</w:t>
            </w:r>
          </w:p>
        </w:tc>
        <w:tc>
          <w:tcPr>
            <w:tcW w:type="dxa" w:w="458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</w:t>
            </w:r>
          </w:p>
        </w:tc>
        <w:tc>
          <w:tcPr>
            <w:tcW w:type="dxa" w:w="458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</w:t>
            </w:r>
          </w:p>
        </w:tc>
        <w:tc>
          <w:tcPr>
            <w:tcW w:type="dxa" w:w="1191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Exposición</w:t>
            </w:r>
          </w:p>
        </w:tc>
        <w:tc>
          <w:tcPr>
            <w:tcW w:type="dxa" w:w="4215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Mitigación</w:t>
            </w:r>
          </w:p>
        </w:tc>
        <w:tc>
          <w:tcPr>
            <w:tcW w:type="dxa" w:w="1009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Resp.</w:t>
            </w:r>
          </w:p>
        </w:tc>
      </w:tr>
      <w:tr>
        <w:trPr>
          <w:cantSplit/>
          <w:tblHeader w:val="false"/>
        </w:trPr>
        <w:tc>
          <w:tcPr>
            <w:tcW w:type="dxa" w:w="2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Rotación o abandono de un integrante</w:t>
            </w:r>
          </w:p>
        </w:tc>
        <w:tc>
          <w:tcPr>
            <w:tcW w:type="dxa" w:w="4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4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11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 — Bajo</w:t>
            </w:r>
          </w:p>
        </w:tc>
        <w:tc>
          <w:tcPr>
            <w:tcW w:type="dxa" w:w="42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Estar atentos y procurar que nadie abandone.</w:t>
            </w:r>
          </w:p>
        </w:tc>
        <w:tc>
          <w:tcPr>
            <w:tcW w:type="dxa" w:w="1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Ana</w:t>
            </w:r>
          </w:p>
        </w:tc>
      </w:tr>
      <w:tr>
        <w:trPr>
          <w:cantSplit/>
          <w:tblHeader w:val="false"/>
        </w:trPr>
        <w:tc>
          <w:tcPr>
            <w:tcW w:type="dxa" w:w="2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Requerimientos ambiguos de la bibliotecaria</w:t>
            </w:r>
          </w:p>
        </w:tc>
        <w:tc>
          <w:tcPr>
            <w:tcW w:type="dxa" w:w="4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4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11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 — Alto</w:t>
            </w:r>
          </w:p>
        </w:tc>
        <w:tc>
          <w:tcPr>
            <w:tcW w:type="dxa" w:w="42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Revisión del SRS con la cliente en la semana 1; prototipo navegable validado antes del sprint 2.</w:t>
            </w:r>
          </w:p>
        </w:tc>
        <w:tc>
          <w:tcPr>
            <w:tcW w:type="dxa" w:w="1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Bruno</w:t>
            </w:r>
          </w:p>
        </w:tc>
      </w:tr>
      <w:tr>
        <w:trPr>
          <w:cantSplit/>
          <w:tblHeader w:val="false"/>
        </w:trPr>
        <w:tc>
          <w:tcPr>
            <w:tcW w:type="dxa" w:w="2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Deuda técnica por presión de cronograma</w:t>
            </w:r>
          </w:p>
        </w:tc>
        <w:tc>
          <w:tcPr>
            <w:tcW w:type="dxa" w:w="4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4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11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 — Alto</w:t>
            </w:r>
          </w:p>
        </w:tc>
        <w:tc>
          <w:tcPr>
            <w:tcW w:type="dxa" w:w="42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Quality Gate bloqueante en el pipeline; 10 % de cada sprint para refactorizar.</w:t>
            </w:r>
          </w:p>
        </w:tc>
        <w:tc>
          <w:tcPr>
            <w:tcW w:type="dxa" w:w="1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Carla</w:t>
            </w:r>
          </w:p>
        </w:tc>
      </w:tr>
      <w:tr>
        <w:trPr>
          <w:cantSplit/>
          <w:tblHeader w:val="false"/>
        </w:trPr>
        <w:tc>
          <w:tcPr>
            <w:tcW w:type="dxa" w:w="2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Falla del servidor Jenkins</w:t>
            </w:r>
          </w:p>
        </w:tc>
        <w:tc>
          <w:tcPr>
            <w:tcW w:type="dxa" w:w="4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4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11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 — Bajo</w:t>
            </w:r>
          </w:p>
        </w:tc>
        <w:tc>
          <w:tcPr>
            <w:tcW w:type="dxa" w:w="42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Configuración en Git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Jenkinsfile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docker-compose); reinstalación probada en la semana 2.</w:t>
            </w:r>
          </w:p>
        </w:tc>
        <w:tc>
          <w:tcPr>
            <w:tcW w:type="dxa" w:w="1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Carla</w:t>
            </w:r>
          </w:p>
        </w:tc>
      </w:tr>
      <w:tr>
        <w:trPr>
          <w:cantSplit/>
          <w:tblHeader w:val="false"/>
        </w:trPr>
        <w:tc>
          <w:tcPr>
            <w:tcW w:type="dxa" w:w="2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Vulnerabilidad crítica en una dependencia</w:t>
            </w:r>
          </w:p>
        </w:tc>
        <w:tc>
          <w:tcPr>
            <w:tcW w:type="dxa" w:w="4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4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11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 — Alto</w:t>
            </w:r>
          </w:p>
        </w:tc>
        <w:tc>
          <w:tcPr>
            <w:tcW w:type="dxa" w:w="42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Dependabot en cada PR; actualización mensual de dependencias.</w:t>
            </w:r>
          </w:p>
        </w:tc>
        <w:tc>
          <w:tcPr>
            <w:tcW w:type="dxa" w:w="1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Bruno</w:t>
            </w:r>
          </w:p>
        </w:tc>
      </w:tr>
      <w:tr>
        <w:trPr>
          <w:cantSplit/>
          <w:tblHeader w:val="false"/>
        </w:trPr>
        <w:tc>
          <w:tcPr>
            <w:tcW w:type="dxa" w:w="2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Datos de prueba con información personal real</w:t>
            </w:r>
          </w:p>
        </w:tc>
        <w:tc>
          <w:tcPr>
            <w:tcW w:type="dxa" w:w="4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4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11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 — Medio</w:t>
            </w:r>
          </w:p>
        </w:tc>
        <w:tc>
          <w:tcPr>
            <w:tcW w:type="dxa" w:w="42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Datos sintéticos generados con un script versionado; prohibido copiar la base de producción.</w:t>
            </w:r>
          </w:p>
        </w:tc>
        <w:tc>
          <w:tcPr>
            <w:tcW w:type="dxa" w:w="1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Carla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14. Glosario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0"/>
        <w:gridCol w:w="7790"/>
      </w:tblGrid>
      <w:tr>
        <w:trPr>
          <w:cantSplit/>
          <w:tblHeader/>
        </w:trPr>
        <w:tc>
          <w:tcPr>
            <w:tcW w:type="dxa" w:w="2290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Término</w:t>
            </w:r>
          </w:p>
        </w:tc>
        <w:tc>
          <w:tcPr>
            <w:tcW w:type="dxa" w:w="7790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Definición</w:t>
            </w:r>
          </w:p>
        </w:tc>
      </w:tr>
      <w:tr>
        <w:trPr>
          <w:cantSplit/>
          <w:tblHeader w:val="false"/>
        </w:trPr>
        <w:tc>
          <w:tcPr>
            <w:tcW w:type="dxa" w:w="22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Préstamo</w:t>
            </w:r>
          </w:p>
        </w:tc>
        <w:tc>
          <w:tcPr>
            <w:tcW w:type="dxa" w:w="77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Registro de la entrega de un ejemplar a un usuario, con fecha de devolución prevista.</w:t>
            </w:r>
          </w:p>
        </w:tc>
      </w:tr>
      <w:tr>
        <w:trPr>
          <w:cantSplit/>
          <w:tblHeader w:val="false"/>
        </w:trPr>
        <w:tc>
          <w:tcPr>
            <w:tcW w:type="dxa" w:w="22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Multa</w:t>
            </w:r>
          </w:p>
        </w:tc>
        <w:tc>
          <w:tcPr>
            <w:tcW w:type="dxa" w:w="77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Monto por día de retraso en la devolución de un ejemplar.</w:t>
            </w:r>
          </w:p>
        </w:tc>
      </w:tr>
      <w:tr>
        <w:trPr>
          <w:cantSplit/>
          <w:tblHeader w:val="false"/>
        </w:trPr>
        <w:tc>
          <w:tcPr>
            <w:tcW w:type="dxa" w:w="22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p95</w:t>
            </w:r>
          </w:p>
        </w:tc>
        <w:tc>
          <w:tcPr>
            <w:tcW w:type="dxa" w:w="77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Valor por debajo del cual está el 95 % de los tiempos de respuesta medidos.</w:t>
            </w:r>
          </w:p>
        </w:tc>
      </w:tr>
      <w:tr>
        <w:trPr>
          <w:cantSplit/>
          <w:tblHeader w:val="false"/>
        </w:trPr>
        <w:tc>
          <w:tcPr>
            <w:tcW w:type="dxa" w:w="22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Quality Gate</w:t>
            </w:r>
          </w:p>
        </w:tc>
        <w:tc>
          <w:tcPr>
            <w:tcW w:type="dxa" w:w="77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Conjunto de condiciones de SonarQube que un cambio debe cumplir para aceptarse.</w:t>
            </w:r>
          </w:p>
        </w:tc>
      </w:tr>
      <w:tr>
        <w:trPr>
          <w:cantSplit/>
          <w:tblHeader w:val="false"/>
        </w:trPr>
        <w:tc>
          <w:tcPr>
            <w:tcW w:type="dxa" w:w="22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SUS</w:t>
            </w:r>
          </w:p>
        </w:tc>
        <w:tc>
          <w:tcPr>
            <w:tcW w:type="dxa" w:w="77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System Usability Scale: cuestionario de 10 ítems con puntaje de 0 a 100.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15. Procedimiento de cambio e historia del SQAP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Cualquier integrante puede proponer un cambio mediante un pull request sobre </w:t>
      </w:r>
      <w:r>
        <w:rPr>
          <w:rFonts w:ascii="Consolas" w:cs="Consolas" w:eastAsia="Consolas" w:hAnsi="Consolas"/>
          <w:sz w:val="20"/>
          <w:szCs w:val="20"/>
        </w:rPr>
        <w:t xml:space="preserve">docs/sqap.docx</w:t>
      </w:r>
      <w:r>
        <w:rPr>
          <w:rFonts w:ascii="Calibri" w:cs="Calibri" w:eastAsia="Calibri" w:hAnsi="Calibri"/>
          <w:sz w:val="22"/>
          <w:szCs w:val="22"/>
        </w:rPr>
        <w:t xml:space="preserve">. Lo aprueba la Responsable SQA y, si cambia un umbral, también la líder de proyecto.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"/>
        <w:gridCol w:w="1466"/>
        <w:gridCol w:w="4581"/>
        <w:gridCol w:w="1557"/>
        <w:gridCol w:w="1468"/>
      </w:tblGrid>
      <w:tr>
        <w:trPr>
          <w:cantSplit/>
          <w:tblHeader/>
        </w:trPr>
        <w:tc>
          <w:tcPr>
            <w:tcW w:type="dxa" w:w="1008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Versión</w:t>
            </w:r>
          </w:p>
        </w:tc>
        <w:tc>
          <w:tcPr>
            <w:tcW w:type="dxa" w:w="1466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Fecha</w:t>
            </w:r>
          </w:p>
        </w:tc>
        <w:tc>
          <w:tcPr>
            <w:tcW w:type="dxa" w:w="4581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Cambio</w:t>
            </w:r>
          </w:p>
        </w:tc>
        <w:tc>
          <w:tcPr>
            <w:tcW w:type="dxa" w:w="1557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Autor</w:t>
            </w:r>
          </w:p>
        </w:tc>
        <w:tc>
          <w:tcPr>
            <w:tcW w:type="dxa" w:w="1468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Revisor</w:t>
            </w:r>
          </w:p>
        </w:tc>
      </w:tr>
      <w:tr>
        <w:trPr>
          <w:cantSplit/>
          <w:tblHeader w:val="false"/>
        </w:trPr>
        <w:tc>
          <w:tcPr>
            <w:tcW w:type="dxa" w:w="1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0.1</w:t>
            </w:r>
          </w:p>
        </w:tc>
        <w:tc>
          <w:tcPr>
            <w:tcW w:type="dxa" w:w="1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04/08/2026</w:t>
            </w:r>
          </w:p>
        </w:tc>
        <w:tc>
          <w:tcPr>
            <w:tcW w:type="dxa" w:w="45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Versión inicial: Secciones 1 a 4</w:t>
            </w:r>
          </w:p>
        </w:tc>
        <w:tc>
          <w:tcPr>
            <w:tcW w:type="dxa" w:w="1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Ana Quispe</w:t>
            </w:r>
          </w:p>
        </w:tc>
        <w:tc>
          <w:tcPr>
            <w:tcW w:type="dxa" w:w="14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Bruno Mamani</w:t>
            </w:r>
          </w:p>
        </w:tc>
      </w:tr>
      <w:tr>
        <w:trPr>
          <w:cantSplit/>
          <w:tblHeader w:val="false"/>
        </w:trPr>
        <w:tc>
          <w:tcPr>
            <w:tcW w:type="dxa" w:w="1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0.5</w:t>
            </w:r>
          </w:p>
        </w:tc>
        <w:tc>
          <w:tcPr>
            <w:tcW w:type="dxa" w:w="1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18/08/2026</w:t>
            </w:r>
          </w:p>
        </w:tc>
        <w:tc>
          <w:tcPr>
            <w:tcW w:type="dxa" w:w="45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Métricas, pruebas y herramientas</w:t>
            </w:r>
          </w:p>
        </w:tc>
        <w:tc>
          <w:tcPr>
            <w:tcW w:type="dxa" w:w="1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Carla Flores</w:t>
            </w:r>
          </w:p>
        </w:tc>
        <w:tc>
          <w:tcPr>
            <w:tcW w:type="dxa" w:w="14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Diego Choque</w:t>
            </w:r>
          </w:p>
        </w:tc>
      </w:tr>
      <w:tr>
        <w:trPr>
          <w:cantSplit/>
          <w:tblHeader w:val="false"/>
        </w:trPr>
        <w:tc>
          <w:tcPr>
            <w:tcW w:type="dxa" w:w="1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0.9</w:t>
            </w:r>
          </w:p>
        </w:tc>
        <w:tc>
          <w:tcPr>
            <w:tcW w:type="dxa" w:w="1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01/09/2026</w:t>
            </w:r>
          </w:p>
        </w:tc>
        <w:tc>
          <w:tcPr>
            <w:tcW w:type="dxa" w:w="45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Riesgos, glosario; aprobado por el equipo</w:t>
            </w:r>
          </w:p>
        </w:tc>
        <w:tc>
          <w:tcPr>
            <w:tcW w:type="dxa" w:w="1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Ana Quispe</w:t>
            </w:r>
          </w:p>
        </w:tc>
        <w:tc>
          <w:tcPr>
            <w:tcW w:type="dxa" w:w="14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Todo el equipo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Anexo — Extracto de requerimientos no funcionales (SRS 1.2)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4"/>
        <w:gridCol w:w="8706"/>
      </w:tblGrid>
      <w:tr>
        <w:trPr>
          <w:cantSplit/>
          <w:tblHeader/>
        </w:trPr>
        <w:tc>
          <w:tcPr>
            <w:tcW w:type="dxa" w:w="1374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Código</w:t>
            </w:r>
          </w:p>
        </w:tc>
        <w:tc>
          <w:tcPr>
            <w:tcW w:type="dxa" w:w="8706"/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Requerimiento</w:t>
            </w:r>
          </w:p>
        </w:tc>
      </w:tr>
      <w:tr>
        <w:trPr>
          <w:cantSplit/>
          <w:tblHeader w:val="false"/>
        </w:trPr>
        <w:tc>
          <w:tcPr>
            <w:tcW w:type="dxa" w:w="13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RNF-01</w:t>
            </w:r>
          </w:p>
        </w:tc>
        <w:tc>
          <w:tcPr>
            <w:tcW w:type="dxa" w:w="8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 búsqueda de libros debe responder en menos de 800 ms para el 95 % de las consultas con 100 usuarios concurrentes (horario pico de exámenes).</w:t>
            </w:r>
          </w:p>
        </w:tc>
      </w:tr>
      <w:tr>
        <w:trPr>
          <w:cantSplit/>
          <w:tblHeader w:val="false"/>
        </w:trPr>
        <w:tc>
          <w:tcPr>
            <w:tcW w:type="dxa" w:w="13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RNF-02</w:t>
            </w:r>
          </w:p>
        </w:tc>
        <w:tc>
          <w:tcPr>
            <w:tcW w:type="dxa" w:w="8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El sistema debe estar disponible el 99 % del horario de servicio (lunes a sábado, 7:00 a 22:00).</w:t>
            </w:r>
          </w:p>
        </w:tc>
      </w:tr>
      <w:tr>
        <w:trPr>
          <w:cantSplit/>
          <w:tblHeader w:val="false"/>
        </w:trPr>
        <w:tc>
          <w:tcPr>
            <w:tcW w:type="dxa" w:w="13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RNF-03</w:t>
            </w:r>
          </w:p>
        </w:tc>
        <w:tc>
          <w:tcPr>
            <w:tcW w:type="dxa" w:w="8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Un estudiante que nunca usó el sistema debe poder registrar un préstamo sin ayuda.</w:t>
            </w:r>
          </w:p>
        </w:tc>
      </w:tr>
      <w:tr>
        <w:trPr>
          <w:cantSplit/>
          <w:tblHeader w:val="false"/>
        </w:trPr>
        <w:tc>
          <w:tcPr>
            <w:tcW w:type="dxa" w:w="13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RNF-04</w:t>
            </w:r>
          </w:p>
        </w:tc>
        <w:tc>
          <w:tcPr>
            <w:tcW w:type="dxa" w:w="8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Los datos personales de los usuarios deben protegerse: tránsito cifrado y ninguna vulnerabilidad conocida alta o crítica.</w:t>
            </w:r>
          </w:p>
        </w:tc>
      </w:tr>
      <w:tr>
        <w:trPr>
          <w:cantSplit/>
          <w:tblHeader w:val="false"/>
        </w:trPr>
        <w:tc>
          <w:tcPr>
            <w:tcW w:type="dxa" w:w="13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RNF-05</w:t>
            </w:r>
          </w:p>
        </w:tc>
        <w:tc>
          <w:tcPr>
            <w:tcW w:type="dxa" w:w="8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El código debe poder ser mantenido por el equipo de la siguiente gestión.</w:t>
            </w:r>
          </w:p>
        </w:tc>
      </w:tr>
      <w:tr>
        <w:trPr>
          <w:cantSplit/>
          <w:tblHeader w:val="false"/>
        </w:trPr>
        <w:tc>
          <w:tcPr>
            <w:tcW w:type="dxa" w:w="13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RNF-06</w:t>
            </w:r>
          </w:p>
        </w:tc>
        <w:tc>
          <w:tcPr>
            <w:tcW w:type="dxa" w:w="8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El cálculo de multas debe ser exacto según el reglamento de la biblioteca (Bs 2 por día de retraso, tope de Bs 60).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SQAP BIBLIOUSFX v0.9</dc:title>
  <dc:creator>COM450</dc:creator>
  <cp:lastModifiedBy>Un-named</cp:lastModifiedBy>
  <cp:revision>1</cp:revision>
  <dcterms:created xsi:type="dcterms:W3CDTF">2026-10-02T10:46:18.614Z</dcterms:created>
  <dcterms:modified xsi:type="dcterms:W3CDTF">2026-10-02T10:46:18.614Z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