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BIBLIOUSFX v1.0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Plan de Aseguramiento de Calidad de Software (SQAP)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Versión del documento: 1.0  ·  Estado: Aprobado por el equipo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Equipo M-07 · Facultad de Ciencia y Tecnología · Gestión II/2026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Conforme a IEEE Std 730-2002 · Modelo de calidad ISO/IEC 25010:2011</w:t>
      </w:r>
    </w:p>
    <w:p>
      <w:pPr>
        <w:spacing w:after="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Propósito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plan cubre el desarrollo de BIBLIOUSFX v1.0, aplicación web de gestión de biblioteca de la Facultad de Ciencia y Tecnología. Abarca las fases de requerimientos, diseño, construcción y pruebas de los casos de uso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Buscar libro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Registrar préstamo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Registrar devolución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Calcular multa</w:t>
      </w:r>
      <w:r>
        <w:rPr>
          <w:rFonts w:ascii="Calibri" w:cs="Calibri" w:eastAsia="Calibri" w:hAnsi="Calibri"/>
          <w:sz w:val="22"/>
          <w:szCs w:val="22"/>
        </w:rPr>
        <w:t xml:space="preserve">, durante la Gestión II/2026.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sistema se clasifica en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nivel de integridad 2</w:t>
      </w:r>
      <w:r>
        <w:rPr>
          <w:rFonts w:ascii="Calibri" w:cs="Calibri" w:eastAsia="Calibri" w:hAnsi="Calibri"/>
          <w:sz w:val="22"/>
          <w:szCs w:val="22"/>
        </w:rPr>
        <w:t xml:space="preserve"> (esquema de IEEE 1012): su falla causa inconveniencia operativa a estudiantes y bibliotecarios, pero no pérdida de vidas ni daño económico mayor. Los módulos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Préstamos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Multas</w:t>
      </w:r>
      <w:r>
        <w:rPr>
          <w:rFonts w:ascii="Calibri" w:cs="Calibri" w:eastAsia="Calibri" w:hAnsi="Calibri"/>
          <w:sz w:val="22"/>
          <w:szCs w:val="22"/>
        </w:rPr>
        <w:t xml:space="preserve"> se consideran críticos dentro del sistema porque afectan registros académicos y montos cobrados.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Documentos de referencia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6"/>
        <w:gridCol w:w="6964"/>
        <w:gridCol w:w="1650"/>
      </w:tblGrid>
      <w:tr>
        <w:trPr>
          <w:cantSplit/>
          <w:tblHeader/>
        </w:trPr>
        <w:tc>
          <w:tcPr>
            <w:tcW w:type="dxa" w:w="146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964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Documento</w:t>
            </w:r>
          </w:p>
        </w:tc>
        <w:tc>
          <w:tcPr>
            <w:tcW w:type="dxa" w:w="165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Versión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SRS</w:t>
            </w:r>
          </w:p>
        </w:tc>
        <w:tc>
          <w:tcPr>
            <w:tcW w:type="dxa" w:w="6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Especificación de requerimientos de BIBLIOUSFX (extracto de RNF en el Anexo)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1.2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SAD</w:t>
            </w:r>
          </w:p>
        </w:tc>
        <w:tc>
          <w:tcPr>
            <w:tcW w:type="dxa" w:w="6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Documento de arquitectura: Spring Boot 3.3 + PostgreSQL 16 + React 18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IEEE 730</w:t>
            </w:r>
          </w:p>
        </w:tc>
        <w:tc>
          <w:tcPr>
            <w:tcW w:type="dxa" w:w="6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IEEE Std 730-2002, Software Quality Assurance Plans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2002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ISO 25010</w:t>
            </w:r>
          </w:p>
        </w:tc>
        <w:tc>
          <w:tcPr>
            <w:tcW w:type="dxa" w:w="6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ISO/IEC 25010:2011, modelo de calidad del producto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2011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IEEE 1028</w:t>
            </w:r>
          </w:p>
        </w:tc>
        <w:tc>
          <w:tcPr>
            <w:tcW w:type="dxa" w:w="6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IEEE Std 1028, Software Reviews and Audits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2008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ESTILO</w:t>
            </w:r>
          </w:p>
        </w:tc>
        <w:tc>
          <w:tcPr>
            <w:tcW w:type="dxa" w:w="6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Google Java Style Guide; Airbnb JavaScript Style Guide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Gestión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equipo M-07 tiene cuatro integrantes con roles explícitos. Cada integrante tiene más de un rol por el tamaño del equipo.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2"/>
        <w:gridCol w:w="5131"/>
        <w:gridCol w:w="2567"/>
      </w:tblGrid>
      <w:tr>
        <w:trPr>
          <w:cantSplit/>
          <w:tblHeader/>
        </w:trPr>
        <w:tc>
          <w:tcPr>
            <w:tcW w:type="dxa" w:w="2382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</w:t>
            </w:r>
          </w:p>
        </w:tc>
        <w:tc>
          <w:tcPr>
            <w:tcW w:type="dxa" w:w="5131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Responsabilidad principal</w:t>
            </w:r>
          </w:p>
        </w:tc>
        <w:tc>
          <w:tcPr>
            <w:tcW w:type="dxa" w:w="2567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Integrante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Líder de proyecto</w:t>
            </w:r>
          </w:p>
        </w:tc>
        <w:tc>
          <w:tcPr>
            <w:tcW w:type="dxa" w:w="5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Coordinación, cronograma, comunicación con el docente</w:t>
            </w:r>
          </w:p>
        </w:tc>
        <w:tc>
          <w:tcPr>
            <w:tcW w:type="dxa" w:w="25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 Quispe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Arquitecto</w:t>
            </w:r>
          </w:p>
        </w:tc>
        <w:tc>
          <w:tcPr>
            <w:tcW w:type="dxa" w:w="5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Decisiones de arquitectura (ADR), revisión de diseño</w:t>
            </w:r>
          </w:p>
        </w:tc>
        <w:tc>
          <w:tcPr>
            <w:tcW w:type="dxa" w:w="25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Bruno Mamani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Responsable SQA</w:t>
            </w:r>
          </w:p>
        </w:tc>
        <w:tc>
          <w:tcPr>
            <w:tcW w:type="dxa" w:w="5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Plan SQA, métricas, auditorías, aprobación de pull requests de los módulos críticos. No programa los módulos críticos.</w:t>
            </w:r>
          </w:p>
        </w:tc>
        <w:tc>
          <w:tcPr>
            <w:tcW w:type="dxa" w:w="25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Carla Flores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Desarrollador backend</w:t>
            </w:r>
          </w:p>
        </w:tc>
        <w:tc>
          <w:tcPr>
            <w:tcW w:type="dxa" w:w="5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REST y pruebas JUnit de los módulos Préstamos y Multas</w:t>
            </w:r>
          </w:p>
        </w:tc>
        <w:tc>
          <w:tcPr>
            <w:tcW w:type="dxa" w:w="25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Bruno Mamani y Ana Quispe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Desarrollador backend (búsqueda)</w:t>
            </w:r>
          </w:p>
        </w:tc>
        <w:tc>
          <w:tcPr>
            <w:tcW w:type="dxa" w:w="5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y pruebas JUnit de Buscar libro (no crítico)</w:t>
            </w:r>
          </w:p>
        </w:tc>
        <w:tc>
          <w:tcPr>
            <w:tcW w:type="dxa" w:w="25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Carla Flores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Desarrollador frontend y tester</w:t>
            </w:r>
          </w:p>
        </w:tc>
        <w:tc>
          <w:tcPr>
            <w:tcW w:type="dxa" w:w="5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Interfaz React, pruebas Cypress y JMeter</w:t>
            </w:r>
          </w:p>
        </w:tc>
        <w:tc>
          <w:tcPr>
            <w:tcW w:type="dxa" w:w="25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Diego Choque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Regla de independencia: la Responsable SQA no programa los módulos críticos (Préstamos y Multas), que desarrollan Bruno Mamani y Ana Quispe; por eso ella aprueba sus pull requests. Los pull requests de Carla Flores (Buscar libro) los revisa otro integrante (Sección 6).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Documentación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2290"/>
        <w:gridCol w:w="1832"/>
        <w:gridCol w:w="3209"/>
      </w:tblGrid>
      <w:tr>
        <w:trPr>
          <w:cantSplit/>
          <w:tblHeader/>
        </w:trPr>
        <w:tc>
          <w:tcPr>
            <w:tcW w:type="dxa" w:w="274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Documento</w:t>
            </w:r>
          </w:p>
        </w:tc>
        <w:tc>
          <w:tcPr>
            <w:tcW w:type="dxa" w:w="229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Responsable</w:t>
            </w:r>
          </w:p>
        </w:tc>
        <w:tc>
          <w:tcPr>
            <w:tcW w:type="dxa" w:w="1832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</w:t>
            </w:r>
          </w:p>
        </w:tc>
        <w:tc>
          <w:tcPr>
            <w:tcW w:type="dxa" w:w="320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Tipo de revisión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SRS 1.2</w:t>
            </w:r>
          </w:p>
        </w:tc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 Quispe</w:t>
            </w:r>
          </w:p>
        </w:tc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Semana 1</w:t>
            </w:r>
          </w:p>
        </w:tc>
        <w:tc>
          <w:tcPr>
            <w:tcW w:type="dxa" w:w="3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Revisión con el cliente + inspección Fagan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SAD 1.0</w:t>
            </w:r>
          </w:p>
        </w:tc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Bruno Mamani</w:t>
            </w:r>
          </w:p>
        </w:tc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Semana 2</w:t>
            </w:r>
          </w:p>
        </w:tc>
        <w:tc>
          <w:tcPr>
            <w:tcW w:type="dxa" w:w="3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Inspección Fagan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Manual de usuario</w:t>
            </w:r>
          </w:p>
        </w:tc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Diego Choque</w:t>
            </w:r>
          </w:p>
        </w:tc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Semana 7</w:t>
            </w:r>
          </w:p>
        </w:tc>
        <w:tc>
          <w:tcPr>
            <w:tcW w:type="dxa" w:w="3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Revisión técnica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Informe de pruebas</w:t>
            </w:r>
          </w:p>
        </w:tc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Diego Choque</w:t>
            </w:r>
          </w:p>
        </w:tc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release</w:t>
            </w:r>
          </w:p>
        </w:tc>
        <w:tc>
          <w:tcPr>
            <w:tcW w:type="dxa" w:w="3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Auditoría SQA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Estándares, prácticas, convenciones y métricas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Java sigue Google Java Style Guide y JavaScript sigue Airbnb JavaScript Style Guide, verificados por SonarQube. Las clases de prueba terminan en </w:t>
      </w:r>
      <w:r>
        <w:rPr>
          <w:rFonts w:ascii="Consolas" w:cs="Consolas" w:eastAsia="Consolas" w:hAnsi="Consolas"/>
          <w:sz w:val="20"/>
          <w:szCs w:val="20"/>
        </w:rPr>
        <w:t xml:space="preserve">Test</w:t>
      </w:r>
      <w:r>
        <w:rPr>
          <w:rFonts w:ascii="Calibri" w:cs="Calibri" w:eastAsia="Calibri" w:hAnsi="Calibri"/>
          <w:sz w:val="22"/>
          <w:szCs w:val="22"/>
        </w:rPr>
        <w:t xml:space="preserve"> y sus métodos describen el comportamiento esperado (</w:t>
      </w:r>
      <w:r>
        <w:rPr>
          <w:rFonts w:ascii="Consolas" w:cs="Consolas" w:eastAsia="Consolas" w:hAnsi="Consolas"/>
          <w:sz w:val="20"/>
          <w:szCs w:val="20"/>
        </w:rPr>
        <w:t xml:space="preserve">multaSeCalculaPorDiaDeRetraso</w:t>
      </w:r>
      <w:r>
        <w:rPr>
          <w:rFonts w:ascii="Calibri" w:cs="Calibri" w:eastAsia="Calibri" w:hAnsi="Calibri"/>
          <w:sz w:val="22"/>
          <w:szCs w:val="22"/>
        </w:rPr>
        <w:t xml:space="preserve">). Endpoints en plural y minúsculas (</w:t>
      </w:r>
      <w:r>
        <w:rPr>
          <w:rFonts w:ascii="Consolas" w:cs="Consolas" w:eastAsia="Consolas" w:hAnsi="Consolas"/>
          <w:sz w:val="20"/>
          <w:szCs w:val="20"/>
        </w:rPr>
        <w:t xml:space="preserve">/api/libros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/api/prestamos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2"/>
        <w:gridCol w:w="2565"/>
        <w:gridCol w:w="3115"/>
        <w:gridCol w:w="1466"/>
        <w:gridCol w:w="1102"/>
      </w:tblGrid>
      <w:tr>
        <w:trPr>
          <w:cantSplit/>
          <w:tblHeader/>
        </w:trPr>
        <w:tc>
          <w:tcPr>
            <w:tcW w:type="dxa" w:w="1832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Característica</w:t>
            </w:r>
          </w:p>
        </w:tc>
        <w:tc>
          <w:tcPr>
            <w:tcW w:type="dxa" w:w="2565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Métrica</w:t>
            </w:r>
          </w:p>
        </w:tc>
        <w:tc>
          <w:tcPr>
            <w:tcW w:type="dxa" w:w="3115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Instrumento, condiciones y momento</w:t>
            </w:r>
          </w:p>
        </w:tc>
        <w:tc>
          <w:tcPr>
            <w:tcW w:type="dxa" w:w="146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Objetivo</w:t>
            </w:r>
          </w:p>
        </w:tc>
        <w:tc>
          <w:tcPr>
            <w:tcW w:type="dxa" w:w="1102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RNF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Adecuación funcional</w:t>
            </w:r>
          </w:p>
        </w:tc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% de casos de prueba de Multas que pasan</w:t>
            </w:r>
          </w:p>
        </w:tc>
        <w:tc>
          <w:tcPr>
            <w:tcW w:type="dxa" w:w="3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JUnit 5, en cada build del pipeline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100 %</w:t>
            </w:r>
          </w:p>
        </w:tc>
        <w:tc>
          <w:tcPr>
            <w:tcW w:type="dxa" w:w="1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RNF-06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Eficiencia de desempeño</w:t>
            </w:r>
          </w:p>
        </w:tc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Percentil 95 del tiempo de respuesta de la búsqueda</w:t>
            </w:r>
          </w:p>
        </w:tc>
        <w:tc>
          <w:tcPr>
            <w:tcW w:type="dxa" w:w="3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JMeter (Práctica 5), 100 usuarios concurrentes, 10 minutos, ambiente de staging; etapa Rendimiento del pipeline en cada release candidate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≤ 800 ms</w:t>
            </w:r>
          </w:p>
        </w:tc>
        <w:tc>
          <w:tcPr>
            <w:tcW w:type="dxa" w:w="1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RNF-01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Usabilidad</w:t>
            </w:r>
          </w:p>
        </w:tc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Tasa de éxito de la tarea "registrar un préstamo" sin ayuda; puntaje SUS</w:t>
            </w:r>
          </w:p>
        </w:tc>
        <w:tc>
          <w:tcPr>
            <w:tcW w:type="dxa" w:w="3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Prueba con 5 estudiantes que nunca usaron el sistema, al cierre del sprint 3; cuestionario SUS de 10 ítems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≥ 90 % de éxito; SUS promedio ≥ 68</w:t>
            </w:r>
          </w:p>
        </w:tc>
        <w:tc>
          <w:tcPr>
            <w:tcW w:type="dxa" w:w="1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RNF-03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Fiabilidad</w:t>
            </w:r>
          </w:p>
        </w:tc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Disponibilidad mensual en horario de servicio</w:t>
            </w:r>
          </w:p>
        </w:tc>
        <w:tc>
          <w:tcPr>
            <w:tcW w:type="dxa" w:w="3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Monitor externo cada 5 minutos, informe mensual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≥ 99,0 %</w:t>
            </w:r>
          </w:p>
        </w:tc>
        <w:tc>
          <w:tcPr>
            <w:tcW w:type="dxa" w:w="1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RNF-02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Seguridad</w:t>
            </w:r>
          </w:p>
        </w:tc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Vulnerabilidades altas o críticas</w:t>
            </w:r>
          </w:p>
        </w:tc>
        <w:tc>
          <w:tcPr>
            <w:tcW w:type="dxa" w:w="3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SonarQube y Dependabot en cada pull request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W w:type="dxa" w:w="1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RNF-04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Mantenibilidad</w:t>
            </w:r>
          </w:p>
        </w:tc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Cobertura de líneas de Préstamos y Multas</w:t>
            </w:r>
          </w:p>
        </w:tc>
        <w:tc>
          <w:tcPr>
            <w:tcW w:type="dxa" w:w="3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JaCoCo en cada build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≥ 80 %</w:t>
            </w:r>
          </w:p>
        </w:tc>
        <w:tc>
          <w:tcPr>
            <w:tcW w:type="dxa" w:w="1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RNF-05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Mantenibilidad</w:t>
            </w:r>
          </w:p>
        </w:tc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Deuda técnica</w:t>
            </w:r>
          </w:p>
        </w:tc>
        <w:tc>
          <w:tcPr>
            <w:tcW w:type="dxa" w:w="3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SonarQube en cada build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&lt; 5 días-persona</w:t>
            </w:r>
          </w:p>
        </w:tc>
        <w:tc>
          <w:tcPr>
            <w:tcW w:type="dxa" w:w="1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RNF-05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Revisiones de software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1557"/>
        <w:gridCol w:w="1282"/>
        <w:gridCol w:w="2749"/>
        <w:gridCol w:w="2476"/>
      </w:tblGrid>
      <w:tr>
        <w:trPr>
          <w:cantSplit/>
          <w:tblHeader/>
        </w:trPr>
        <w:tc>
          <w:tcPr>
            <w:tcW w:type="dxa" w:w="201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Revisión</w:t>
            </w:r>
          </w:p>
        </w:tc>
        <w:tc>
          <w:tcPr>
            <w:tcW w:type="dxa" w:w="1557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Artefacto</w:t>
            </w:r>
          </w:p>
        </w:tc>
        <w:tc>
          <w:tcPr>
            <w:tcW w:type="dxa" w:w="1282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Cuándo</w:t>
            </w:r>
          </w:p>
        </w:tc>
        <w:tc>
          <w:tcPr>
            <w:tcW w:type="dxa" w:w="274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Quién revisa</w:t>
            </w:r>
          </w:p>
        </w:tc>
        <w:tc>
          <w:tcPr>
            <w:tcW w:type="dxa" w:w="247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Criterio de aceptación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Revisión de requerimientos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SRS</w:t>
            </w:r>
          </w:p>
        </w:tc>
        <w:tc>
          <w:tcPr>
            <w:tcW w:type="dxa" w:w="1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Semana 1</w:t>
            </w:r>
          </w:p>
        </w:tc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Cliente, Arquitecto, SQA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RNF tiene criterio verificable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Inspección Fagan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SAD</w:t>
            </w:r>
          </w:p>
        </w:tc>
        <w:tc>
          <w:tcPr>
            <w:tcW w:type="dxa" w:w="1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Semana 2</w:t>
            </w:r>
          </w:p>
        </w:tc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Moderadora: Carla Flores; inspectores: Ana y Diego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 defectos mayores abiertos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Revisión de código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Pull request</w:t>
            </w:r>
          </w:p>
        </w:tc>
        <w:tc>
          <w:tcPr>
            <w:tcW w:type="dxa" w:w="1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PR</w:t>
            </w:r>
          </w:p>
        </w:tc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Responsable SQA (módulos críticos); otro integrante (resto)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Lista de verificación de PR completa; Quality Gate en verde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Auditoría de cierre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Cumplimiento del SQAP</w:t>
            </w:r>
          </w:p>
        </w:tc>
        <w:tc>
          <w:tcPr>
            <w:tcW w:type="dxa" w:w="1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Semana 8</w:t>
            </w:r>
          </w:p>
        </w:tc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Responsable SQA y docente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Siete indicadores de la regla cumplidos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Pruebas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6"/>
        <w:gridCol w:w="3298"/>
        <w:gridCol w:w="1832"/>
        <w:gridCol w:w="3484"/>
      </w:tblGrid>
      <w:tr>
        <w:trPr>
          <w:cantSplit/>
          <w:tblHeader/>
        </w:trPr>
        <w:tc>
          <w:tcPr>
            <w:tcW w:type="dxa" w:w="146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Nivel</w:t>
            </w:r>
          </w:p>
        </w:tc>
        <w:tc>
          <w:tcPr>
            <w:tcW w:type="dxa" w:w="3298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Técnica y herramienta</w:t>
            </w:r>
          </w:p>
        </w:tc>
        <w:tc>
          <w:tcPr>
            <w:tcW w:type="dxa" w:w="1832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Responsable</w:t>
            </w:r>
          </w:p>
        </w:tc>
        <w:tc>
          <w:tcPr>
            <w:tcW w:type="dxa" w:w="3484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Criterio de salida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Unitario</w:t>
            </w:r>
          </w:p>
        </w:tc>
        <w:tc>
          <w:tcPr>
            <w:tcW w:type="dxa" w:w="3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TDD obligatorio en Préstamos y Multas; JUnit 5 + JaCoCo</w:t>
            </w:r>
          </w:p>
        </w:tc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Desarrolladores</w:t>
            </w:r>
          </w:p>
        </w:tc>
        <w:tc>
          <w:tcPr>
            <w:tcW w:type="dxa" w:w="34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100 % en verde; cobertura de líneas ≥ 80 % en Préstamos y Multas, ≥ 60 % global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Integración</w:t>
            </w:r>
          </w:p>
        </w:tc>
        <w:tc>
          <w:tcPr>
            <w:tcW w:type="dxa" w:w="3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Pruebas de API con Testcontainers (PostgreSQL)</w:t>
            </w:r>
          </w:p>
        </w:tc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Desarrolladores</w:t>
            </w:r>
          </w:p>
        </w:tc>
        <w:tc>
          <w:tcPr>
            <w:tcW w:type="dxa" w:w="34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 fallos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Sistema</w:t>
            </w:r>
          </w:p>
        </w:tc>
        <w:tc>
          <w:tcPr>
            <w:tcW w:type="dxa" w:w="3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E2E con Cypress; carga con JMeter</w:t>
            </w:r>
          </w:p>
        </w:tc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Diego Choque</w:t>
            </w:r>
          </w:p>
        </w:tc>
        <w:tc>
          <w:tcPr>
            <w:tcW w:type="dxa" w:w="34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Escenarios críticos en verde; objetivos de la Sección 5 cumplidos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Aceptación</w:t>
            </w:r>
          </w:p>
        </w:tc>
        <w:tc>
          <w:tcPr>
            <w:tcW w:type="dxa" w:w="3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Escenarios con la bibliotecaria; prueba de usabilidad</w:t>
            </w:r>
          </w:p>
        </w:tc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 Quispe</w:t>
            </w:r>
          </w:p>
        </w:tc>
        <w:tc>
          <w:tcPr>
            <w:tcW w:type="dxa" w:w="34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 defectos S1 o S2 abiertos; acta firmada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Reporte de problemas y acción correctiva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defectos se registran como issues de GitHub con la plantilla del equipo. Estados: nuevo → asignado → en progreso → resuelto → verificado → cerrado; desde verificado o cerrado puede pasar a reabierto. La severidad la fija la Responsable SQA; la prioridad, la líder de proyecto.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2"/>
        <w:gridCol w:w="4215"/>
        <w:gridCol w:w="2016"/>
        <w:gridCol w:w="2017"/>
      </w:tblGrid>
      <w:tr>
        <w:trPr>
          <w:cantSplit/>
          <w:tblHeader/>
        </w:trPr>
        <w:tc>
          <w:tcPr>
            <w:tcW w:type="dxa" w:w="1832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Severidad</w:t>
            </w:r>
          </w:p>
        </w:tc>
        <w:tc>
          <w:tcPr>
            <w:tcW w:type="dxa" w:w="4215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Definición</w:t>
            </w:r>
          </w:p>
        </w:tc>
        <w:tc>
          <w:tcPr>
            <w:tcW w:type="dxa" w:w="201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Respuesta</w:t>
            </w:r>
          </w:p>
        </w:tc>
        <w:tc>
          <w:tcPr>
            <w:tcW w:type="dxa" w:w="2017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Resolución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Crítica (S1)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Sistema inusable o pérdida de datos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horas</w:t>
            </w:r>
          </w:p>
        </w:tc>
        <w:tc>
          <w:tcPr>
            <w:tcW w:type="dxa" w:w="2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día hábil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 (S2)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Funcionalidad principal afectada sin alternativa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día hábil</w:t>
            </w:r>
          </w:p>
        </w:tc>
        <w:tc>
          <w:tcPr>
            <w:tcW w:type="dxa" w:w="2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 días hábiles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 (S3)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Funcionalidad secundaria afectada o con alternativa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días hábiles</w:t>
            </w:r>
          </w:p>
        </w:tc>
        <w:tc>
          <w:tcPr>
            <w:tcW w:type="dxa" w:w="2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semana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Baja (S4)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Cosmético o mejora menor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 días hábiles</w:t>
            </w:r>
          </w:p>
        </w:tc>
        <w:tc>
          <w:tcPr>
            <w:tcW w:type="dxa" w:w="2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Siguiente sprint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Herramientas, técnicas y metodologías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Repositorio en GitHub; integración continua con Jenkins (</w:t>
      </w:r>
      <w:r>
        <w:rPr>
          <w:rFonts w:ascii="Consolas" w:cs="Consolas" w:eastAsia="Consolas" w:hAnsi="Consolas"/>
          <w:sz w:val="20"/>
          <w:szCs w:val="20"/>
        </w:rPr>
        <w:t xml:space="preserve">Jenkinsfile</w:t>
      </w:r>
      <w:r>
        <w:rPr>
          <w:rFonts w:ascii="Calibri" w:cs="Calibri" w:eastAsia="Calibri" w:hAnsi="Calibri"/>
          <w:sz w:val="22"/>
          <w:szCs w:val="22"/>
        </w:rPr>
        <w:t xml:space="preserve"> en la raíz del repositorio); análisis estático con SonarQube; JUnit 5, JaCoCo, Testcontainers, Cypress y JMeter. El backend usa 21 dependencias directas de Maven y el frontend 22 de npm.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Configuración del Quality Gate “BIBLIOUSFX” en SonarQube:</w:t>
      </w:r>
    </w:p>
    <w:p>
      <w:pPr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20"/>
          <w:szCs w:val="20"/>
        </w:rPr>
        <w:t xml:space="preserve">Coverage on New Code is less than 80.0       -&gt; falla</w:t>
      </w:r>
    </w:p>
    <w:p>
      <w:pPr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20"/>
          <w:szCs w:val="20"/>
        </w:rPr>
        <w:t xml:space="preserve">Duplicated Lines on New Code &gt; 3.0 %         -&gt; falla</w:t>
      </w:r>
    </w:p>
    <w:p>
      <w:pPr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20"/>
          <w:szCs w:val="20"/>
        </w:rPr>
        <w:t xml:space="preserve">Security Rating on New Code worse than A     -&gt; falla</w:t>
      </w:r>
    </w:p>
    <w:p>
      <w:pPr>
        <w:pBdr>
          <w:left w:val="single" w:color="9DBBD8" w:sz="12" w:space="6"/>
        </w:pBdr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20"/>
          <w:szCs w:val="20"/>
        </w:rPr>
        <w:t xml:space="preserve">Maintainability Rating on New Code worse than A -&gt; falla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Regla de JaCoCo en el </w:t>
      </w:r>
      <w:r>
        <w:rPr>
          <w:rFonts w:ascii="Consolas" w:cs="Consolas" w:eastAsia="Consolas" w:hAnsi="Consolas"/>
          <w:sz w:val="20"/>
          <w:szCs w:val="20"/>
        </w:rPr>
        <w:t xml:space="preserve">pom.xml</w:t>
      </w:r>
      <w:r>
        <w:rPr>
          <w:rFonts w:ascii="Calibri" w:cs="Calibri" w:eastAsia="Calibri" w:hAnsi="Calibri"/>
          <w:sz w:val="22"/>
          <w:szCs w:val="22"/>
        </w:rPr>
        <w:t xml:space="preserve"> (paquetes </w:t>
      </w:r>
      <w:r>
        <w:rPr>
          <w:rFonts w:ascii="Consolas" w:cs="Consolas" w:eastAsia="Consolas" w:hAnsi="Consolas"/>
          <w:sz w:val="20"/>
          <w:szCs w:val="20"/>
        </w:rPr>
        <w:t xml:space="preserve">prestamos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multas</w:t>
      </w:r>
      <w:r>
        <w:rPr>
          <w:rFonts w:ascii="Calibri" w:cs="Calibri" w:eastAsia="Calibri" w:hAnsi="Calibri"/>
          <w:sz w:val="22"/>
          <w:szCs w:val="22"/>
        </w:rPr>
        <w:t xml:space="preserve">), ejecutada en la etapa Cobertura del </w:t>
      </w:r>
      <w:r>
        <w:rPr>
          <w:rFonts w:ascii="Consolas" w:cs="Consolas" w:eastAsia="Consolas" w:hAnsi="Consolas"/>
          <w:sz w:val="20"/>
          <w:szCs w:val="20"/>
        </w:rPr>
        <w:t xml:space="preserve">Jenkinsfile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20"/>
          <w:szCs w:val="20"/>
        </w:rPr>
        <w:t xml:space="preserve">&lt;limit&gt;</w:t>
      </w:r>
    </w:p>
    <w:p>
      <w:pPr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20"/>
          <w:szCs w:val="20"/>
        </w:rPr>
        <w:t xml:space="preserve">    &lt;counter&gt;LINE&lt;/counter&gt;</w:t>
      </w:r>
    </w:p>
    <w:p>
      <w:pPr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20"/>
          <w:szCs w:val="20"/>
        </w:rPr>
        <w:t xml:space="preserve">    &lt;value&gt;COVEREDRATIO&lt;/value&gt;</w:t>
      </w:r>
    </w:p>
    <w:p>
      <w:pPr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20"/>
          <w:szCs w:val="20"/>
        </w:rPr>
        <w:t xml:space="preserve">    &lt;minimum&gt;0.80&lt;/minimum&gt;</w:t>
      </w:r>
    </w:p>
    <w:p>
      <w:pPr>
        <w:pBdr>
          <w:left w:val="single" w:color="9DBBD8" w:sz="12" w:space="6"/>
        </w:pBdr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20"/>
          <w:szCs w:val="20"/>
        </w:rPr>
        <w:t xml:space="preserve">&lt;/limit&gt;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Control de medios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GitHub Flow: la rama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 está protegida (sin push directo, un pull request aprobado y el build de Jenkins en verde para hacer merge). El repositorio se respalda cada semana con </w:t>
      </w:r>
      <w:r>
        <w:rPr>
          <w:rFonts w:ascii="Consolas" w:cs="Consolas" w:eastAsia="Consolas" w:hAnsi="Consolas"/>
          <w:sz w:val="20"/>
          <w:szCs w:val="20"/>
        </w:rPr>
        <w:t xml:space="preserve">git bundle</w:t>
      </w:r>
      <w:r>
        <w:rPr>
          <w:rFonts w:ascii="Calibri" w:cs="Calibri" w:eastAsia="Calibri" w:hAnsi="Calibri"/>
          <w:sz w:val="22"/>
          <w:szCs w:val="22"/>
        </w:rPr>
        <w:t xml:space="preserve"> en el Drive de la facultad, con retención de 3 meses; la restauración se prueba una vez por mes. La base de datos de staging se respalda cada noche con </w:t>
      </w:r>
      <w:r>
        <w:rPr>
          <w:rFonts w:ascii="Consolas" w:cs="Consolas" w:eastAsia="Consolas" w:hAnsi="Consolas"/>
          <w:sz w:val="20"/>
          <w:szCs w:val="20"/>
        </w:rPr>
        <w:t xml:space="preserve">pg_dump</w:t>
      </w:r>
      <w:r>
        <w:rPr>
          <w:rFonts w:ascii="Calibri" w:cs="Calibri" w:eastAsia="Calibri" w:hAnsi="Calibri"/>
          <w:sz w:val="22"/>
          <w:szCs w:val="22"/>
        </w:rPr>
        <w:t xml:space="preserve">. Solo la líder y el arquitecto tienen permiso de administración en GitHub y Jenkins.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color w:val="1F4E79"/>
          <w:sz w:val="32"/>
          <w:szCs w:val="32"/>
        </w:rPr>
        <w:t xml:space="preserve">11. Control de proveedores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Criterios de selección: toda dependencia nueva debe tener una licencia compatible con el uso académico (MIT, Apache 2.0, EPL 2.0 o BSD), al menos un release en los últimos 12 meses y una comunidad activa. Entra al proyecto por un pull request que la registra en la hoja Componentes de terceros de matrices-sqap.xlsx (nombre, versión, licencia, justificación, responsable y fecha de la última revisión de seguridad).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Inventario: las 21 dependencias directas de Maven del backend y las 22 de npm del frontend (Sección 9) están registradas en esa hoja y se revisan al agregar una dependencia y una vez por mes.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Análisis de vulnerabilidades: Dependabot en cada pull request, con el mismo umbral de la Sección 5 (0 vulnerabilidades altas o críticas). Revisión de licencias: en la revisión mensual, el Arquitecto verifica que ninguna dependencia haya cambiado a una licencia incompatible. Responsable: Bruno Mamani (Arquitecto).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color w:val="1F4E79"/>
          <w:sz w:val="32"/>
          <w:szCs w:val="32"/>
        </w:rPr>
        <w:t xml:space="preserve">12. Registros: recolección, mantenimiento y retención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5"/>
        <w:gridCol w:w="3665"/>
        <w:gridCol w:w="2750"/>
      </w:tblGrid>
      <w:tr>
        <w:trPr>
          <w:cantSplit/>
          <w:tblHeader/>
        </w:trPr>
        <w:tc>
          <w:tcPr>
            <w:tcW w:type="dxa" w:w="3665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Evidencia</w:t>
            </w:r>
          </w:p>
        </w:tc>
        <w:tc>
          <w:tcPr>
            <w:tcW w:type="dxa" w:w="3665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Ubicación</w:t>
            </w:r>
          </w:p>
        </w:tc>
        <w:tc>
          <w:tcPr>
            <w:tcW w:type="dxa" w:w="275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Retención</w:t>
            </w:r>
          </w:p>
        </w:tc>
      </w:tr>
      <w:tr>
        <w:trPr>
          <w:cantSplit/>
          <w:tblHeader w:val="false"/>
        </w:trPr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Actas de revisión e inspección</w:t>
            </w:r>
          </w:p>
        </w:tc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docs/actas/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en el repositorio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Toda la vida del proyecto</w:t>
            </w:r>
          </w:p>
        </w:tc>
      </w:tr>
      <w:tr>
        <w:trPr>
          <w:cantSplit/>
          <w:tblHeader w:val="false"/>
        </w:trPr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Informes de pruebas JUnit y JaCoCo</w:t>
            </w:r>
          </w:p>
        </w:tc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Artefactos del build en Jenkins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 builds</w:t>
            </w:r>
          </w:p>
        </w:tc>
      </w:tr>
      <w:tr>
        <w:trPr>
          <w:cantSplit/>
          <w:tblHeader w:val="false"/>
        </w:trPr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Dashboards de JMeter</w:t>
            </w:r>
          </w:p>
        </w:tc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Artefactos del build de cada release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Toda la vida del proyecto</w:t>
            </w:r>
          </w:p>
        </w:tc>
      </w:tr>
      <w:tr>
        <w:trPr>
          <w:cantSplit/>
          <w:tblHeader w:val="false"/>
        </w:trPr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Informes de SonarQube</w:t>
            </w:r>
          </w:p>
        </w:tc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Servidor SonarQube del equipo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 meses</w:t>
            </w:r>
          </w:p>
        </w:tc>
      </w:tr>
      <w:tr>
        <w:trPr>
          <w:cantSplit/>
          <w:tblHeader w:val="false"/>
        </w:trPr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Issues de defectos</w:t>
            </w:r>
          </w:p>
        </w:tc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 Issues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Toda la vida del proyecto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color w:val="1F4E79"/>
          <w:sz w:val="32"/>
          <w:szCs w:val="32"/>
        </w:rPr>
        <w:t xml:space="preserve">13. Capacitación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2290"/>
        <w:gridCol w:w="5041"/>
      </w:tblGrid>
      <w:tr>
        <w:trPr>
          <w:cantSplit/>
          <w:tblHeader/>
        </w:trPr>
        <w:tc>
          <w:tcPr>
            <w:tcW w:type="dxa" w:w="274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Competencia</w:t>
            </w:r>
          </w:p>
        </w:tc>
        <w:tc>
          <w:tcPr>
            <w:tcW w:type="dxa" w:w="229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Quién</w:t>
            </w:r>
          </w:p>
        </w:tc>
        <w:tc>
          <w:tcPr>
            <w:tcW w:type="dxa" w:w="5041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Sesión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Testcontainers</w:t>
            </w:r>
          </w:p>
        </w:tc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Ana, Bruno</w:t>
            </w:r>
          </w:p>
        </w:tc>
        <w:tc>
          <w:tcPr>
            <w:tcW w:type="dxa" w:w="50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Taller interno de 2 horas, semana 2 (dicta Bruno)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Inspecciones Fagan</w:t>
            </w:r>
          </w:p>
        </w:tc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Todo el equipo</w:t>
            </w:r>
          </w:p>
        </w:tc>
        <w:tc>
          <w:tcPr>
            <w:tcW w:type="dxa" w:w="50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Lectura de IEEE 1028 y simulacro con el SRS, semana 1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JMeter en el pipeline</w:t>
            </w:r>
          </w:p>
        </w:tc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Diego</w:t>
            </w:r>
          </w:p>
        </w:tc>
        <w:tc>
          <w:tcPr>
            <w:tcW w:type="dxa" w:w="50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Repaso de las Prácticas 5 y 6, semana 3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color w:val="1F4E79"/>
          <w:sz w:val="32"/>
          <w:szCs w:val="32"/>
        </w:rPr>
        <w:t xml:space="preserve">14. Gestión de riesgos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Escala de 1 (bajo) a 3 (alto). Exposición = probabilidad × impacto. Nivel: 1–2 bajo, 3–4 medio, 6–9 alto.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458"/>
        <w:gridCol w:w="458"/>
        <w:gridCol w:w="1191"/>
        <w:gridCol w:w="4215"/>
        <w:gridCol w:w="1009"/>
      </w:tblGrid>
      <w:tr>
        <w:trPr>
          <w:cantSplit/>
          <w:tblHeader/>
        </w:trPr>
        <w:tc>
          <w:tcPr>
            <w:tcW w:type="dxa" w:w="274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Riesgo</w:t>
            </w:r>
          </w:p>
        </w:tc>
        <w:tc>
          <w:tcPr>
            <w:tcW w:type="dxa" w:w="458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</w:t>
            </w:r>
          </w:p>
        </w:tc>
        <w:tc>
          <w:tcPr>
            <w:tcW w:type="dxa" w:w="458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1191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Exposición</w:t>
            </w:r>
          </w:p>
        </w:tc>
        <w:tc>
          <w:tcPr>
            <w:tcW w:type="dxa" w:w="4215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Mitigación</w:t>
            </w:r>
          </w:p>
        </w:tc>
        <w:tc>
          <w:tcPr>
            <w:tcW w:type="dxa" w:w="100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Resp.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Rotación o abandono de un integrante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 — Alto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Pair programming en Préstamos y Multas; cada módulo documentado en el wiki del repositorio antes de cerrar la historia; revisión quincenal de la carga de trabajo en la planificación.</w:t>
            </w:r>
          </w:p>
        </w:tc>
        <w:tc>
          <w:tcPr>
            <w:tcW w:type="dxa" w:w="1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Requerimientos ambiguos de la bibliotecaria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 — Alto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Revisión del SRS con la cliente en la semana 1; prototipo navegable validado antes del sprint 2.</w:t>
            </w:r>
          </w:p>
        </w:tc>
        <w:tc>
          <w:tcPr>
            <w:tcW w:type="dxa" w:w="1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Bruno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Deuda técnica por presión de cronograma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 — Alto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Quality Gate bloqueante en el pipeline; 10 % de cada sprint para refactorizar.</w:t>
            </w:r>
          </w:p>
        </w:tc>
        <w:tc>
          <w:tcPr>
            <w:tcW w:type="dxa" w:w="1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Carla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Falla del servidor Jenkins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— Bajo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Configuración en Git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Jenkinsfile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docker-compose); reinstalación probada en la semana 2.</w:t>
            </w:r>
          </w:p>
        </w:tc>
        <w:tc>
          <w:tcPr>
            <w:tcW w:type="dxa" w:w="1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Carla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Vulnerabilidad crítica en una dependencia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 — Alto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Dependabot en cada PR; actualización mensual de dependencias.</w:t>
            </w:r>
          </w:p>
        </w:tc>
        <w:tc>
          <w:tcPr>
            <w:tcW w:type="dxa" w:w="1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Bruno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 de prueba con información personal real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 — Medio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 sintéticos generados con un script versionado; prohibido copiar la base de producción.</w:t>
            </w:r>
          </w:p>
        </w:tc>
        <w:tc>
          <w:tcPr>
            <w:tcW w:type="dxa" w:w="1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Carla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color w:val="1F4E79"/>
          <w:sz w:val="32"/>
          <w:szCs w:val="32"/>
        </w:rPr>
        <w:t xml:space="preserve">15. Glosario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0"/>
        <w:gridCol w:w="7790"/>
      </w:tblGrid>
      <w:tr>
        <w:trPr>
          <w:cantSplit/>
          <w:tblHeader/>
        </w:trPr>
        <w:tc>
          <w:tcPr>
            <w:tcW w:type="dxa" w:w="229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Término</w:t>
            </w:r>
          </w:p>
        </w:tc>
        <w:tc>
          <w:tcPr>
            <w:tcW w:type="dxa" w:w="779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Definición</w:t>
            </w:r>
          </w:p>
        </w:tc>
      </w:tr>
      <w:tr>
        <w:trPr>
          <w:cantSplit/>
          <w:tblHeader w:val="false"/>
        </w:trPr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Préstamo</w:t>
            </w:r>
          </w:p>
        </w:tc>
        <w:tc>
          <w:tcPr>
            <w:tcW w:type="dxa" w:w="77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Registro de la entrega de un ejemplar a un usuario, con fecha de devolución prevista.</w:t>
            </w:r>
          </w:p>
        </w:tc>
      </w:tr>
      <w:tr>
        <w:trPr>
          <w:cantSplit/>
          <w:tblHeader w:val="false"/>
        </w:trPr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Multa</w:t>
            </w:r>
          </w:p>
        </w:tc>
        <w:tc>
          <w:tcPr>
            <w:tcW w:type="dxa" w:w="77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Monto por día de retraso en la devolución de un ejemplar.</w:t>
            </w:r>
          </w:p>
        </w:tc>
      </w:tr>
      <w:tr>
        <w:trPr>
          <w:cantSplit/>
          <w:tblHeader w:val="false"/>
        </w:trPr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p95</w:t>
            </w:r>
          </w:p>
        </w:tc>
        <w:tc>
          <w:tcPr>
            <w:tcW w:type="dxa" w:w="77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Valor por debajo del cual está el 95 % de los tiempos de respuesta medidos.</w:t>
            </w:r>
          </w:p>
        </w:tc>
      </w:tr>
      <w:tr>
        <w:trPr>
          <w:cantSplit/>
          <w:tblHeader w:val="false"/>
        </w:trPr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Quality Gate</w:t>
            </w:r>
          </w:p>
        </w:tc>
        <w:tc>
          <w:tcPr>
            <w:tcW w:type="dxa" w:w="77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Conjunto de condiciones de SonarQube que un cambio debe cumplir para aceptarse.</w:t>
            </w:r>
          </w:p>
        </w:tc>
      </w:tr>
      <w:tr>
        <w:trPr>
          <w:cantSplit/>
          <w:tblHeader w:val="false"/>
        </w:trPr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SUS</w:t>
            </w:r>
          </w:p>
        </w:tc>
        <w:tc>
          <w:tcPr>
            <w:tcW w:type="dxa" w:w="77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System Usability Scale: cuestionario de 10 ítems con puntaje de 0 a 100.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color w:val="1F4E79"/>
          <w:sz w:val="32"/>
          <w:szCs w:val="32"/>
        </w:rPr>
        <w:t xml:space="preserve">16. Procedimiento de cambio e historia del SQAP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Cualquier integrante puede proponer un cambio mediante un pull request sobre </w:t>
      </w:r>
      <w:r>
        <w:rPr>
          <w:rFonts w:ascii="Consolas" w:cs="Consolas" w:eastAsia="Consolas" w:hAnsi="Consolas"/>
          <w:sz w:val="20"/>
          <w:szCs w:val="20"/>
        </w:rPr>
        <w:t xml:space="preserve">docs/sqap.docx</w:t>
      </w:r>
      <w:r>
        <w:rPr>
          <w:rFonts w:ascii="Calibri" w:cs="Calibri" w:eastAsia="Calibri" w:hAnsi="Calibri"/>
          <w:sz w:val="22"/>
          <w:szCs w:val="22"/>
        </w:rPr>
        <w:t xml:space="preserve">. Lo aprueba la Responsable SQA y, si cambia un umbral, también la líder de proyecto.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466"/>
        <w:gridCol w:w="4581"/>
        <w:gridCol w:w="1557"/>
        <w:gridCol w:w="1468"/>
      </w:tblGrid>
      <w:tr>
        <w:trPr>
          <w:cantSplit/>
          <w:tblHeader/>
        </w:trPr>
        <w:tc>
          <w:tcPr>
            <w:tcW w:type="dxa" w:w="1008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Versión</w:t>
            </w:r>
          </w:p>
        </w:tc>
        <w:tc>
          <w:tcPr>
            <w:tcW w:type="dxa" w:w="146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</w:t>
            </w:r>
          </w:p>
        </w:tc>
        <w:tc>
          <w:tcPr>
            <w:tcW w:type="dxa" w:w="4581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Cambio</w:t>
            </w:r>
          </w:p>
        </w:tc>
        <w:tc>
          <w:tcPr>
            <w:tcW w:type="dxa" w:w="1557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Autor</w:t>
            </w:r>
          </w:p>
        </w:tc>
        <w:tc>
          <w:tcPr>
            <w:tcW w:type="dxa" w:w="1468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Revisor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0.1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04/08/2026</w:t>
            </w:r>
          </w:p>
        </w:tc>
        <w:tc>
          <w:tcPr>
            <w:tcW w:type="dxa" w:w="45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Versión inicial: Secciones 1 a 4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 Quispe</w:t>
            </w:r>
          </w:p>
        </w:tc>
        <w:tc>
          <w:tcPr>
            <w:tcW w:type="dxa" w:w="1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Bruno Mamani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0.5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18/08/2026</w:t>
            </w:r>
          </w:p>
        </w:tc>
        <w:tc>
          <w:tcPr>
            <w:tcW w:type="dxa" w:w="45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Métricas, pruebas y herramientas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Carla Flores</w:t>
            </w:r>
          </w:p>
        </w:tc>
        <w:tc>
          <w:tcPr>
            <w:tcW w:type="dxa" w:w="1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Diego Choque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0.9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01/09/2026</w:t>
            </w:r>
          </w:p>
        </w:tc>
        <w:tc>
          <w:tcPr>
            <w:tcW w:type="dxa" w:w="45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Riesgos, glosario; aprobado por el equipo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 Quispe</w:t>
            </w:r>
          </w:p>
        </w:tc>
        <w:tc>
          <w:tcPr>
            <w:tcW w:type="dxa" w:w="1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Todo el equipo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0.9.1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04/10/2026</w:t>
            </w:r>
          </w:p>
        </w:tc>
        <w:tc>
          <w:tcPr>
            <w:tcW w:type="dxa" w:w="45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Sección 5: métrica de usabilidad medible y trazable a RNF-03 (tasa de éxito con 5 usuarios nuevos y SUS).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Galvan</w:t>
            </w:r>
          </w:p>
        </w:tc>
        <w:tc>
          <w:tcPr>
            <w:tcW w:type="dxa" w:w="1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Lujan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0.9.2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04/10/2026</w:t>
            </w:r>
          </w:p>
        </w:tc>
        <w:tc>
          <w:tcPr>
            <w:tcW w:type="dxa" w:w="45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Sección 3: la Responsable SQA deja de programar Préstamos y Multas; los desarrollan Bruno Mamani y Ana Quispe.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Lujan</w:t>
            </w:r>
          </w:p>
        </w:tc>
        <w:tc>
          <w:tcPr>
            <w:tcW w:type="dxa" w:w="1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Galvan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0.9.3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04/10/2026</w:t>
            </w:r>
          </w:p>
        </w:tc>
        <w:tc>
          <w:tcPr>
            <w:tcW w:type="dxa" w:w="45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Sección 5: el p95 de la búsqueda se mide con JMeter, 100 usuarios, 10 min, staging, en cada release candidate (RNF-01).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Galvan</w:t>
            </w:r>
          </w:p>
        </w:tc>
        <w:tc>
          <w:tcPr>
            <w:tcW w:type="dxa" w:w="1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Lujan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0.9.4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04/10/2026</w:t>
            </w:r>
          </w:p>
        </w:tc>
        <w:tc>
          <w:tcPr>
            <w:tcW w:type="dxa" w:w="45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Sección 9: Quality Gate y regla de JaCoCo de 50 % a 80 %, igual que las Secciones 5 y 7.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Lujan</w:t>
            </w:r>
          </w:p>
        </w:tc>
        <w:tc>
          <w:tcPr>
            <w:tcW w:type="dxa" w:w="1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Galvan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0.9.5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04/10/2026</w:t>
            </w:r>
          </w:p>
        </w:tc>
        <w:tc>
          <w:tcPr>
            <w:tcW w:type="dxa" w:w="45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Nueva Sección 11, Control de proveedores (21 + 22 dependencias); las Secciones 11 a 15 pasan a ser 12 a 16.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Galvan</w:t>
            </w:r>
          </w:p>
        </w:tc>
        <w:tc>
          <w:tcPr>
            <w:tcW w:type="dxa" w:w="1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Lujan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0.9.6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04/10/2026</w:t>
            </w:r>
          </w:p>
        </w:tc>
        <w:tc>
          <w:tcPr>
            <w:tcW w:type="dxa" w:w="45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Sección 14: riesgo de rotación con exposición 3 × 3 = 9 (Alto) y mitigación accionable.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Lujan</w:t>
            </w:r>
          </w:p>
        </w:tc>
        <w:tc>
          <w:tcPr>
            <w:tcW w:type="dxa" w:w="1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Galvan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04/10/2026</w:t>
            </w:r>
          </w:p>
        </w:tc>
        <w:tc>
          <w:tcPr>
            <w:tcW w:type="dxa" w:w="45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Plan corregido tras la auditoría: cumple los siete indicadores de la regla del plan verificable, sin cambiar el alcance.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Galvan</w:t>
            </w:r>
          </w:p>
        </w:tc>
        <w:tc>
          <w:tcPr>
            <w:tcW w:type="dxa" w:w="1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Lujan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Anexo — Extracto de requerimientos no funcionales (SRS 1.2)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4"/>
        <w:gridCol w:w="8706"/>
      </w:tblGrid>
      <w:tr>
        <w:trPr>
          <w:cantSplit/>
          <w:tblHeader/>
        </w:trPr>
        <w:tc>
          <w:tcPr>
            <w:tcW w:type="dxa" w:w="1374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870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Requerimiento</w:t>
            </w:r>
          </w:p>
        </w:tc>
      </w:tr>
      <w:tr>
        <w:trPr>
          <w:cantSplit/>
          <w:tblHeader w:val="false"/>
        </w:trPr>
        <w:tc>
          <w:tcPr>
            <w:tcW w:type="dxa" w:w="1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RNF-01</w:t>
            </w:r>
          </w:p>
        </w:tc>
        <w:tc>
          <w:tcPr>
            <w:tcW w:type="dxa" w:w="8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búsqueda de libros debe responder en menos de 800 ms para el 95 % de las consultas con 100 usuarios concurrentes (horario pico de exámenes).</w:t>
            </w:r>
          </w:p>
        </w:tc>
      </w:tr>
      <w:tr>
        <w:trPr>
          <w:cantSplit/>
          <w:tblHeader w:val="false"/>
        </w:trPr>
        <w:tc>
          <w:tcPr>
            <w:tcW w:type="dxa" w:w="1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RNF-02</w:t>
            </w:r>
          </w:p>
        </w:tc>
        <w:tc>
          <w:tcPr>
            <w:tcW w:type="dxa" w:w="8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sistema debe estar disponible el 99 % del horario de servicio (lunes a sábado, 7:00 a 22:00).</w:t>
            </w:r>
          </w:p>
        </w:tc>
      </w:tr>
      <w:tr>
        <w:trPr>
          <w:cantSplit/>
          <w:tblHeader w:val="false"/>
        </w:trPr>
        <w:tc>
          <w:tcPr>
            <w:tcW w:type="dxa" w:w="1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RNF-03</w:t>
            </w:r>
          </w:p>
        </w:tc>
        <w:tc>
          <w:tcPr>
            <w:tcW w:type="dxa" w:w="8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 estudiante que nunca usó el sistema debe poder registrar un préstamo sin ayuda.</w:t>
            </w:r>
          </w:p>
        </w:tc>
      </w:tr>
      <w:tr>
        <w:trPr>
          <w:cantSplit/>
          <w:tblHeader w:val="false"/>
        </w:trPr>
        <w:tc>
          <w:tcPr>
            <w:tcW w:type="dxa" w:w="1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RNF-04</w:t>
            </w:r>
          </w:p>
        </w:tc>
        <w:tc>
          <w:tcPr>
            <w:tcW w:type="dxa" w:w="8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Los datos personales de los usuarios deben protegerse: tránsito cifrado y ninguna vulnerabilidad conocida alta o crítica.</w:t>
            </w:r>
          </w:p>
        </w:tc>
      </w:tr>
      <w:tr>
        <w:trPr>
          <w:cantSplit/>
          <w:tblHeader w:val="false"/>
        </w:trPr>
        <w:tc>
          <w:tcPr>
            <w:tcW w:type="dxa" w:w="1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RNF-05</w:t>
            </w:r>
          </w:p>
        </w:tc>
        <w:tc>
          <w:tcPr>
            <w:tcW w:type="dxa" w:w="8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código debe poder ser mantenido por el equipo de la siguiente gestión.</w:t>
            </w:r>
          </w:p>
        </w:tc>
      </w:tr>
      <w:tr>
        <w:trPr>
          <w:cantSplit/>
          <w:tblHeader w:val="false"/>
        </w:trPr>
        <w:tc>
          <w:tcPr>
            <w:tcW w:type="dxa" w:w="1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RNF-06</w:t>
            </w:r>
          </w:p>
        </w:tc>
        <w:tc>
          <w:tcPr>
            <w:tcW w:type="dxa" w:w="8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cálculo de multas debe ser exacto según el reglamento de la biblioteca (Bs 2 por día de retraso, tope de Bs 60).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SQAP BIBLIOUSFX v0.9</dc:title>
  <dc:creator>COM450</dc:creator>
  <cp:lastModifiedBy>Un-named</cp:lastModifiedBy>
  <cp:revision>1</cp:revision>
  <dcterms:created xsi:type="dcterms:W3CDTF">2026-10-02T10:46:18.614Z</dcterms:created>
  <dcterms:modified xsi:type="dcterms:W3CDTF">2026-10-02T10:46:18.614Z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