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612" w:type="dxa"/>
        <w:tblInd w:w="-2" w:type="dxa"/>
        <w:tblLayout w:type="fixed"/>
        <w:tblCellMar>
          <w:left w:w="70" w:type="dxa"/>
          <w:right w:w="70" w:type="dxa"/>
        </w:tblCellMar>
        <w:tblLook w:val="0000" w:firstRow="0" w:lastRow="0" w:firstColumn="0" w:lastColumn="0" w:noHBand="0" w:noVBand="0"/>
      </w:tblPr>
      <w:tblGrid>
        <w:gridCol w:w="1133"/>
        <w:gridCol w:w="3377"/>
        <w:gridCol w:w="2400"/>
        <w:gridCol w:w="2684"/>
        <w:gridCol w:w="18"/>
      </w:tblGrid>
      <w:tr w:rsidR="002F41EE">
        <w:tblPrEx>
          <w:tblCellMar>
            <w:top w:w="0" w:type="dxa"/>
            <w:bottom w:w="0" w:type="dxa"/>
          </w:tblCellMar>
        </w:tblPrEx>
        <w:trPr>
          <w:cantSplit/>
        </w:trPr>
        <w:tc>
          <w:tcPr>
            <w:tcW w:w="9612" w:type="dxa"/>
            <w:gridSpan w:val="5"/>
          </w:tcPr>
          <w:p w:rsidR="002F41EE" w:rsidRDefault="002F41EE">
            <w:pPr>
              <w:keepNext/>
              <w:keepLines/>
            </w:pPr>
            <w:bookmarkStart w:id="0" w:name="_GoBack"/>
            <w:bookmarkEnd w:id="0"/>
          </w:p>
        </w:tc>
      </w:tr>
      <w:tr w:rsidR="002F41EE">
        <w:tblPrEx>
          <w:tblCellMar>
            <w:top w:w="0" w:type="dxa"/>
            <w:left w:w="71" w:type="dxa"/>
            <w:bottom w:w="0" w:type="dxa"/>
            <w:right w:w="71" w:type="dxa"/>
          </w:tblCellMar>
        </w:tblPrEx>
        <w:trPr>
          <w:cantSplit/>
          <w:trHeight w:val="1168"/>
        </w:trPr>
        <w:tc>
          <w:tcPr>
            <w:tcW w:w="9612" w:type="dxa"/>
            <w:gridSpan w:val="5"/>
          </w:tcPr>
          <w:p w:rsidR="002F41EE" w:rsidRDefault="002F41EE">
            <w:pPr>
              <w:pStyle w:val="Title"/>
              <w:keepLines/>
              <w:spacing w:before="240" w:after="240"/>
              <w:ind w:left="0"/>
              <w:rPr>
                <w:sz w:val="28"/>
                <w:szCs w:val="28"/>
              </w:rPr>
            </w:pPr>
            <w:hyperlink w:anchor="_Table_of_contents" w:history="1">
              <w:r>
                <w:rPr>
                  <w:sz w:val="28"/>
                  <w:szCs w:val="28"/>
                </w:rPr>
                <w:fldChar w:fldCharType="begin"/>
              </w:r>
              <w:r>
                <w:rPr>
                  <w:sz w:val="28"/>
                  <w:szCs w:val="28"/>
                </w:rPr>
                <w:instrText xml:space="preserve"> DOCPROPERTY "Document Type"  \* MERGEFORMAT </w:instrText>
              </w:r>
              <w:r>
                <w:rPr>
                  <w:sz w:val="28"/>
                  <w:szCs w:val="28"/>
                </w:rPr>
                <w:fldChar w:fldCharType="separate"/>
              </w:r>
              <w:bookmarkStart w:id="1" w:name="_Toc382298051"/>
              <w:bookmarkStart w:id="2" w:name="_Toc443035813"/>
              <w:r w:rsidR="005A26F6">
                <w:rPr>
                  <w:sz w:val="28"/>
                  <w:szCs w:val="28"/>
                </w:rPr>
                <w:t>Clinical Trial Protocol</w:t>
              </w:r>
              <w:bookmarkEnd w:id="1"/>
              <w:bookmarkEnd w:id="2"/>
              <w:r>
                <w:rPr>
                  <w:sz w:val="28"/>
                  <w:szCs w:val="28"/>
                </w:rPr>
                <w:fldChar w:fldCharType="end"/>
              </w:r>
            </w:hyperlink>
          </w:p>
          <w:p w:rsidR="002F41EE" w:rsidRDefault="00623B44" w:rsidP="00623B44">
            <w:pPr>
              <w:jc w:val="center"/>
            </w:pPr>
            <w:r w:rsidRPr="00755F51">
              <w:rPr>
                <w:rStyle w:val="xCoverDocTitleCar"/>
              </w:rPr>
              <w:t>A 26-week open-label study assessing the efficacy and safety of the insulin glargine/lixisenatide fixed ratio combination in adults with Type 2 Diabetes inadequately controlled on GLP-1 receptor agonist and metformin ± pioglitazone</w:t>
            </w:r>
          </w:p>
        </w:tc>
      </w:tr>
      <w:tr w:rsidR="002F41EE">
        <w:tblPrEx>
          <w:tblCellMar>
            <w:top w:w="0" w:type="dxa"/>
            <w:bottom w:w="0" w:type="dxa"/>
          </w:tblCellMar>
        </w:tblPrEx>
        <w:trPr>
          <w:gridAfter w:val="1"/>
          <w:wAfter w:w="18" w:type="dxa"/>
          <w:cantSplit/>
          <w:trHeight w:hRule="exact" w:val="6405"/>
        </w:trPr>
        <w:tc>
          <w:tcPr>
            <w:tcW w:w="9594" w:type="dxa"/>
            <w:gridSpan w:val="4"/>
            <w:tcBorders>
              <w:top w:val="single" w:sz="6" w:space="0" w:color="000000"/>
              <w:left w:val="nil"/>
              <w:bottom w:val="single" w:sz="6" w:space="0" w:color="000000"/>
              <w:right w:val="nil"/>
            </w:tcBorders>
          </w:tcPr>
          <w:p w:rsidR="00623B44" w:rsidRDefault="002F41EE">
            <w:pPr>
              <w:pStyle w:val="xCoverDocTitle"/>
            </w:pPr>
            <w:r>
              <w:t xml:space="preserve">COMPOUND: </w:t>
            </w:r>
            <w:r w:rsidR="00623B44" w:rsidRPr="00623B44">
              <w:t>HOE901 (insulin glargine) / AVE0010 (lixisenatide) combination</w:t>
            </w:r>
          </w:p>
          <w:p w:rsidR="002F41EE" w:rsidRDefault="00623B44">
            <w:pPr>
              <w:pStyle w:val="xCoverDocTitle"/>
            </w:pPr>
            <w:r>
              <w:t>(HOE901/AVE0010)</w:t>
            </w:r>
            <w:r w:rsidR="002F41EE">
              <w:t xml:space="preserve">  </w:t>
            </w:r>
          </w:p>
          <w:p w:rsidR="002F41EE" w:rsidRDefault="002F41EE">
            <w:pPr>
              <w:pStyle w:val="xCoverDocTitle"/>
            </w:pPr>
            <w:r>
              <w:t xml:space="preserve">STUDY NUMBER: </w:t>
            </w:r>
            <w:fldSimple w:instr=" DOCPROPERTY &quot;Product Code&quot;  \* MERGEFORMAT ">
              <w:r w:rsidR="005A26F6">
                <w:t>EFC13794</w:t>
              </w:r>
            </w:fldSimple>
          </w:p>
          <w:p w:rsidR="002F41EE" w:rsidRDefault="002F41EE">
            <w:pPr>
              <w:pStyle w:val="xCoverDocTitle"/>
              <w:rPr>
                <w:highlight w:val="cyan"/>
              </w:rPr>
            </w:pPr>
            <w:r w:rsidRPr="00623B44">
              <w:t xml:space="preserve">STUDY NAME: </w:t>
            </w:r>
            <w:r w:rsidR="00623B44" w:rsidRPr="00623B44">
              <w:t>LixiLan-G</w:t>
            </w:r>
          </w:p>
          <w:p w:rsidR="002F41EE" w:rsidRDefault="002F41EE">
            <w:pPr>
              <w:pStyle w:val="xCoverDocTitle"/>
              <w:keepNext/>
              <w:keepLines/>
            </w:pPr>
          </w:p>
        </w:tc>
      </w:tr>
      <w:tr w:rsidR="002F41EE">
        <w:tblPrEx>
          <w:tblCellMar>
            <w:top w:w="0" w:type="dxa"/>
            <w:left w:w="71" w:type="dxa"/>
            <w:bottom w:w="0" w:type="dxa"/>
            <w:right w:w="71" w:type="dxa"/>
          </w:tblCellMar>
        </w:tblPrEx>
        <w:trPr>
          <w:cantSplit/>
          <w:trHeight w:val="652"/>
        </w:trPr>
        <w:tc>
          <w:tcPr>
            <w:tcW w:w="1133" w:type="dxa"/>
            <w:tcBorders>
              <w:top w:val="single" w:sz="6" w:space="0" w:color="auto"/>
              <w:bottom w:val="single" w:sz="6" w:space="0" w:color="auto"/>
            </w:tcBorders>
          </w:tcPr>
          <w:p w:rsidR="002F41EE" w:rsidRDefault="002F41EE">
            <w:pPr>
              <w:pStyle w:val="xCover"/>
              <w:keepNext/>
              <w:keepLines/>
            </w:pPr>
            <w:r>
              <w:t>Version Number:</w:t>
            </w:r>
          </w:p>
        </w:tc>
        <w:tc>
          <w:tcPr>
            <w:tcW w:w="3377" w:type="dxa"/>
            <w:tcBorders>
              <w:top w:val="single" w:sz="6" w:space="0" w:color="auto"/>
              <w:bottom w:val="single" w:sz="6" w:space="0" w:color="auto"/>
            </w:tcBorders>
          </w:tcPr>
          <w:p w:rsidR="002F41EE" w:rsidRDefault="002F41EE">
            <w:pPr>
              <w:pStyle w:val="xCover"/>
              <w:keepNext/>
              <w:keepLines/>
            </w:pPr>
            <w:fldSimple w:instr=" DOCPROPERTY &quot;Document Status&quot;  \* MERGEFORMAT ">
              <w:r w:rsidR="005A26F6">
                <w:t>1</w:t>
              </w:r>
            </w:fldSimple>
          </w:p>
        </w:tc>
        <w:tc>
          <w:tcPr>
            <w:tcW w:w="2400" w:type="dxa"/>
            <w:tcBorders>
              <w:top w:val="single" w:sz="6" w:space="0" w:color="auto"/>
              <w:bottom w:val="single" w:sz="6" w:space="0" w:color="auto"/>
            </w:tcBorders>
          </w:tcPr>
          <w:p w:rsidR="00865897" w:rsidRDefault="00865897">
            <w:pPr>
              <w:pStyle w:val="xCover"/>
              <w:keepNext/>
              <w:keepLines/>
            </w:pPr>
            <w:r>
              <w:t>EudraCT</w:t>
            </w:r>
          </w:p>
          <w:p w:rsidR="002F41EE" w:rsidRDefault="00865897">
            <w:pPr>
              <w:pStyle w:val="xCover"/>
              <w:keepNext/>
              <w:keepLines/>
            </w:pPr>
            <w:r>
              <w:t>IND n</w:t>
            </w:r>
            <w:r w:rsidR="002F41EE">
              <w:t>umber</w:t>
            </w:r>
          </w:p>
        </w:tc>
        <w:tc>
          <w:tcPr>
            <w:tcW w:w="2702" w:type="dxa"/>
            <w:gridSpan w:val="2"/>
            <w:tcBorders>
              <w:top w:val="single" w:sz="6" w:space="0" w:color="auto"/>
              <w:bottom w:val="single" w:sz="6" w:space="0" w:color="auto"/>
            </w:tcBorders>
          </w:tcPr>
          <w:p w:rsidR="002F41EE" w:rsidRDefault="00865897">
            <w:pPr>
              <w:pStyle w:val="xCover"/>
              <w:keepNext/>
              <w:keepLines/>
            </w:pPr>
            <w:r w:rsidRPr="00865897">
              <w:t>2014-004850-32</w:t>
            </w:r>
          </w:p>
          <w:p w:rsidR="000B3BE4" w:rsidRDefault="000B3BE4">
            <w:pPr>
              <w:pStyle w:val="xCover"/>
              <w:keepNext/>
              <w:keepLines/>
            </w:pPr>
            <w:r>
              <w:t>105157</w:t>
            </w:r>
          </w:p>
        </w:tc>
      </w:tr>
      <w:tr w:rsidR="002F41EE">
        <w:tblPrEx>
          <w:tblCellMar>
            <w:top w:w="0" w:type="dxa"/>
            <w:left w:w="71" w:type="dxa"/>
            <w:bottom w:w="0" w:type="dxa"/>
            <w:right w:w="71" w:type="dxa"/>
          </w:tblCellMar>
        </w:tblPrEx>
        <w:trPr>
          <w:cantSplit/>
          <w:trHeight w:hRule="exact" w:val="646"/>
        </w:trPr>
        <w:tc>
          <w:tcPr>
            <w:tcW w:w="1133" w:type="dxa"/>
            <w:tcBorders>
              <w:top w:val="single" w:sz="6" w:space="0" w:color="auto"/>
              <w:bottom w:val="single" w:sz="6" w:space="0" w:color="auto"/>
            </w:tcBorders>
          </w:tcPr>
          <w:p w:rsidR="002F41EE" w:rsidRDefault="002F41EE">
            <w:pPr>
              <w:pStyle w:val="xCover"/>
              <w:keepNext/>
              <w:keepLines/>
            </w:pPr>
            <w:r>
              <w:t>Date:</w:t>
            </w:r>
          </w:p>
        </w:tc>
        <w:tc>
          <w:tcPr>
            <w:tcW w:w="3377" w:type="dxa"/>
            <w:tcBorders>
              <w:top w:val="single" w:sz="6" w:space="0" w:color="auto"/>
              <w:bottom w:val="single" w:sz="6" w:space="0" w:color="auto"/>
            </w:tcBorders>
          </w:tcPr>
          <w:p w:rsidR="002F41EE" w:rsidRDefault="002F41EE">
            <w:pPr>
              <w:pStyle w:val="xCover"/>
              <w:keepNext/>
              <w:keepLines/>
            </w:pPr>
            <w:fldSimple w:instr=" DOCPROPERTY &quot;Date&quot;  \* MERGEFORMAT ">
              <w:r w:rsidR="005A26F6">
                <w:t>11-Feb-2016</w:t>
              </w:r>
            </w:fldSimple>
          </w:p>
        </w:tc>
        <w:tc>
          <w:tcPr>
            <w:tcW w:w="2400" w:type="dxa"/>
            <w:tcBorders>
              <w:top w:val="single" w:sz="6" w:space="0" w:color="auto"/>
              <w:bottom w:val="single" w:sz="6" w:space="0" w:color="auto"/>
            </w:tcBorders>
          </w:tcPr>
          <w:p w:rsidR="002F41EE" w:rsidRDefault="002F41EE">
            <w:pPr>
              <w:pStyle w:val="xCover"/>
              <w:keepNext/>
              <w:keepLines/>
            </w:pPr>
            <w:r>
              <w:t>Total number of pages:</w:t>
            </w:r>
          </w:p>
        </w:tc>
        <w:tc>
          <w:tcPr>
            <w:tcW w:w="2702" w:type="dxa"/>
            <w:gridSpan w:val="2"/>
            <w:tcBorders>
              <w:top w:val="single" w:sz="6" w:space="0" w:color="auto"/>
              <w:bottom w:val="single" w:sz="6" w:space="0" w:color="auto"/>
            </w:tcBorders>
          </w:tcPr>
          <w:p w:rsidR="002F41EE" w:rsidRDefault="002F41EE">
            <w:pPr>
              <w:pStyle w:val="xCover"/>
              <w:keepNext/>
              <w:keepLines/>
            </w:pPr>
            <w:fldSimple w:instr=" NUMPAGES   \* MERGEFORMAT ">
              <w:r w:rsidR="005A26F6">
                <w:rPr>
                  <w:noProof/>
                </w:rPr>
                <w:t>126</w:t>
              </w:r>
            </w:fldSimple>
          </w:p>
        </w:tc>
      </w:tr>
    </w:tbl>
    <w:p w:rsidR="002F41EE" w:rsidRDefault="002F41EE">
      <w:pPr>
        <w:sectPr w:rsidR="002F41EE" w:rsidSect="00E37F9A">
          <w:headerReference w:type="even" r:id="rId9"/>
          <w:headerReference w:type="default" r:id="rId10"/>
          <w:footerReference w:type="even" r:id="rId11"/>
          <w:footerReference w:type="default" r:id="rId12"/>
          <w:headerReference w:type="first" r:id="rId13"/>
          <w:footerReference w:type="first" r:id="rId14"/>
          <w:pgSz w:w="11907" w:h="16839" w:code="9"/>
          <w:pgMar w:top="1814" w:right="850" w:bottom="2154" w:left="1587" w:header="1134" w:footer="1587" w:gutter="0"/>
          <w:cols w:space="720"/>
          <w:noEndnote/>
          <w:titlePg/>
          <w:docGrid w:linePitch="326"/>
        </w:sectPr>
      </w:pPr>
    </w:p>
    <w:p w:rsidR="002F41EE" w:rsidRDefault="002F41EE">
      <w:pPr>
        <w:pStyle w:val="SubheadingProtocolOutline"/>
        <w:spacing w:before="240"/>
        <w:rPr>
          <w:noProof w:val="0"/>
          <w:sz w:val="28"/>
          <w:szCs w:val="28"/>
          <w:lang w:val="en-US"/>
        </w:rPr>
      </w:pPr>
      <w:r>
        <w:rPr>
          <w:noProof w:val="0"/>
          <w:sz w:val="28"/>
          <w:szCs w:val="28"/>
          <w:lang w:val="en-US"/>
        </w:rPr>
        <w:lastRenderedPageBreak/>
        <w:t>NAMES AND ADDRESSES OF</w:t>
      </w:r>
    </w:p>
    <w:tbl>
      <w:tblPr>
        <w:tblW w:w="9134" w:type="dxa"/>
        <w:tblLayout w:type="fixed"/>
        <w:tblCellMar>
          <w:left w:w="71" w:type="dxa"/>
          <w:right w:w="71" w:type="dxa"/>
        </w:tblCellMar>
        <w:tblLook w:val="0000" w:firstRow="0" w:lastRow="0" w:firstColumn="0" w:lastColumn="0" w:noHBand="0" w:noVBand="0"/>
      </w:tblPr>
      <w:tblGrid>
        <w:gridCol w:w="3187"/>
        <w:gridCol w:w="1562"/>
        <w:gridCol w:w="4385"/>
      </w:tblGrid>
      <w:tr w:rsidR="002F41EE">
        <w:tblPrEx>
          <w:tblCellMar>
            <w:top w:w="0" w:type="dxa"/>
            <w:bottom w:w="0" w:type="dxa"/>
          </w:tblCellMar>
        </w:tblPrEx>
        <w:trPr>
          <w:cantSplit/>
        </w:trPr>
        <w:tc>
          <w:tcPr>
            <w:tcW w:w="3187" w:type="dxa"/>
          </w:tcPr>
          <w:p w:rsidR="002F41EE" w:rsidRDefault="002F41EE">
            <w:pPr>
              <w:pStyle w:val="SubheadingProtocolOutline"/>
              <w:spacing w:before="0"/>
              <w:rPr>
                <w:noProof w:val="0"/>
                <w:lang w:val="en-US"/>
              </w:rPr>
            </w:pPr>
            <w:r>
              <w:rPr>
                <w:noProof w:val="0"/>
                <w:lang w:val="en-US"/>
              </w:rPr>
              <w:t>COORDINATING INVESTIGATOR</w:t>
            </w:r>
          </w:p>
          <w:p w:rsidR="002F41EE" w:rsidRDefault="002F41EE"/>
        </w:tc>
        <w:tc>
          <w:tcPr>
            <w:tcW w:w="1562" w:type="dxa"/>
            <w:tcBorders>
              <w:right w:val="single" w:sz="4" w:space="0" w:color="C0C0C0"/>
            </w:tcBorders>
          </w:tcPr>
          <w:p w:rsidR="002F41EE" w:rsidRDefault="002F41EE">
            <w:pPr>
              <w:pStyle w:val="xCoverAddress"/>
            </w:pPr>
            <w:r>
              <w:t>Name:</w:t>
            </w:r>
          </w:p>
          <w:p w:rsidR="002F41EE" w:rsidRDefault="002F41EE">
            <w:pPr>
              <w:pStyle w:val="xCoverAddress"/>
            </w:pPr>
            <w:r>
              <w:t>Address:</w:t>
            </w:r>
          </w:p>
          <w:p w:rsidR="002F41EE" w:rsidRDefault="002F41EE">
            <w:pPr>
              <w:pStyle w:val="xCoverAddress"/>
            </w:pPr>
          </w:p>
          <w:p w:rsidR="002F41EE" w:rsidRDefault="002F41EE">
            <w:pPr>
              <w:pStyle w:val="xCoverAddress"/>
            </w:pPr>
          </w:p>
          <w:p w:rsidR="002F41EE" w:rsidRDefault="002F41EE">
            <w:pPr>
              <w:pStyle w:val="xCoverAddress"/>
            </w:pPr>
            <w:r>
              <w:t>Tel:</w:t>
            </w:r>
          </w:p>
          <w:p w:rsidR="002F41EE" w:rsidRDefault="002F41EE">
            <w:pPr>
              <w:pStyle w:val="xCoverAddress"/>
            </w:pPr>
            <w:r>
              <w:t>Fax:</w:t>
            </w:r>
          </w:p>
          <w:p w:rsidR="002F41EE" w:rsidRDefault="002F41EE">
            <w:pPr>
              <w:pStyle w:val="xCoverAddress"/>
            </w:pPr>
            <w:r>
              <w:t>E-mail:</w:t>
            </w:r>
          </w:p>
        </w:tc>
        <w:tc>
          <w:tcPr>
            <w:tcW w:w="4385" w:type="dxa"/>
            <w:tcBorders>
              <w:top w:val="single" w:sz="4" w:space="0" w:color="C0C0C0"/>
              <w:left w:val="single" w:sz="4" w:space="0" w:color="C0C0C0"/>
              <w:bottom w:val="single" w:sz="4" w:space="0" w:color="C0C0C0"/>
              <w:right w:val="single" w:sz="4" w:space="0" w:color="C0C0C0"/>
            </w:tcBorders>
          </w:tcPr>
          <w:p w:rsidR="002F41EE" w:rsidRDefault="002F41EE">
            <w:pPr>
              <w:pStyle w:val="xCoverAddress"/>
            </w:pPr>
          </w:p>
        </w:tc>
      </w:tr>
    </w:tbl>
    <w:p w:rsidR="002F41EE" w:rsidRDefault="002F41EE">
      <w:pPr>
        <w:spacing w:before="0"/>
        <w:jc w:val="both"/>
      </w:pPr>
    </w:p>
    <w:tbl>
      <w:tblPr>
        <w:tblW w:w="9134" w:type="dxa"/>
        <w:tblLayout w:type="fixed"/>
        <w:tblCellMar>
          <w:left w:w="71" w:type="dxa"/>
          <w:right w:w="71" w:type="dxa"/>
        </w:tblCellMar>
        <w:tblLook w:val="0000" w:firstRow="0" w:lastRow="0" w:firstColumn="0" w:lastColumn="0" w:noHBand="0" w:noVBand="0"/>
      </w:tblPr>
      <w:tblGrid>
        <w:gridCol w:w="3187"/>
        <w:gridCol w:w="1562"/>
        <w:gridCol w:w="4385"/>
      </w:tblGrid>
      <w:tr w:rsidR="002F41EE">
        <w:tblPrEx>
          <w:tblCellMar>
            <w:top w:w="0" w:type="dxa"/>
            <w:bottom w:w="0" w:type="dxa"/>
          </w:tblCellMar>
        </w:tblPrEx>
        <w:trPr>
          <w:cantSplit/>
        </w:trPr>
        <w:tc>
          <w:tcPr>
            <w:tcW w:w="3187" w:type="dxa"/>
          </w:tcPr>
          <w:p w:rsidR="002F41EE" w:rsidRDefault="002F41EE">
            <w:pPr>
              <w:pStyle w:val="SubheadingProtocolOutline"/>
              <w:spacing w:before="0"/>
              <w:rPr>
                <w:noProof w:val="0"/>
                <w:lang w:val="en-US"/>
              </w:rPr>
            </w:pPr>
            <w:r>
              <w:rPr>
                <w:noProof w:val="0"/>
                <w:lang w:val="en-US"/>
              </w:rPr>
              <w:t>MONITORING TEAM’S REPRESENTATIVE</w:t>
            </w:r>
          </w:p>
          <w:p w:rsidR="002F41EE" w:rsidRDefault="002F41EE">
            <w:pPr>
              <w:rPr>
                <w:rStyle w:val="InstructionsTextChar"/>
              </w:rPr>
            </w:pPr>
          </w:p>
        </w:tc>
        <w:tc>
          <w:tcPr>
            <w:tcW w:w="1562" w:type="dxa"/>
            <w:tcBorders>
              <w:right w:val="single" w:sz="4" w:space="0" w:color="C0C0C0"/>
            </w:tcBorders>
          </w:tcPr>
          <w:p w:rsidR="002F41EE" w:rsidRDefault="002F41EE">
            <w:pPr>
              <w:pStyle w:val="xCoverAddress"/>
            </w:pPr>
            <w:r>
              <w:t>Name:</w:t>
            </w:r>
          </w:p>
          <w:p w:rsidR="002F41EE" w:rsidRDefault="002F41EE">
            <w:pPr>
              <w:pStyle w:val="xCoverAddress"/>
            </w:pPr>
            <w:r>
              <w:t>Address:</w:t>
            </w:r>
          </w:p>
          <w:p w:rsidR="002F41EE" w:rsidRDefault="002F41EE">
            <w:pPr>
              <w:pStyle w:val="xCoverAddress"/>
            </w:pPr>
          </w:p>
          <w:p w:rsidR="002F41EE" w:rsidRDefault="002F41EE">
            <w:pPr>
              <w:pStyle w:val="xCoverAddress"/>
            </w:pPr>
          </w:p>
          <w:p w:rsidR="002F41EE" w:rsidRDefault="002F41EE">
            <w:pPr>
              <w:pStyle w:val="xCoverAddress"/>
            </w:pPr>
          </w:p>
          <w:p w:rsidR="002F41EE" w:rsidRDefault="002F41EE">
            <w:pPr>
              <w:pStyle w:val="xCoverAddress"/>
            </w:pPr>
            <w:r>
              <w:t>Tel:</w:t>
            </w:r>
          </w:p>
          <w:p w:rsidR="002F41EE" w:rsidRDefault="002F41EE">
            <w:pPr>
              <w:pStyle w:val="xCoverAddress"/>
            </w:pPr>
            <w:r>
              <w:t>Fax:</w:t>
            </w:r>
          </w:p>
          <w:p w:rsidR="002F41EE" w:rsidRDefault="002F41EE">
            <w:pPr>
              <w:pStyle w:val="xCoverAddress"/>
            </w:pPr>
            <w:r>
              <w:t>E-mail:</w:t>
            </w:r>
          </w:p>
        </w:tc>
        <w:tc>
          <w:tcPr>
            <w:tcW w:w="4385" w:type="dxa"/>
            <w:tcBorders>
              <w:top w:val="single" w:sz="4" w:space="0" w:color="C0C0C0"/>
              <w:left w:val="single" w:sz="4" w:space="0" w:color="C0C0C0"/>
              <w:bottom w:val="single" w:sz="4" w:space="0" w:color="C0C0C0"/>
              <w:right w:val="single" w:sz="4" w:space="0" w:color="C0C0C0"/>
            </w:tcBorders>
          </w:tcPr>
          <w:p w:rsidR="002F41EE" w:rsidRDefault="002F41EE">
            <w:pPr>
              <w:pStyle w:val="xCoverAddress"/>
            </w:pPr>
          </w:p>
        </w:tc>
      </w:tr>
    </w:tbl>
    <w:p w:rsidR="002F41EE" w:rsidRDefault="002F41EE">
      <w:pPr>
        <w:spacing w:before="0"/>
        <w:jc w:val="both"/>
      </w:pPr>
    </w:p>
    <w:tbl>
      <w:tblPr>
        <w:tblW w:w="9134" w:type="dxa"/>
        <w:tblLayout w:type="fixed"/>
        <w:tblCellMar>
          <w:left w:w="71" w:type="dxa"/>
          <w:right w:w="71" w:type="dxa"/>
        </w:tblCellMar>
        <w:tblLook w:val="0000" w:firstRow="0" w:lastRow="0" w:firstColumn="0" w:lastColumn="0" w:noHBand="0" w:noVBand="0"/>
      </w:tblPr>
      <w:tblGrid>
        <w:gridCol w:w="3187"/>
        <w:gridCol w:w="1562"/>
        <w:gridCol w:w="4385"/>
      </w:tblGrid>
      <w:tr w:rsidR="002F41EE">
        <w:tblPrEx>
          <w:tblCellMar>
            <w:top w:w="0" w:type="dxa"/>
            <w:bottom w:w="0" w:type="dxa"/>
          </w:tblCellMar>
        </w:tblPrEx>
        <w:trPr>
          <w:cantSplit/>
        </w:trPr>
        <w:tc>
          <w:tcPr>
            <w:tcW w:w="3187" w:type="dxa"/>
          </w:tcPr>
          <w:p w:rsidR="002F41EE" w:rsidRDefault="002F41EE">
            <w:pPr>
              <w:pStyle w:val="SubheadingProtocolOutline"/>
              <w:spacing w:before="0"/>
              <w:rPr>
                <w:noProof w:val="0"/>
                <w:lang w:val="en-US"/>
              </w:rPr>
            </w:pPr>
            <w:r>
              <w:rPr>
                <w:noProof w:val="0"/>
                <w:lang w:val="en-US"/>
              </w:rPr>
              <w:t>SPONSOR</w:t>
            </w:r>
          </w:p>
          <w:p w:rsidR="002F41EE" w:rsidRDefault="002F41EE">
            <w:pPr>
              <w:pStyle w:val="Normalnospace"/>
              <w:rPr>
                <w:rStyle w:val="InstructionsTextChar"/>
              </w:rPr>
            </w:pPr>
            <w:r>
              <w:rPr>
                <w:rStyle w:val="InstructionsTextChar"/>
              </w:rPr>
              <w:t xml:space="preserve"> </w:t>
            </w:r>
          </w:p>
        </w:tc>
        <w:tc>
          <w:tcPr>
            <w:tcW w:w="1562" w:type="dxa"/>
            <w:tcBorders>
              <w:right w:val="single" w:sz="4" w:space="0" w:color="C0C0C0"/>
            </w:tcBorders>
          </w:tcPr>
          <w:p w:rsidR="002F41EE" w:rsidRDefault="002F41EE">
            <w:pPr>
              <w:pStyle w:val="xCoverAddress"/>
            </w:pPr>
            <w:r>
              <w:t>Company:</w:t>
            </w:r>
          </w:p>
          <w:p w:rsidR="002F41EE" w:rsidRDefault="002F41EE">
            <w:pPr>
              <w:pStyle w:val="xCoverAddress"/>
            </w:pPr>
            <w:r>
              <w:t>Address:</w:t>
            </w:r>
          </w:p>
          <w:p w:rsidR="002F41EE" w:rsidRDefault="002F41EE">
            <w:pPr>
              <w:pStyle w:val="xCoverAddress"/>
            </w:pPr>
          </w:p>
          <w:p w:rsidR="002F41EE" w:rsidRDefault="002F41EE">
            <w:pPr>
              <w:pStyle w:val="xCoverAddress"/>
            </w:pPr>
          </w:p>
          <w:p w:rsidR="002F41EE" w:rsidRDefault="002F41EE">
            <w:pPr>
              <w:pStyle w:val="xCoverAddress"/>
            </w:pPr>
          </w:p>
          <w:p w:rsidR="002F41EE" w:rsidRDefault="002F41EE">
            <w:pPr>
              <w:pStyle w:val="xCoverAddress"/>
            </w:pPr>
          </w:p>
        </w:tc>
        <w:tc>
          <w:tcPr>
            <w:tcW w:w="4385" w:type="dxa"/>
            <w:tcBorders>
              <w:top w:val="single" w:sz="4" w:space="0" w:color="C0C0C0"/>
              <w:left w:val="single" w:sz="4" w:space="0" w:color="C0C0C0"/>
              <w:bottom w:val="single" w:sz="4" w:space="0" w:color="C0C0C0"/>
              <w:right w:val="single" w:sz="4" w:space="0" w:color="C0C0C0"/>
            </w:tcBorders>
          </w:tcPr>
          <w:p w:rsidR="002F41EE" w:rsidRDefault="002F41EE">
            <w:pPr>
              <w:pStyle w:val="xCoverAddress"/>
            </w:pPr>
          </w:p>
        </w:tc>
      </w:tr>
    </w:tbl>
    <w:p w:rsidR="002F41EE" w:rsidRDefault="002F41EE">
      <w:pPr>
        <w:spacing w:before="0"/>
        <w:jc w:val="both"/>
      </w:pPr>
    </w:p>
    <w:tbl>
      <w:tblPr>
        <w:tblW w:w="9134" w:type="dxa"/>
        <w:tblLayout w:type="fixed"/>
        <w:tblCellMar>
          <w:left w:w="71" w:type="dxa"/>
          <w:right w:w="71" w:type="dxa"/>
        </w:tblCellMar>
        <w:tblLook w:val="0000" w:firstRow="0" w:lastRow="0" w:firstColumn="0" w:lastColumn="0" w:noHBand="0" w:noVBand="0"/>
      </w:tblPr>
      <w:tblGrid>
        <w:gridCol w:w="3187"/>
        <w:gridCol w:w="1562"/>
        <w:gridCol w:w="4385"/>
      </w:tblGrid>
      <w:tr w:rsidR="002F41EE">
        <w:tblPrEx>
          <w:tblCellMar>
            <w:top w:w="0" w:type="dxa"/>
            <w:bottom w:w="0" w:type="dxa"/>
          </w:tblCellMar>
        </w:tblPrEx>
        <w:trPr>
          <w:cantSplit/>
        </w:trPr>
        <w:tc>
          <w:tcPr>
            <w:tcW w:w="3187" w:type="dxa"/>
          </w:tcPr>
          <w:p w:rsidR="002F41EE" w:rsidRDefault="002F41EE">
            <w:pPr>
              <w:pStyle w:val="SubheadingProtocolOutline"/>
              <w:spacing w:before="0"/>
              <w:rPr>
                <w:noProof w:val="0"/>
                <w:lang w:val="en-US"/>
              </w:rPr>
            </w:pPr>
            <w:r>
              <w:rPr>
                <w:noProof w:val="0"/>
                <w:lang w:val="en-US"/>
              </w:rPr>
              <w:t>OTHER EMERGENCY TELEPHONE NUMBERS</w:t>
            </w:r>
          </w:p>
          <w:p w:rsidR="002F41EE" w:rsidRDefault="002F41EE" w:rsidP="001825B7">
            <w:pPr>
              <w:pStyle w:val="Normalnospace"/>
              <w:rPr>
                <w:rStyle w:val="InstructionsTextChar"/>
              </w:rPr>
            </w:pPr>
          </w:p>
        </w:tc>
        <w:tc>
          <w:tcPr>
            <w:tcW w:w="1562" w:type="dxa"/>
            <w:tcBorders>
              <w:right w:val="single" w:sz="4" w:space="0" w:color="C0C0C0"/>
            </w:tcBorders>
          </w:tcPr>
          <w:p w:rsidR="002F41EE" w:rsidRDefault="002F41EE">
            <w:pPr>
              <w:pStyle w:val="xCoverAddress"/>
            </w:pPr>
          </w:p>
        </w:tc>
        <w:tc>
          <w:tcPr>
            <w:tcW w:w="4385" w:type="dxa"/>
            <w:tcBorders>
              <w:top w:val="single" w:sz="4" w:space="0" w:color="C0C0C0"/>
              <w:left w:val="single" w:sz="4" w:space="0" w:color="C0C0C0"/>
              <w:bottom w:val="single" w:sz="4" w:space="0" w:color="C0C0C0"/>
              <w:right w:val="single" w:sz="4" w:space="0" w:color="C0C0C0"/>
            </w:tcBorders>
          </w:tcPr>
          <w:p w:rsidR="002F41EE" w:rsidRDefault="002F41EE">
            <w:pPr>
              <w:pStyle w:val="xCoverAddress"/>
            </w:pPr>
          </w:p>
        </w:tc>
      </w:tr>
    </w:tbl>
    <w:p w:rsidR="002F41EE" w:rsidRDefault="002F41EE">
      <w:pPr>
        <w:pStyle w:val="SubheadingProtocolOutline"/>
        <w:pageBreakBefore/>
        <w:rPr>
          <w:noProof w:val="0"/>
          <w:sz w:val="28"/>
          <w:szCs w:val="28"/>
          <w:lang w:val="en-US"/>
        </w:rPr>
      </w:pPr>
      <w:r>
        <w:rPr>
          <w:noProof w:val="0"/>
          <w:sz w:val="28"/>
          <w:szCs w:val="28"/>
          <w:lang w:val="en-US"/>
        </w:rPr>
        <w:lastRenderedPageBreak/>
        <w:t>CLINICAL TRIAL SUMMARY</w:t>
      </w:r>
    </w:p>
    <w:p w:rsidR="002F41EE" w:rsidRDefault="002F41EE">
      <w:pPr>
        <w:pStyle w:val="Normalnospace"/>
      </w:pPr>
    </w:p>
    <w:tbl>
      <w:tblPr>
        <w:tblW w:w="0" w:type="auto"/>
        <w:tblInd w:w="142" w:type="dxa"/>
        <w:tblLayout w:type="fixed"/>
        <w:tblCellMar>
          <w:left w:w="70" w:type="dxa"/>
          <w:right w:w="70" w:type="dxa"/>
        </w:tblCellMar>
        <w:tblLook w:val="0000" w:firstRow="0" w:lastRow="0" w:firstColumn="0" w:lastColumn="0" w:noHBand="0" w:noVBand="0"/>
      </w:tblPr>
      <w:tblGrid>
        <w:gridCol w:w="3528"/>
        <w:gridCol w:w="5805"/>
      </w:tblGrid>
      <w:tr w:rsidR="0051645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Pr="0051645D" w:rsidRDefault="0051645D">
            <w:pPr>
              <w:pStyle w:val="TblHeadingLeft"/>
              <w:rPr>
                <w:noProof w:val="0"/>
                <w:sz w:val="24"/>
                <w:szCs w:val="24"/>
                <w:lang w:val="en-US"/>
              </w:rPr>
            </w:pPr>
            <w:r w:rsidRPr="0051645D">
              <w:rPr>
                <w:noProof w:val="0"/>
                <w:sz w:val="24"/>
                <w:szCs w:val="24"/>
                <w:lang w:val="en-US"/>
              </w:rPr>
              <w:t xml:space="preserve">COMPOUND: </w:t>
            </w:r>
            <w:r w:rsidR="004C7744" w:rsidRPr="00F36117">
              <w:rPr>
                <w:bCs/>
                <w:sz w:val="24"/>
                <w:szCs w:val="24"/>
              </w:rPr>
              <w:t>HOE901 (insulin glargine) / AVE0010 (lixisenatide) combination</w:t>
            </w:r>
          </w:p>
        </w:tc>
        <w:tc>
          <w:tcPr>
            <w:tcW w:w="5805" w:type="dxa"/>
            <w:tcBorders>
              <w:top w:val="single" w:sz="6" w:space="0" w:color="000000"/>
              <w:left w:val="single" w:sz="6" w:space="0" w:color="000000"/>
              <w:bottom w:val="single" w:sz="6" w:space="0" w:color="000000"/>
              <w:right w:val="single" w:sz="6" w:space="0" w:color="000000"/>
            </w:tcBorders>
          </w:tcPr>
          <w:p w:rsidR="0051645D" w:rsidRDefault="0051645D" w:rsidP="0051645D">
            <w:pPr>
              <w:pStyle w:val="SubheadingProtocolOutline"/>
              <w:rPr>
                <w:noProof w:val="0"/>
                <w:lang w:val="en-US"/>
              </w:rPr>
            </w:pPr>
            <w:r>
              <w:rPr>
                <w:noProof w:val="0"/>
                <w:lang w:val="en-US"/>
              </w:rPr>
              <w:t xml:space="preserve">STUDY No: </w:t>
            </w:r>
            <w:r w:rsidRPr="00F36117">
              <w:rPr>
                <w:noProof w:val="0"/>
                <w:lang w:val="en-US"/>
              </w:rPr>
              <w:fldChar w:fldCharType="begin"/>
            </w:r>
            <w:r w:rsidRPr="00F36117">
              <w:rPr>
                <w:noProof w:val="0"/>
                <w:lang w:val="en-US"/>
              </w:rPr>
              <w:instrText xml:space="preserve"> DOCPROPERTY "Product Code"  \* MERGEFORMAT </w:instrText>
            </w:r>
            <w:r w:rsidRPr="00F36117">
              <w:rPr>
                <w:noProof w:val="0"/>
                <w:lang w:val="en-US"/>
              </w:rPr>
              <w:fldChar w:fldCharType="separate"/>
            </w:r>
            <w:r w:rsidR="005A26F6">
              <w:rPr>
                <w:noProof w:val="0"/>
                <w:lang w:val="en-US"/>
              </w:rPr>
              <w:t>EFC13794</w:t>
            </w:r>
            <w:r>
              <w:rPr>
                <w:rStyle w:val="ReplaceText"/>
                <w:noProof w:val="0"/>
                <w:lang w:val="en-US"/>
              </w:rPr>
              <w:fldChar w:fldCharType="end"/>
            </w:r>
            <w:r w:rsidR="004C7744" w:rsidRPr="00F36117">
              <w:rPr>
                <w:noProof w:val="0"/>
                <w:lang w:val="en-US"/>
              </w:rPr>
              <w:t xml:space="preserve"> </w:t>
            </w:r>
            <w:r w:rsidR="004C7744" w:rsidRPr="00F36117">
              <w:rPr>
                <w:noProof w:val="0"/>
                <w:lang w:val="en-US"/>
              </w:rPr>
              <w:br/>
              <w:t>STUDY NAME</w:t>
            </w:r>
            <w:r w:rsidRPr="00F36117">
              <w:rPr>
                <w:noProof w:val="0"/>
                <w:lang w:val="en-US"/>
              </w:rPr>
              <w:t>:</w:t>
            </w:r>
            <w:r w:rsidR="004C7744" w:rsidRPr="00F36117">
              <w:rPr>
                <w:noProof w:val="0"/>
                <w:lang w:val="en-US"/>
              </w:rPr>
              <w:t xml:space="preserve"> LixiLan-G</w:t>
            </w:r>
          </w:p>
        </w:tc>
      </w:tr>
      <w:tr w:rsidR="0051645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pPr>
              <w:pStyle w:val="TblHeadingLeft"/>
              <w:rPr>
                <w:noProof w:val="0"/>
                <w:lang w:val="en-US"/>
              </w:rPr>
            </w:pPr>
            <w:r>
              <w:rPr>
                <w:noProof w:val="0"/>
                <w:lang w:val="en-US"/>
              </w:rPr>
              <w:t>TITLE</w:t>
            </w:r>
          </w:p>
        </w:tc>
        <w:tc>
          <w:tcPr>
            <w:tcW w:w="5805" w:type="dxa"/>
            <w:tcBorders>
              <w:top w:val="single" w:sz="6" w:space="0" w:color="000000"/>
              <w:left w:val="single" w:sz="6" w:space="0" w:color="000000"/>
              <w:bottom w:val="single" w:sz="6" w:space="0" w:color="000000"/>
              <w:right w:val="single" w:sz="6" w:space="0" w:color="000000"/>
            </w:tcBorders>
          </w:tcPr>
          <w:p w:rsidR="0051645D" w:rsidRDefault="004C7744" w:rsidP="004C7744">
            <w:pPr>
              <w:pStyle w:val="TblTextLeft"/>
            </w:pPr>
            <w:r>
              <w:t>A 26-week open-label study assessing the efficacy and safety of the insulin glargine/lixisenatide fixed ratio combination in adults with Type 2 Diabetes inadequately controlled on GLP-1 receptor agonist and metformin ± pioglitazone</w:t>
            </w:r>
          </w:p>
        </w:tc>
      </w:tr>
      <w:tr w:rsidR="0051645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pPr>
              <w:pStyle w:val="TblHeadingLeft"/>
              <w:rPr>
                <w:noProof w:val="0"/>
                <w:lang w:val="en-US"/>
              </w:rPr>
            </w:pPr>
            <w:r>
              <w:rPr>
                <w:noProof w:val="0"/>
                <w:lang w:val="en-US"/>
              </w:rPr>
              <w:t>INVESTIGATOR/TRIAL LOCATION</w:t>
            </w:r>
          </w:p>
        </w:tc>
        <w:tc>
          <w:tcPr>
            <w:tcW w:w="5805" w:type="dxa"/>
            <w:tcBorders>
              <w:top w:val="single" w:sz="6" w:space="0" w:color="000000"/>
              <w:left w:val="single" w:sz="6" w:space="0" w:color="000000"/>
              <w:bottom w:val="single" w:sz="6" w:space="0" w:color="000000"/>
              <w:right w:val="single" w:sz="6" w:space="0" w:color="000000"/>
            </w:tcBorders>
          </w:tcPr>
          <w:p w:rsidR="0051645D" w:rsidRDefault="004C7744">
            <w:pPr>
              <w:pStyle w:val="TblTextLeft"/>
            </w:pPr>
            <w:r>
              <w:t>Multinational</w:t>
            </w:r>
          </w:p>
        </w:tc>
      </w:tr>
      <w:tr w:rsidR="0051645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pPr>
              <w:pStyle w:val="TblHeadingLeft"/>
              <w:rPr>
                <w:noProof w:val="0"/>
                <w:lang w:val="en-US"/>
              </w:rPr>
            </w:pPr>
            <w:r>
              <w:rPr>
                <w:noProof w:val="0"/>
                <w:lang w:val="en-US"/>
              </w:rPr>
              <w:t>PHASE OF DEVELOPMENT</w:t>
            </w:r>
          </w:p>
        </w:tc>
        <w:tc>
          <w:tcPr>
            <w:tcW w:w="5805" w:type="dxa"/>
            <w:tcBorders>
              <w:top w:val="single" w:sz="6" w:space="0" w:color="000000"/>
              <w:left w:val="single" w:sz="6" w:space="0" w:color="000000"/>
              <w:bottom w:val="single" w:sz="6" w:space="0" w:color="000000"/>
              <w:right w:val="single" w:sz="6" w:space="0" w:color="000000"/>
            </w:tcBorders>
          </w:tcPr>
          <w:p w:rsidR="0051645D" w:rsidRDefault="004C7744">
            <w:pPr>
              <w:pStyle w:val="TblTextLeft"/>
            </w:pPr>
            <w:r>
              <w:t>Phase III</w:t>
            </w:r>
          </w:p>
        </w:tc>
      </w:tr>
      <w:tr w:rsidR="0051645D" w:rsidTr="000C2D66">
        <w:tblPrEx>
          <w:tblCellMar>
            <w:top w:w="0" w:type="dxa"/>
            <w:bottom w:w="0" w:type="dxa"/>
          </w:tblCellMar>
        </w:tblPrEx>
        <w:trPr>
          <w:trHeight w:val="2861"/>
        </w:trPr>
        <w:tc>
          <w:tcPr>
            <w:tcW w:w="3528" w:type="dxa"/>
            <w:tcBorders>
              <w:top w:val="single" w:sz="6" w:space="0" w:color="000000"/>
              <w:left w:val="single" w:sz="6" w:space="0" w:color="000000"/>
              <w:right w:val="single" w:sz="6" w:space="0" w:color="000000"/>
            </w:tcBorders>
          </w:tcPr>
          <w:p w:rsidR="0051645D" w:rsidRDefault="0051645D">
            <w:pPr>
              <w:pStyle w:val="TblHeadingLeft"/>
              <w:rPr>
                <w:noProof w:val="0"/>
                <w:lang w:val="en-US"/>
              </w:rPr>
            </w:pPr>
            <w:r>
              <w:rPr>
                <w:noProof w:val="0"/>
                <w:lang w:val="en-US"/>
              </w:rPr>
              <w:t>STUDY OBJECTIVE(S)</w:t>
            </w:r>
          </w:p>
          <w:p w:rsidR="0051645D" w:rsidRDefault="0051645D">
            <w:pPr>
              <w:pStyle w:val="TblHeadingLeft"/>
              <w:rPr>
                <w:noProof w:val="0"/>
                <w:lang w:val="en-US"/>
              </w:rPr>
            </w:pPr>
          </w:p>
        </w:tc>
        <w:tc>
          <w:tcPr>
            <w:tcW w:w="5805" w:type="dxa"/>
            <w:tcBorders>
              <w:top w:val="single" w:sz="6" w:space="0" w:color="000000"/>
              <w:left w:val="single" w:sz="6" w:space="0" w:color="000000"/>
              <w:right w:val="single" w:sz="6" w:space="0" w:color="000000"/>
            </w:tcBorders>
          </w:tcPr>
          <w:p w:rsidR="0051645D" w:rsidRDefault="0051645D">
            <w:pPr>
              <w:pStyle w:val="TblHeadingLeft"/>
              <w:rPr>
                <w:noProof w:val="0"/>
                <w:lang w:val="en-US"/>
              </w:rPr>
            </w:pPr>
            <w:r>
              <w:rPr>
                <w:noProof w:val="0"/>
                <w:lang w:val="en-US"/>
              </w:rPr>
              <w:t>Primary objective</w:t>
            </w:r>
            <w:r w:rsidR="000C2D66">
              <w:rPr>
                <w:noProof w:val="0"/>
                <w:lang w:val="en-US"/>
              </w:rPr>
              <w:t>:</w:t>
            </w:r>
          </w:p>
          <w:p w:rsidR="0051645D" w:rsidRPr="00A95DD0" w:rsidRDefault="004C7744" w:rsidP="00A95DD0">
            <w:pPr>
              <w:pStyle w:val="TblTextLeft"/>
            </w:pPr>
            <w:r w:rsidRPr="00A95DD0">
              <w:t xml:space="preserve">To demonstrate the superiority of the insulin glargine/lixisenatide fixed ratio combination </w:t>
            </w:r>
            <w:r w:rsidR="007C6B3D" w:rsidRPr="00A95DD0">
              <w:t xml:space="preserve">(FRC) </w:t>
            </w:r>
            <w:r w:rsidRPr="00A95DD0">
              <w:t xml:space="preserve">versus </w:t>
            </w:r>
            <w:r w:rsidR="00D3069C" w:rsidRPr="00A95DD0">
              <w:t>Glucagon-like peptide</w:t>
            </w:r>
            <w:r w:rsidRPr="00A95DD0">
              <w:t xml:space="preserve">-1 receptor agonist </w:t>
            </w:r>
            <w:r w:rsidR="00B5483E" w:rsidRPr="00A95DD0">
              <w:t>(GLP-1 RA</w:t>
            </w:r>
            <w:r w:rsidR="00B5483E" w:rsidRPr="00A95DD0">
              <w:fldChar w:fldCharType="begin"/>
            </w:r>
            <w:r w:rsidR="00B5483E" w:rsidRPr="00A95DD0">
              <w:instrText xml:space="preserve"> XE " </w:instrText>
            </w:r>
            <w:r w:rsidR="00024014">
              <w:instrText>GLP-1 RA " \f Abbreviation \t "g</w:instrText>
            </w:r>
            <w:r w:rsidR="00B5483E" w:rsidRPr="00A95DD0">
              <w:instrText xml:space="preserve">lucagon-like peptide-1 receptor agonist" </w:instrText>
            </w:r>
            <w:r w:rsidR="00B5483E" w:rsidRPr="00A95DD0">
              <w:fldChar w:fldCharType="end"/>
            </w:r>
            <w:r w:rsidR="00B5483E" w:rsidRPr="00A95DD0">
              <w:t xml:space="preserve">) </w:t>
            </w:r>
            <w:r w:rsidRPr="00A95DD0">
              <w:t xml:space="preserve">in </w:t>
            </w:r>
            <w:r w:rsidR="00F36117" w:rsidRPr="00A95DD0">
              <w:t>hemoglobin A1c (</w:t>
            </w:r>
            <w:r w:rsidRPr="00A95DD0">
              <w:t>HbA1c</w:t>
            </w:r>
            <w:r w:rsidR="00F44D69" w:rsidRPr="00A95DD0">
              <w:fldChar w:fldCharType="begin"/>
            </w:r>
            <w:r w:rsidR="00F44D69" w:rsidRPr="00A95DD0">
              <w:instrText xml:space="preserve"> XE " HbA1c " \f Abbreviation \t "</w:instrText>
            </w:r>
            <w:r w:rsidR="00024014">
              <w:instrText>h</w:instrText>
            </w:r>
            <w:r w:rsidR="00F44D69" w:rsidRPr="00A95DD0">
              <w:instrText xml:space="preserve">emoglobin A1c" </w:instrText>
            </w:r>
            <w:r w:rsidR="00F44D69" w:rsidRPr="00A95DD0">
              <w:fldChar w:fldCharType="end"/>
            </w:r>
            <w:r w:rsidR="00F36117" w:rsidRPr="00A95DD0">
              <w:t>)</w:t>
            </w:r>
            <w:r w:rsidR="00A95DD0">
              <w:t xml:space="preserve"> change from baseline to W</w:t>
            </w:r>
            <w:r w:rsidRPr="00A95DD0">
              <w:t>eek 26.</w:t>
            </w:r>
          </w:p>
          <w:p w:rsidR="0051645D" w:rsidRDefault="000C2D66">
            <w:pPr>
              <w:pStyle w:val="TblHeadingLeft"/>
              <w:rPr>
                <w:noProof w:val="0"/>
                <w:lang w:val="en-US"/>
              </w:rPr>
            </w:pPr>
            <w:r>
              <w:rPr>
                <w:noProof w:val="0"/>
                <w:lang w:val="en-US"/>
              </w:rPr>
              <w:t>Secondary objective(s):</w:t>
            </w:r>
          </w:p>
          <w:p w:rsidR="004C7744" w:rsidRPr="005C2962" w:rsidRDefault="004C7744" w:rsidP="004C7744">
            <w:pPr>
              <w:pStyle w:val="TblTextLeft"/>
            </w:pPr>
            <w:r w:rsidRPr="005C2962">
              <w:t xml:space="preserve">To assess the effects of the </w:t>
            </w:r>
            <w:r w:rsidR="00434FF8" w:rsidRPr="005C2962">
              <w:t>FRC</w:t>
            </w:r>
            <w:r w:rsidR="00F56AC4" w:rsidRPr="005C2962">
              <w:rPr>
                <w:rFonts w:ascii="Times New Roman" w:hAnsi="Times New Roman"/>
                <w:noProof/>
                <w:sz w:val="22"/>
                <w:szCs w:val="22"/>
              </w:rPr>
              <w:fldChar w:fldCharType="begin"/>
            </w:r>
            <w:r w:rsidR="00F56AC4" w:rsidRPr="005C2962">
              <w:rPr>
                <w:rFonts w:ascii="Times New Roman" w:hAnsi="Times New Roman"/>
                <w:noProof/>
                <w:sz w:val="22"/>
                <w:szCs w:val="22"/>
              </w:rPr>
              <w:instrText xml:space="preserve"> XE " FRC " \f Abbreviat</w:instrText>
            </w:r>
            <w:r w:rsidR="00024014">
              <w:rPr>
                <w:rFonts w:ascii="Times New Roman" w:hAnsi="Times New Roman"/>
                <w:noProof/>
                <w:sz w:val="22"/>
                <w:szCs w:val="22"/>
              </w:rPr>
              <w:instrText>ion \t "f</w:instrText>
            </w:r>
            <w:r w:rsidR="00005D77" w:rsidRPr="005C2962">
              <w:rPr>
                <w:rFonts w:ascii="Times New Roman" w:hAnsi="Times New Roman"/>
                <w:noProof/>
                <w:sz w:val="22"/>
                <w:szCs w:val="22"/>
              </w:rPr>
              <w:instrText>ixed Ratio Combination</w:instrText>
            </w:r>
            <w:r w:rsidR="00F56AC4" w:rsidRPr="005C2962">
              <w:rPr>
                <w:rFonts w:ascii="Times New Roman" w:hAnsi="Times New Roman"/>
                <w:noProof/>
                <w:sz w:val="22"/>
                <w:szCs w:val="22"/>
              </w:rPr>
              <w:instrText xml:space="preserve">" </w:instrText>
            </w:r>
            <w:r w:rsidR="00F56AC4" w:rsidRPr="005C2962">
              <w:rPr>
                <w:rFonts w:ascii="Times New Roman" w:hAnsi="Times New Roman"/>
                <w:noProof/>
                <w:sz w:val="22"/>
                <w:szCs w:val="22"/>
              </w:rPr>
              <w:fldChar w:fldCharType="end"/>
            </w:r>
            <w:r w:rsidR="00434FF8" w:rsidRPr="005C2962">
              <w:t xml:space="preserve"> </w:t>
            </w:r>
            <w:r w:rsidRPr="005C2962">
              <w:t>versus</w:t>
            </w:r>
            <w:r w:rsidR="005A26F6">
              <w:t xml:space="preserve"> GLP-1 receptor agonist over 26 </w:t>
            </w:r>
            <w:r w:rsidRPr="005C2962">
              <w:t>weeks on:</w:t>
            </w:r>
          </w:p>
          <w:p w:rsidR="004C7744" w:rsidRDefault="004C7744" w:rsidP="000C7FBD">
            <w:pPr>
              <w:pStyle w:val="ListBulletLevel1Synospis"/>
            </w:pPr>
            <w:r>
              <w:t>Percentage of patients reaching HbA</w:t>
            </w:r>
            <w:r w:rsidRPr="00950DEA">
              <w:rPr>
                <w:vertAlign w:val="subscript"/>
              </w:rPr>
              <w:t>1c</w:t>
            </w:r>
            <w:r>
              <w:t xml:space="preserve"> targets; </w:t>
            </w:r>
          </w:p>
          <w:p w:rsidR="004C7744" w:rsidRDefault="004C7744" w:rsidP="000C7FBD">
            <w:pPr>
              <w:pStyle w:val="ListBulletLevel1Synospis"/>
            </w:pPr>
            <w:r>
              <w:t>Fasting Plasma Glucose</w:t>
            </w:r>
            <w:r w:rsidR="001F7727">
              <w:t xml:space="preserve"> (FPG</w:t>
            </w:r>
            <w:r w:rsidR="001F7727" w:rsidRPr="00D921A2">
              <w:rPr>
                <w:rFonts w:ascii="Times New Roman" w:eastAsia="MS Gothic" w:hAnsi="Times New Roman"/>
                <w:noProof/>
                <w:color w:val="auto"/>
                <w:sz w:val="22"/>
                <w:szCs w:val="22"/>
              </w:rPr>
              <w:fldChar w:fldCharType="begin"/>
            </w:r>
            <w:r w:rsidR="001F7727" w:rsidRPr="00D921A2">
              <w:rPr>
                <w:rFonts w:ascii="Times New Roman" w:eastAsia="MS Gothic" w:hAnsi="Times New Roman"/>
                <w:noProof/>
                <w:color w:val="auto"/>
                <w:sz w:val="22"/>
                <w:szCs w:val="22"/>
              </w:rPr>
              <w:instrText xml:space="preserve"> XE " FPG " \f Abbreviation \t "</w:instrText>
            </w:r>
            <w:r w:rsidR="00024014">
              <w:rPr>
                <w:rFonts w:ascii="Times New Roman" w:eastAsia="MS Gothic" w:hAnsi="Times New Roman"/>
                <w:noProof/>
                <w:color w:val="auto"/>
                <w:sz w:val="22"/>
                <w:szCs w:val="22"/>
              </w:rPr>
              <w:instrText>f</w:instrText>
            </w:r>
            <w:r w:rsidR="001F7727" w:rsidRPr="00D921A2">
              <w:rPr>
                <w:rFonts w:ascii="Times New Roman" w:eastAsia="MS Gothic" w:hAnsi="Times New Roman"/>
                <w:noProof/>
                <w:color w:val="auto"/>
                <w:sz w:val="22"/>
                <w:szCs w:val="22"/>
              </w:rPr>
              <w:instrText xml:space="preserve">asting plasma glucose" </w:instrText>
            </w:r>
            <w:r w:rsidR="001F7727" w:rsidRPr="00D921A2">
              <w:rPr>
                <w:rFonts w:ascii="Times New Roman" w:eastAsia="MS Gothic" w:hAnsi="Times New Roman"/>
                <w:noProof/>
                <w:color w:val="auto"/>
                <w:sz w:val="22"/>
                <w:szCs w:val="22"/>
              </w:rPr>
              <w:fldChar w:fldCharType="end"/>
            </w:r>
            <w:r w:rsidR="001F7727">
              <w:t>)</w:t>
            </w:r>
            <w:r>
              <w:t>;</w:t>
            </w:r>
          </w:p>
          <w:p w:rsidR="004C7744" w:rsidRDefault="004C7744" w:rsidP="000C7FBD">
            <w:pPr>
              <w:pStyle w:val="ListBulletLevel1Synospis"/>
            </w:pPr>
            <w:r>
              <w:t xml:space="preserve">7-point Self-Monitored Plasma Glucose </w:t>
            </w:r>
            <w:r w:rsidR="001F7727">
              <w:t>(SMPG</w:t>
            </w:r>
            <w:r w:rsidR="001F7727" w:rsidRPr="00D921A2">
              <w:rPr>
                <w:rFonts w:ascii="Times New Roman" w:eastAsia="MS Gothic" w:hAnsi="Times New Roman"/>
                <w:noProof/>
                <w:color w:val="auto"/>
                <w:sz w:val="22"/>
                <w:szCs w:val="22"/>
              </w:rPr>
              <w:fldChar w:fldCharType="begin"/>
            </w:r>
            <w:r w:rsidR="001F7727" w:rsidRPr="00D921A2">
              <w:rPr>
                <w:rFonts w:ascii="Times New Roman" w:eastAsia="MS Gothic" w:hAnsi="Times New Roman"/>
                <w:noProof/>
                <w:color w:val="auto"/>
                <w:sz w:val="22"/>
                <w:szCs w:val="22"/>
              </w:rPr>
              <w:instrText xml:space="preserve"> X</w:instrText>
            </w:r>
            <w:r w:rsidR="00024014">
              <w:rPr>
                <w:rFonts w:ascii="Times New Roman" w:eastAsia="MS Gothic" w:hAnsi="Times New Roman"/>
                <w:noProof/>
                <w:color w:val="auto"/>
                <w:sz w:val="22"/>
                <w:szCs w:val="22"/>
              </w:rPr>
              <w:instrText>E " SMPG " \f Abbreviation \t "s</w:instrText>
            </w:r>
            <w:r w:rsidR="001F7727" w:rsidRPr="00D921A2">
              <w:rPr>
                <w:rFonts w:ascii="Times New Roman" w:eastAsia="MS Gothic" w:hAnsi="Times New Roman"/>
                <w:noProof/>
                <w:color w:val="auto"/>
                <w:sz w:val="22"/>
                <w:szCs w:val="22"/>
              </w:rPr>
              <w:instrText xml:space="preserve">elf-monitored plasma glucose" </w:instrText>
            </w:r>
            <w:r w:rsidR="001F7727" w:rsidRPr="00D921A2">
              <w:rPr>
                <w:rFonts w:ascii="Times New Roman" w:eastAsia="MS Gothic" w:hAnsi="Times New Roman"/>
                <w:noProof/>
                <w:color w:val="auto"/>
                <w:sz w:val="22"/>
                <w:szCs w:val="22"/>
              </w:rPr>
              <w:fldChar w:fldCharType="end"/>
            </w:r>
            <w:r w:rsidR="001F7727">
              <w:t>)</w:t>
            </w:r>
            <w:r>
              <w:t xml:space="preserve"> profile; </w:t>
            </w:r>
          </w:p>
          <w:p w:rsidR="004C7744" w:rsidRDefault="004C7744" w:rsidP="000C7FBD">
            <w:pPr>
              <w:pStyle w:val="ListBulletLevel1Synospis"/>
            </w:pPr>
            <w:r>
              <w:t>Glycemic control in relation to a meal as evaluated by 2-hour Post-prandial Plasma Glucose (</w:t>
            </w:r>
            <w:r w:rsidRPr="001F7727">
              <w:t>PPG</w:t>
            </w:r>
            <w:r w:rsidR="001F7727" w:rsidRPr="00D921A2">
              <w:rPr>
                <w:rFonts w:ascii="Times New Roman" w:eastAsia="MS Gothic" w:hAnsi="Times New Roman"/>
                <w:noProof/>
                <w:color w:val="auto"/>
                <w:sz w:val="22"/>
                <w:szCs w:val="22"/>
              </w:rPr>
              <w:fldChar w:fldCharType="begin"/>
            </w:r>
            <w:r w:rsidR="001F7727" w:rsidRPr="00D921A2">
              <w:rPr>
                <w:rFonts w:ascii="Times New Roman" w:eastAsia="MS Gothic" w:hAnsi="Times New Roman"/>
                <w:noProof/>
                <w:color w:val="auto"/>
                <w:sz w:val="22"/>
                <w:szCs w:val="22"/>
              </w:rPr>
              <w:instrText xml:space="preserve"> </w:instrText>
            </w:r>
            <w:r w:rsidR="00024014">
              <w:rPr>
                <w:rFonts w:ascii="Times New Roman" w:eastAsia="MS Gothic" w:hAnsi="Times New Roman"/>
                <w:noProof/>
                <w:color w:val="auto"/>
                <w:sz w:val="22"/>
                <w:szCs w:val="22"/>
              </w:rPr>
              <w:instrText>XE " PPG " \f Abbreviation \t "p</w:instrText>
            </w:r>
            <w:r w:rsidR="001F7727" w:rsidRPr="00D921A2">
              <w:rPr>
                <w:rFonts w:ascii="Times New Roman" w:eastAsia="MS Gothic" w:hAnsi="Times New Roman"/>
                <w:noProof/>
                <w:color w:val="auto"/>
                <w:sz w:val="22"/>
                <w:szCs w:val="22"/>
              </w:rPr>
              <w:instrText xml:space="preserve">ost-prandial plasma glucose" </w:instrText>
            </w:r>
            <w:r w:rsidR="001F7727" w:rsidRPr="00D921A2">
              <w:rPr>
                <w:rFonts w:ascii="Times New Roman" w:eastAsia="MS Gothic" w:hAnsi="Times New Roman"/>
                <w:noProof/>
                <w:color w:val="auto"/>
                <w:sz w:val="22"/>
                <w:szCs w:val="22"/>
              </w:rPr>
              <w:fldChar w:fldCharType="end"/>
            </w:r>
            <w:r>
              <w:t xml:space="preserve">) and glucose excursion during a standardized meal test; </w:t>
            </w:r>
          </w:p>
          <w:p w:rsidR="004C7744" w:rsidRDefault="004C7744" w:rsidP="000C7FBD">
            <w:pPr>
              <w:pStyle w:val="ListBulletLevel1Synospis"/>
            </w:pPr>
            <w:r>
              <w:t>Body weight</w:t>
            </w:r>
            <w:r w:rsidR="004860B2">
              <w:t>;</w:t>
            </w:r>
          </w:p>
          <w:p w:rsidR="004C7744" w:rsidRDefault="004C7744" w:rsidP="00CC67B4">
            <w:pPr>
              <w:pStyle w:val="ListBulletLevel1Synospis"/>
              <w:numPr>
                <w:ilvl w:val="0"/>
                <w:numId w:val="178"/>
              </w:numPr>
            </w:pPr>
            <w:r>
              <w:t>To assess the safety and tolerability in each treatment group.</w:t>
            </w:r>
          </w:p>
          <w:p w:rsidR="004C7744" w:rsidRPr="000C7FBD" w:rsidRDefault="004C7744" w:rsidP="004C7744">
            <w:pPr>
              <w:pStyle w:val="TblTextLeft"/>
              <w:rPr>
                <w:b/>
              </w:rPr>
            </w:pPr>
            <w:r w:rsidRPr="000C7FBD">
              <w:rPr>
                <w:b/>
              </w:rPr>
              <w:t>Other Objectives</w:t>
            </w:r>
          </w:p>
          <w:p w:rsidR="00DF1E4D" w:rsidRDefault="004C7744" w:rsidP="006501BD">
            <w:pPr>
              <w:pStyle w:val="ListBulletLevel1Synospis"/>
              <w:numPr>
                <w:ilvl w:val="0"/>
                <w:numId w:val="23"/>
              </w:numPr>
            </w:pPr>
            <w:r>
              <w:t xml:space="preserve">To assess insulin glargine </w:t>
            </w:r>
            <w:r w:rsidR="00C3562C" w:rsidRPr="0031472C">
              <w:t>and lixisenatide</w:t>
            </w:r>
            <w:r w:rsidR="00C3562C">
              <w:t xml:space="preserve"> </w:t>
            </w:r>
            <w:r>
              <w:t>dose</w:t>
            </w:r>
            <w:r w:rsidR="00C3562C">
              <w:t>s</w:t>
            </w:r>
            <w:r>
              <w:t xml:space="preserve"> in the combination group.</w:t>
            </w:r>
          </w:p>
        </w:tc>
      </w:tr>
      <w:tr w:rsidR="0051645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pPr>
              <w:pStyle w:val="TblHeadingLeft"/>
              <w:rPr>
                <w:noProof w:val="0"/>
                <w:lang w:val="en-US"/>
              </w:rPr>
            </w:pPr>
            <w:r>
              <w:rPr>
                <w:noProof w:val="0"/>
                <w:lang w:val="en-US"/>
              </w:rPr>
              <w:t>STUDY DESIGN</w:t>
            </w:r>
          </w:p>
        </w:tc>
        <w:tc>
          <w:tcPr>
            <w:tcW w:w="5805" w:type="dxa"/>
            <w:tcBorders>
              <w:top w:val="single" w:sz="6" w:space="0" w:color="000000"/>
              <w:left w:val="single" w:sz="6" w:space="0" w:color="000000"/>
              <w:bottom w:val="single" w:sz="6" w:space="0" w:color="000000"/>
              <w:right w:val="single" w:sz="6" w:space="0" w:color="000000"/>
            </w:tcBorders>
          </w:tcPr>
          <w:p w:rsidR="000C7FBD" w:rsidRDefault="000C7FBD" w:rsidP="000C7FBD">
            <w:pPr>
              <w:pStyle w:val="TblTextLeft"/>
            </w:pPr>
            <w:r>
              <w:t xml:space="preserve">Randomized, open label, 2 treatment-arm, 26-week treatment duration, parallel-group multinational and multicenter study comparing the </w:t>
            </w:r>
            <w:r w:rsidR="007C6B3D" w:rsidRPr="0031472C">
              <w:t>FRC</w:t>
            </w:r>
            <w:r w:rsidR="007C6B3D">
              <w:t xml:space="preserve"> t</w:t>
            </w:r>
            <w:r>
              <w:t>o GLP</w:t>
            </w:r>
            <w:r w:rsidR="006501BD">
              <w:noBreakHyphen/>
            </w:r>
            <w:r>
              <w:t>1 receptor agonist.</w:t>
            </w:r>
          </w:p>
          <w:p w:rsidR="000C7FBD" w:rsidRDefault="000C7FBD" w:rsidP="000C7FBD">
            <w:pPr>
              <w:pStyle w:val="TblTextLeft"/>
            </w:pPr>
            <w:r>
              <w:t>The randomization (1:1) will be stratified by values of HbA</w:t>
            </w:r>
            <w:r w:rsidRPr="00950DEA">
              <w:rPr>
                <w:vertAlign w:val="subscript"/>
              </w:rPr>
              <w:t>1c</w:t>
            </w:r>
            <w:r>
              <w:t xml:space="preserve"> at screening (&lt;8%, ≥8%) </w:t>
            </w:r>
            <w:r w:rsidR="00626F6A" w:rsidRPr="00626F6A">
              <w:t>(&lt;64 mmol/mol, ≥64 mmol/mol)</w:t>
            </w:r>
            <w:r w:rsidR="00626F6A">
              <w:t xml:space="preserve"> </w:t>
            </w:r>
            <w:r>
              <w:t xml:space="preserve">and </w:t>
            </w:r>
            <w:r w:rsidRPr="0031472C">
              <w:t>GLP-1 receptor agonist subtype (once/twice daily formulations, once weekly formulations).</w:t>
            </w:r>
          </w:p>
          <w:p w:rsidR="0051645D" w:rsidRDefault="000C7FBD" w:rsidP="000C7FBD">
            <w:pPr>
              <w:pStyle w:val="TblTextLeft"/>
            </w:pPr>
            <w:r>
              <w:t>The study will comprise 3 periods:</w:t>
            </w:r>
          </w:p>
          <w:p w:rsidR="00000376" w:rsidRDefault="00000376" w:rsidP="000310F2">
            <w:pPr>
              <w:pStyle w:val="ListBulletLevel1Synospis"/>
              <w:numPr>
                <w:ilvl w:val="0"/>
                <w:numId w:val="24"/>
              </w:numPr>
            </w:pPr>
            <w:r>
              <w:t>An up-to 2-week screening period;</w:t>
            </w:r>
          </w:p>
          <w:p w:rsidR="00000376" w:rsidRDefault="00000376" w:rsidP="000310F2">
            <w:pPr>
              <w:pStyle w:val="ListBulletLevel1Synospis"/>
              <w:numPr>
                <w:ilvl w:val="0"/>
                <w:numId w:val="24"/>
              </w:numPr>
            </w:pPr>
            <w:r>
              <w:t xml:space="preserve">A 26-week open-label randomized treatment period: at V3, patients will be randomized to either receive the </w:t>
            </w:r>
            <w:r w:rsidR="007C6B3D" w:rsidRPr="0031472C">
              <w:t>FRC</w:t>
            </w:r>
            <w:r w:rsidR="007C6B3D">
              <w:t xml:space="preserve"> </w:t>
            </w:r>
            <w:r>
              <w:t>plus metformin ± pioglitazone or to continue on GLP-1 receptor agonist plus metformin ± pioglitazone;</w:t>
            </w:r>
          </w:p>
          <w:p w:rsidR="00F63B16" w:rsidRDefault="00000376" w:rsidP="00FE1473">
            <w:pPr>
              <w:pStyle w:val="ListBulletLevel1Synospis"/>
              <w:numPr>
                <w:ilvl w:val="0"/>
                <w:numId w:val="24"/>
              </w:numPr>
            </w:pPr>
            <w:r>
              <w:t>A 3-day safety follow-up period.</w:t>
            </w:r>
          </w:p>
        </w:tc>
      </w:tr>
      <w:tr w:rsidR="0051645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rsidP="006501BD">
            <w:pPr>
              <w:pStyle w:val="TblHeadingLeft"/>
              <w:pageBreakBefore/>
              <w:rPr>
                <w:noProof w:val="0"/>
                <w:lang w:val="en-US"/>
              </w:rPr>
            </w:pPr>
            <w:r>
              <w:rPr>
                <w:noProof w:val="0"/>
                <w:lang w:val="en-US"/>
              </w:rPr>
              <w:lastRenderedPageBreak/>
              <w:t xml:space="preserve">STUDY POPULATION </w:t>
            </w:r>
          </w:p>
          <w:p w:rsidR="0051645D" w:rsidRDefault="0051645D">
            <w:pPr>
              <w:pStyle w:val="TblHeadingLeft"/>
              <w:rPr>
                <w:noProof w:val="0"/>
                <w:lang w:val="en-US"/>
              </w:rPr>
            </w:pPr>
            <w:r>
              <w:rPr>
                <w:noProof w:val="0"/>
                <w:lang w:val="en-US"/>
              </w:rPr>
              <w:t>Main selection criteria</w:t>
            </w:r>
          </w:p>
        </w:tc>
        <w:tc>
          <w:tcPr>
            <w:tcW w:w="5805" w:type="dxa"/>
            <w:tcBorders>
              <w:top w:val="single" w:sz="6" w:space="0" w:color="000000"/>
              <w:left w:val="single" w:sz="6" w:space="0" w:color="000000"/>
              <w:bottom w:val="single" w:sz="6" w:space="0" w:color="000000"/>
              <w:right w:val="single" w:sz="6" w:space="0" w:color="000000"/>
            </w:tcBorders>
          </w:tcPr>
          <w:p w:rsidR="0051645D" w:rsidRDefault="0051645D">
            <w:pPr>
              <w:pStyle w:val="TblTextLeft"/>
              <w:rPr>
                <w:rFonts w:ascii="Arial" w:hAnsi="Arial"/>
                <w:b/>
              </w:rPr>
            </w:pPr>
            <w:r>
              <w:rPr>
                <w:rFonts w:ascii="Arial" w:hAnsi="Arial"/>
                <w:b/>
              </w:rPr>
              <w:t>In</w:t>
            </w:r>
            <w:r w:rsidR="000C2D66">
              <w:rPr>
                <w:rFonts w:ascii="Arial" w:hAnsi="Arial"/>
                <w:b/>
              </w:rPr>
              <w:t>clusion criteria:</w:t>
            </w:r>
          </w:p>
          <w:p w:rsidR="00A83718" w:rsidRDefault="00A83718" w:rsidP="00CC67B4">
            <w:pPr>
              <w:pStyle w:val="ListBulletLevel1Synospis"/>
              <w:numPr>
                <w:ilvl w:val="0"/>
                <w:numId w:val="26"/>
              </w:numPr>
            </w:pPr>
            <w:r w:rsidRPr="00A83718">
              <w:t>Patients with type 2 diabetes mellitus diagnosed at least one yea</w:t>
            </w:r>
            <w:r w:rsidR="00755F51">
              <w:t>r prior to screening visit (V1)</w:t>
            </w:r>
            <w:r w:rsidR="008D55CC">
              <w:t>;</w:t>
            </w:r>
          </w:p>
          <w:p w:rsidR="00A83718" w:rsidRPr="00A83718" w:rsidRDefault="00A83718" w:rsidP="00CC67B4">
            <w:pPr>
              <w:pStyle w:val="ListBulletLevel1Synospis"/>
              <w:numPr>
                <w:ilvl w:val="0"/>
                <w:numId w:val="26"/>
              </w:numPr>
            </w:pPr>
            <w:r w:rsidRPr="00A83718">
              <w:t xml:space="preserve">Patients who have been treated with </w:t>
            </w:r>
            <w:r w:rsidRPr="00CB0FEE">
              <w:t>one of the following</w:t>
            </w:r>
            <w:r w:rsidRPr="00A83718">
              <w:t xml:space="preserve"> GLP-1 receptor agonis</w:t>
            </w:r>
            <w:r w:rsidRPr="00CB0FEE">
              <w:t>ts</w:t>
            </w:r>
            <w:r w:rsidRPr="00A83718">
              <w:t xml:space="preserve"> for at least 4 months prior to screening visit (V1), and with stable dose for at least 3 months prior to screening visit (V1):  </w:t>
            </w:r>
          </w:p>
          <w:p w:rsidR="00A83718" w:rsidRPr="00A83718" w:rsidRDefault="00A83718" w:rsidP="00A83718">
            <w:pPr>
              <w:pStyle w:val="ListBulletLevel2Synospis"/>
            </w:pPr>
            <w:r w:rsidRPr="00A83718">
              <w:t xml:space="preserve">Liraglutide (Victoza®) 1.8 mg </w:t>
            </w:r>
            <w:r w:rsidR="00020867">
              <w:t>once daily (</w:t>
            </w:r>
            <w:r w:rsidRPr="001F7727">
              <w:t>QD</w:t>
            </w:r>
            <w:r w:rsidR="001F7727" w:rsidRPr="00D921A2">
              <w:rPr>
                <w:rFonts w:ascii="Times New Roman" w:eastAsia="MS Gothic" w:hAnsi="Times New Roman"/>
                <w:noProof/>
                <w:color w:val="auto"/>
                <w:sz w:val="22"/>
                <w:szCs w:val="22"/>
              </w:rPr>
              <w:fldChar w:fldCharType="begin"/>
            </w:r>
            <w:r w:rsidR="00024014">
              <w:rPr>
                <w:rFonts w:ascii="Times New Roman" w:eastAsia="MS Gothic" w:hAnsi="Times New Roman"/>
                <w:noProof/>
                <w:color w:val="auto"/>
                <w:sz w:val="22"/>
                <w:szCs w:val="22"/>
              </w:rPr>
              <w:instrText xml:space="preserve"> XE " QD " \f Abbreviation \t "q</w:instrText>
            </w:r>
            <w:r w:rsidR="001F7727" w:rsidRPr="00D921A2">
              <w:rPr>
                <w:rFonts w:ascii="Times New Roman" w:eastAsia="MS Gothic" w:hAnsi="Times New Roman"/>
                <w:noProof/>
                <w:color w:val="auto"/>
                <w:sz w:val="22"/>
                <w:szCs w:val="22"/>
              </w:rPr>
              <w:instrText xml:space="preserve">uague die = once daily" </w:instrText>
            </w:r>
            <w:r w:rsidR="001F7727" w:rsidRPr="00D921A2">
              <w:rPr>
                <w:rFonts w:ascii="Times New Roman" w:eastAsia="MS Gothic" w:hAnsi="Times New Roman"/>
                <w:noProof/>
                <w:color w:val="auto"/>
                <w:sz w:val="22"/>
                <w:szCs w:val="22"/>
              </w:rPr>
              <w:fldChar w:fldCharType="end"/>
            </w:r>
            <w:r w:rsidR="00020867">
              <w:t>)</w:t>
            </w:r>
            <w:r w:rsidR="00755F51">
              <w:t xml:space="preserve"> or 1.2 </w:t>
            </w:r>
            <w:r w:rsidRPr="00A83718">
              <w:t>mg QD, if 1.8 mg QD is not well tolerated according to Investigator's judgment</w:t>
            </w:r>
          </w:p>
          <w:p w:rsidR="00A83718" w:rsidRPr="00A83718" w:rsidRDefault="00A83718" w:rsidP="00A83718">
            <w:pPr>
              <w:pStyle w:val="ListBulletLevel2Synospis"/>
            </w:pPr>
            <w:r w:rsidRPr="00A83718">
              <w:t xml:space="preserve">or Exenatide </w:t>
            </w:r>
            <w:r w:rsidR="00020867">
              <w:t xml:space="preserve">twice daily </w:t>
            </w:r>
            <w:r w:rsidR="001F7727">
              <w:t>(BID</w:t>
            </w:r>
            <w:r w:rsidR="001F7727" w:rsidRPr="00D921A2">
              <w:rPr>
                <w:rFonts w:ascii="Times New Roman" w:eastAsia="MS Gothic" w:hAnsi="Times New Roman"/>
                <w:noProof/>
                <w:color w:val="auto"/>
                <w:sz w:val="22"/>
                <w:szCs w:val="22"/>
              </w:rPr>
              <w:fldChar w:fldCharType="begin"/>
            </w:r>
            <w:r w:rsidR="001F7727" w:rsidRPr="00D921A2">
              <w:rPr>
                <w:rFonts w:ascii="Times New Roman" w:eastAsia="MS Gothic" w:hAnsi="Times New Roman"/>
                <w:noProof/>
                <w:color w:val="auto"/>
                <w:sz w:val="22"/>
                <w:szCs w:val="22"/>
              </w:rPr>
              <w:instrText xml:space="preserve"> </w:instrText>
            </w:r>
            <w:r w:rsidR="009A6873">
              <w:rPr>
                <w:rFonts w:ascii="Times New Roman" w:eastAsia="MS Gothic" w:hAnsi="Times New Roman"/>
                <w:noProof/>
                <w:color w:val="auto"/>
                <w:sz w:val="22"/>
                <w:szCs w:val="22"/>
              </w:rPr>
              <w:instrText>XE " BID " \f Abbreviation \t "b</w:instrText>
            </w:r>
            <w:r w:rsidR="001F7727" w:rsidRPr="00D921A2">
              <w:rPr>
                <w:rFonts w:ascii="Times New Roman" w:eastAsia="MS Gothic" w:hAnsi="Times New Roman"/>
                <w:noProof/>
                <w:color w:val="auto"/>
                <w:sz w:val="22"/>
                <w:szCs w:val="22"/>
              </w:rPr>
              <w:instrText xml:space="preserve">is in die = twice daily" </w:instrText>
            </w:r>
            <w:r w:rsidR="001F7727" w:rsidRPr="00D921A2">
              <w:rPr>
                <w:rFonts w:ascii="Times New Roman" w:eastAsia="MS Gothic" w:hAnsi="Times New Roman"/>
                <w:noProof/>
                <w:color w:val="auto"/>
                <w:sz w:val="22"/>
                <w:szCs w:val="22"/>
              </w:rPr>
              <w:fldChar w:fldCharType="end"/>
            </w:r>
            <w:r w:rsidR="001F7727">
              <w:t>)</w:t>
            </w:r>
            <w:r w:rsidRPr="00A83718">
              <w:t xml:space="preserve"> (Byetta®) 10 µg BID or of 5 µg BID, if 10 µg BID is not well tolerated according to Investigator's judgment</w:t>
            </w:r>
          </w:p>
          <w:p w:rsidR="00A83718" w:rsidRDefault="00A83718" w:rsidP="00A83718">
            <w:pPr>
              <w:pStyle w:val="NumberListInclusionSynospis"/>
              <w:numPr>
                <w:ilvl w:val="0"/>
                <w:numId w:val="0"/>
              </w:numPr>
              <w:ind w:left="691"/>
            </w:pPr>
            <w:r w:rsidRPr="00A83718">
              <w:t>in combination with metformin (daily dose ≥1500 m</w:t>
            </w:r>
            <w:r>
              <w:t xml:space="preserve">g/day or Maximum Tolerated Dose </w:t>
            </w:r>
            <w:r w:rsidR="001F7727">
              <w:t>(MTD</w:t>
            </w:r>
            <w:r w:rsidR="00C16364" w:rsidRPr="00D921A2">
              <w:rPr>
                <w:rFonts w:ascii="Times New Roman" w:eastAsia="MS Gothic" w:hAnsi="Times New Roman"/>
                <w:noProof/>
                <w:color w:val="auto"/>
                <w:sz w:val="22"/>
                <w:szCs w:val="22"/>
              </w:rPr>
              <w:fldChar w:fldCharType="begin"/>
            </w:r>
            <w:r w:rsidR="00C16364" w:rsidRPr="00D921A2">
              <w:rPr>
                <w:rFonts w:ascii="Times New Roman" w:eastAsia="MS Gothic" w:hAnsi="Times New Roman"/>
                <w:noProof/>
                <w:color w:val="auto"/>
                <w:sz w:val="22"/>
                <w:szCs w:val="22"/>
              </w:rPr>
              <w:instrText xml:space="preserve"> </w:instrText>
            </w:r>
            <w:r w:rsidR="009A6873">
              <w:rPr>
                <w:rFonts w:ascii="Times New Roman" w:eastAsia="MS Gothic" w:hAnsi="Times New Roman"/>
                <w:noProof/>
                <w:color w:val="auto"/>
                <w:sz w:val="22"/>
                <w:szCs w:val="22"/>
              </w:rPr>
              <w:instrText>XE " MTD " \f Abbreviation \t "m</w:instrText>
            </w:r>
            <w:r w:rsidR="00C16364" w:rsidRPr="00D921A2">
              <w:rPr>
                <w:rFonts w:ascii="Times New Roman" w:eastAsia="MS Gothic" w:hAnsi="Times New Roman"/>
                <w:noProof/>
                <w:color w:val="auto"/>
                <w:sz w:val="22"/>
                <w:szCs w:val="22"/>
              </w:rPr>
              <w:instrText xml:space="preserve">aximum tolerated dose" </w:instrText>
            </w:r>
            <w:r w:rsidR="00C16364" w:rsidRPr="00D921A2">
              <w:rPr>
                <w:rFonts w:ascii="Times New Roman" w:eastAsia="MS Gothic" w:hAnsi="Times New Roman"/>
                <w:noProof/>
                <w:color w:val="auto"/>
                <w:sz w:val="22"/>
                <w:szCs w:val="22"/>
              </w:rPr>
              <w:fldChar w:fldCharType="end"/>
            </w:r>
            <w:r w:rsidR="001F7727">
              <w:t>)</w:t>
            </w:r>
            <w:r w:rsidRPr="00A83718">
              <w:t>), with or without pioglitazone, both at stable dose for at least 3 months prior to screening;</w:t>
            </w:r>
          </w:p>
          <w:p w:rsidR="00541489" w:rsidRPr="00CB0FEE" w:rsidRDefault="00541489" w:rsidP="00A83718">
            <w:pPr>
              <w:pStyle w:val="NumberListInclusionSynospis"/>
              <w:numPr>
                <w:ilvl w:val="0"/>
                <w:numId w:val="0"/>
              </w:numPr>
              <w:ind w:left="691"/>
            </w:pPr>
            <w:r w:rsidRPr="00CB0FEE">
              <w:t>or</w:t>
            </w:r>
          </w:p>
          <w:p w:rsidR="00A83718" w:rsidRPr="00CB0FEE" w:rsidRDefault="00A83718" w:rsidP="00541489">
            <w:pPr>
              <w:pStyle w:val="ListBulletLevel1Synospis"/>
              <w:numPr>
                <w:ilvl w:val="0"/>
                <w:numId w:val="0"/>
              </w:numPr>
              <w:ind w:left="720"/>
            </w:pPr>
            <w:r w:rsidRPr="00CB0FEE">
              <w:t>Patients who have been treated with stable dose of one of the following GLP-1 receptor agonists for at least 6 months prior to screening visit (V1):</w:t>
            </w:r>
          </w:p>
          <w:p w:rsidR="00A83718" w:rsidRPr="00CB0FEE" w:rsidRDefault="00A83718" w:rsidP="00CC67B4">
            <w:pPr>
              <w:pStyle w:val="ListBulletLevel2Synospis"/>
              <w:numPr>
                <w:ilvl w:val="0"/>
                <w:numId w:val="179"/>
              </w:numPr>
            </w:pPr>
            <w:r w:rsidRPr="00CB0FEE">
              <w:t>Exenatide extended-release (Bydureon®) 2 mg once weekly (QW</w:t>
            </w:r>
            <w:r w:rsidR="00A60C97" w:rsidRPr="00C24D12">
              <w:rPr>
                <w:rFonts w:ascii="Times New Roman" w:eastAsia="MS Gothic" w:hAnsi="Times New Roman"/>
                <w:noProof/>
                <w:color w:val="auto"/>
                <w:sz w:val="22"/>
                <w:szCs w:val="22"/>
              </w:rPr>
              <w:fldChar w:fldCharType="begin"/>
            </w:r>
            <w:r w:rsidR="00A60C97" w:rsidRPr="00C24D12">
              <w:rPr>
                <w:rFonts w:ascii="Times New Roman" w:eastAsia="MS Gothic" w:hAnsi="Times New Roman"/>
                <w:noProof/>
                <w:color w:val="auto"/>
                <w:sz w:val="22"/>
                <w:szCs w:val="22"/>
              </w:rPr>
              <w:instrText xml:space="preserve"> XE " QW " \f Abbreviation \t "</w:instrText>
            </w:r>
            <w:r w:rsidR="009A6873" w:rsidRPr="00C24D12">
              <w:rPr>
                <w:rFonts w:ascii="Times New Roman" w:eastAsia="MS Gothic" w:hAnsi="Times New Roman"/>
                <w:noProof/>
                <w:color w:val="auto"/>
                <w:sz w:val="22"/>
                <w:szCs w:val="22"/>
              </w:rPr>
              <w:instrText>o</w:instrText>
            </w:r>
            <w:r w:rsidR="00A60C97" w:rsidRPr="00C24D12">
              <w:rPr>
                <w:rFonts w:ascii="Times New Roman" w:eastAsia="MS Gothic" w:hAnsi="Times New Roman"/>
                <w:noProof/>
                <w:color w:val="auto"/>
                <w:sz w:val="22"/>
                <w:szCs w:val="22"/>
              </w:rPr>
              <w:instrText xml:space="preserve">nce weekly" </w:instrText>
            </w:r>
            <w:r w:rsidR="00A60C97" w:rsidRPr="00C24D12">
              <w:rPr>
                <w:rFonts w:ascii="Times New Roman" w:eastAsia="MS Gothic" w:hAnsi="Times New Roman"/>
                <w:noProof/>
                <w:color w:val="auto"/>
                <w:sz w:val="22"/>
                <w:szCs w:val="22"/>
              </w:rPr>
              <w:fldChar w:fldCharType="end"/>
            </w:r>
            <w:r w:rsidRPr="00CB0FEE">
              <w:t>), if well tolerated according to Investigator’s judgment</w:t>
            </w:r>
          </w:p>
          <w:p w:rsidR="00A83718" w:rsidRPr="00CB0FEE" w:rsidRDefault="00A83718" w:rsidP="00CC67B4">
            <w:pPr>
              <w:pStyle w:val="ListBulletLevel2Synospis"/>
              <w:numPr>
                <w:ilvl w:val="0"/>
                <w:numId w:val="179"/>
              </w:numPr>
            </w:pPr>
            <w:r w:rsidRPr="00CB0FEE">
              <w:t>Albiglutide (Tanzeum®, Eperzan®) 50 mg QW or 30 mg QW, if 50 mg QW is not well tolerated according to Investigator’s judgment</w:t>
            </w:r>
          </w:p>
          <w:p w:rsidR="00A83718" w:rsidRPr="00CB0FEE" w:rsidRDefault="00A83718" w:rsidP="00CC67B4">
            <w:pPr>
              <w:pStyle w:val="ListBulletLevel2Synospis"/>
              <w:numPr>
                <w:ilvl w:val="0"/>
                <w:numId w:val="179"/>
              </w:numPr>
            </w:pPr>
            <w:r w:rsidRPr="00CB0FEE">
              <w:t>Dulaglutide (Trulicity®) 1.5 mg QW or 0.75 mg QW, if 1.5 mg QW is not well tolerated according to Investigator’s judgment</w:t>
            </w:r>
          </w:p>
          <w:p w:rsidR="00A83718" w:rsidRPr="00A83718" w:rsidRDefault="00A83718" w:rsidP="00A83718">
            <w:pPr>
              <w:pStyle w:val="NumberListInclusionSynospis"/>
              <w:numPr>
                <w:ilvl w:val="0"/>
                <w:numId w:val="0"/>
              </w:numPr>
              <w:ind w:left="691"/>
            </w:pPr>
            <w:r w:rsidRPr="00CB0FEE">
              <w:t>in combination with metformin (daily dose ≥1500 mg/day or MTD), with or without pioglitazone, bot</w:t>
            </w:r>
            <w:r w:rsidR="008D55CC">
              <w:t>h at stable dose for at least 3 </w:t>
            </w:r>
            <w:r w:rsidRPr="00CB0FEE">
              <w:t>months prior to screening;</w:t>
            </w:r>
          </w:p>
          <w:p w:rsidR="0051645D" w:rsidRDefault="00A83718" w:rsidP="00CC67B4">
            <w:pPr>
              <w:pStyle w:val="ListBulletLevel1Synospis"/>
              <w:numPr>
                <w:ilvl w:val="0"/>
                <w:numId w:val="27"/>
              </w:numPr>
            </w:pPr>
            <w:r w:rsidRPr="00A83718">
              <w:t>Signed written informed consent.</w:t>
            </w:r>
          </w:p>
          <w:p w:rsidR="0051645D" w:rsidRDefault="0051645D">
            <w:pPr>
              <w:pStyle w:val="TblTextLeft"/>
              <w:rPr>
                <w:rFonts w:ascii="Arial" w:hAnsi="Arial"/>
                <w:b/>
              </w:rPr>
            </w:pPr>
            <w:r>
              <w:rPr>
                <w:rFonts w:ascii="Arial" w:hAnsi="Arial"/>
                <w:b/>
              </w:rPr>
              <w:t>Exclusion criteria</w:t>
            </w:r>
            <w:r w:rsidR="000C2D66">
              <w:rPr>
                <w:rFonts w:ascii="Arial" w:hAnsi="Arial"/>
                <w:b/>
              </w:rPr>
              <w:t>:</w:t>
            </w:r>
          </w:p>
          <w:p w:rsidR="00A83718" w:rsidRPr="00A83718" w:rsidRDefault="00A83718" w:rsidP="00CC67B4">
            <w:pPr>
              <w:pStyle w:val="ListBulletLevel1Synospis"/>
              <w:numPr>
                <w:ilvl w:val="0"/>
                <w:numId w:val="28"/>
              </w:numPr>
            </w:pPr>
            <w:r w:rsidRPr="00A83718">
              <w:t xml:space="preserve">At screening visit (V1), age </w:t>
            </w:r>
            <w:r w:rsidR="006A7F69">
              <w:rPr>
                <w:rFonts w:ascii="Times New Roman" w:hAnsi="Times New Roman"/>
              </w:rPr>
              <w:t>&lt;</w:t>
            </w:r>
            <w:r w:rsidRPr="00A83718">
              <w:t>legal age of adulthood;</w:t>
            </w:r>
          </w:p>
          <w:p w:rsidR="00A83718" w:rsidRPr="00A83718" w:rsidRDefault="00A83718" w:rsidP="00CC67B4">
            <w:pPr>
              <w:pStyle w:val="ListBulletLevel1Synospis"/>
              <w:numPr>
                <w:ilvl w:val="0"/>
                <w:numId w:val="28"/>
              </w:numPr>
            </w:pPr>
            <w:r w:rsidRPr="00A83718">
              <w:t>Screening HbA</w:t>
            </w:r>
            <w:r w:rsidRPr="00950DEA">
              <w:rPr>
                <w:vertAlign w:val="subscript"/>
              </w:rPr>
              <w:t>1c</w:t>
            </w:r>
            <w:r w:rsidRPr="00A83718">
              <w:t xml:space="preserve"> &lt;7% (53 mmol/mol) and &gt;9% (75 mmol/mol);</w:t>
            </w:r>
          </w:p>
          <w:p w:rsidR="00A83718" w:rsidRPr="00A83718" w:rsidRDefault="00A83718" w:rsidP="00CC67B4">
            <w:pPr>
              <w:pStyle w:val="ListBulletLevel1Synospis"/>
              <w:numPr>
                <w:ilvl w:val="0"/>
                <w:numId w:val="28"/>
              </w:numPr>
            </w:pPr>
            <w:r w:rsidRPr="00A83718">
              <w:t>Pregnancy or lactation, women of childbearing potential with no effective contraceptive method;</w:t>
            </w:r>
          </w:p>
          <w:p w:rsidR="00A83718" w:rsidRPr="00A83718" w:rsidRDefault="00A83718" w:rsidP="00CC67B4">
            <w:pPr>
              <w:pStyle w:val="ListBulletLevel1Synospis"/>
              <w:numPr>
                <w:ilvl w:val="0"/>
                <w:numId w:val="28"/>
              </w:numPr>
            </w:pPr>
            <w:r w:rsidRPr="00A83718">
              <w:t>Any use of oral anti-diabetic drugs (</w:t>
            </w:r>
            <w:r w:rsidRPr="00C16364">
              <w:t>OAD</w:t>
            </w:r>
            <w:r w:rsidR="00C16364" w:rsidRPr="00D921A2">
              <w:rPr>
                <w:rFonts w:ascii="Times New Roman" w:eastAsia="MS Gothic" w:hAnsi="Times New Roman"/>
                <w:noProof/>
                <w:color w:val="auto"/>
                <w:sz w:val="22"/>
                <w:szCs w:val="22"/>
              </w:rPr>
              <w:fldChar w:fldCharType="begin"/>
            </w:r>
            <w:r w:rsidR="00C16364" w:rsidRPr="00D921A2">
              <w:rPr>
                <w:rFonts w:ascii="Times New Roman" w:eastAsia="MS Gothic" w:hAnsi="Times New Roman"/>
                <w:noProof/>
                <w:color w:val="auto"/>
                <w:sz w:val="22"/>
                <w:szCs w:val="22"/>
              </w:rPr>
              <w:instrText xml:space="preserve"> XE "OAD" \f Abbreviation </w:instrText>
            </w:r>
            <w:r w:rsidR="009A6873">
              <w:rPr>
                <w:rFonts w:ascii="Times New Roman" w:eastAsia="MS Gothic" w:hAnsi="Times New Roman"/>
                <w:noProof/>
                <w:color w:val="auto"/>
                <w:sz w:val="22"/>
                <w:szCs w:val="22"/>
              </w:rPr>
              <w:instrText>\t "o</w:instrText>
            </w:r>
            <w:r w:rsidR="00C16364" w:rsidRPr="00D921A2">
              <w:rPr>
                <w:rFonts w:ascii="Times New Roman" w:eastAsia="MS Gothic" w:hAnsi="Times New Roman"/>
                <w:noProof/>
                <w:color w:val="auto"/>
                <w:sz w:val="22"/>
                <w:szCs w:val="22"/>
              </w:rPr>
              <w:instrText xml:space="preserve">ral anti-diabetic drug" </w:instrText>
            </w:r>
            <w:r w:rsidR="00C16364" w:rsidRPr="00D921A2">
              <w:rPr>
                <w:rFonts w:ascii="Times New Roman" w:eastAsia="MS Gothic" w:hAnsi="Times New Roman"/>
                <w:noProof/>
                <w:color w:val="auto"/>
                <w:sz w:val="22"/>
                <w:szCs w:val="22"/>
              </w:rPr>
              <w:fldChar w:fldCharType="end"/>
            </w:r>
            <w:r w:rsidRPr="00C16364">
              <w:t>s</w:t>
            </w:r>
            <w:r w:rsidRPr="00A83718">
              <w:t>) within 3 months prior to the screening visit (V1), other than those described in the inclusion criteria;</w:t>
            </w:r>
          </w:p>
          <w:p w:rsidR="00A83718" w:rsidRPr="00A83718" w:rsidRDefault="00A83718" w:rsidP="00CC67B4">
            <w:pPr>
              <w:pStyle w:val="ListBulletLevel1Synospis"/>
              <w:numPr>
                <w:ilvl w:val="0"/>
                <w:numId w:val="28"/>
              </w:numPr>
            </w:pPr>
            <w:r w:rsidRPr="00A83718">
              <w:t xml:space="preserve">Previous treatment with insulin in the year prior to screening visit (V1) (note: short term treatment with insulin (≤10 days) due to intercurrent illness including gestational diabetes is allowed at the discretion of the study physician); </w:t>
            </w:r>
          </w:p>
          <w:p w:rsidR="00A83718" w:rsidRPr="00A83718" w:rsidRDefault="00A83718" w:rsidP="00CC67B4">
            <w:pPr>
              <w:pStyle w:val="ListBulletLevel1Synospis"/>
              <w:numPr>
                <w:ilvl w:val="0"/>
                <w:numId w:val="28"/>
              </w:numPr>
            </w:pPr>
            <w:r w:rsidRPr="00A83718">
              <w:t>Laboratory findings at the time of screening, including:</w:t>
            </w:r>
          </w:p>
          <w:p w:rsidR="00A83718" w:rsidRPr="00A83718" w:rsidRDefault="00A83718" w:rsidP="00CC67B4">
            <w:pPr>
              <w:pStyle w:val="ListBulletLevel2Synospis"/>
              <w:numPr>
                <w:ilvl w:val="0"/>
                <w:numId w:val="25"/>
              </w:numPr>
            </w:pPr>
            <w:r w:rsidRPr="00A83718">
              <w:t>Fasting Plasma Glucose (FPG) &gt;250 mg/dL (13.9 mmol/L);</w:t>
            </w:r>
          </w:p>
          <w:p w:rsidR="00A83718" w:rsidRPr="00A83718" w:rsidRDefault="00A83718" w:rsidP="00CC67B4">
            <w:pPr>
              <w:pStyle w:val="ListBulletLevel2Synospis"/>
              <w:numPr>
                <w:ilvl w:val="0"/>
                <w:numId w:val="25"/>
              </w:numPr>
            </w:pPr>
            <w:r w:rsidRPr="00A83718">
              <w:t>Amylase and/or lipase &gt;3 times the upper limit of the normal laboratory range (</w:t>
            </w:r>
            <w:r w:rsidRPr="00C16364">
              <w:t>ULN</w:t>
            </w:r>
            <w:r w:rsidR="00A60C97" w:rsidRPr="00D921A2">
              <w:rPr>
                <w:rFonts w:ascii="Times New Roman" w:eastAsia="MS Gothic" w:hAnsi="Times New Roman"/>
                <w:noProof/>
                <w:color w:val="auto"/>
                <w:sz w:val="22"/>
                <w:szCs w:val="22"/>
              </w:rPr>
              <w:fldChar w:fldCharType="begin"/>
            </w:r>
            <w:r w:rsidR="00A60C97" w:rsidRPr="00D921A2">
              <w:rPr>
                <w:rFonts w:ascii="Times New Roman" w:eastAsia="MS Gothic" w:hAnsi="Times New Roman"/>
                <w:noProof/>
                <w:color w:val="auto"/>
                <w:sz w:val="22"/>
                <w:szCs w:val="22"/>
              </w:rPr>
              <w:instrText xml:space="preserve"> </w:instrText>
            </w:r>
            <w:r w:rsidR="009A6873">
              <w:rPr>
                <w:rFonts w:ascii="Times New Roman" w:eastAsia="MS Gothic" w:hAnsi="Times New Roman"/>
                <w:noProof/>
                <w:color w:val="auto"/>
                <w:sz w:val="22"/>
                <w:szCs w:val="22"/>
              </w:rPr>
              <w:instrText>XE " ULN " \f Abbreviation \t "u</w:instrText>
            </w:r>
            <w:r w:rsidR="00A60C97" w:rsidRPr="00D921A2">
              <w:rPr>
                <w:rFonts w:ascii="Times New Roman" w:eastAsia="MS Gothic" w:hAnsi="Times New Roman"/>
                <w:noProof/>
                <w:color w:val="auto"/>
                <w:sz w:val="22"/>
                <w:szCs w:val="22"/>
              </w:rPr>
              <w:instrText xml:space="preserve">pper limit of normal range" </w:instrText>
            </w:r>
            <w:r w:rsidR="00A60C97" w:rsidRPr="00D921A2">
              <w:rPr>
                <w:rFonts w:ascii="Times New Roman" w:eastAsia="MS Gothic" w:hAnsi="Times New Roman"/>
                <w:noProof/>
                <w:color w:val="auto"/>
                <w:sz w:val="22"/>
                <w:szCs w:val="22"/>
              </w:rPr>
              <w:fldChar w:fldCharType="end"/>
            </w:r>
            <w:r w:rsidRPr="00A83718">
              <w:t>);</w:t>
            </w:r>
          </w:p>
          <w:p w:rsidR="00A83718" w:rsidRPr="00A83718" w:rsidRDefault="00C16364" w:rsidP="00CC67B4">
            <w:pPr>
              <w:pStyle w:val="ListBulletLevel2Synospis"/>
              <w:numPr>
                <w:ilvl w:val="0"/>
                <w:numId w:val="25"/>
              </w:numPr>
            </w:pPr>
            <w:r>
              <w:t>Alanine aminotransferase (</w:t>
            </w:r>
            <w:r w:rsidR="00A83718" w:rsidRPr="00A83718">
              <w:t>ALT</w:t>
            </w:r>
            <w:r>
              <w:t>)</w:t>
            </w:r>
            <w:r w:rsidR="00A83718" w:rsidRPr="00A83718">
              <w:t xml:space="preserve"> or </w:t>
            </w:r>
            <w:r>
              <w:t xml:space="preserve">Aspartate aminotransferase </w:t>
            </w:r>
            <w:r>
              <w:lastRenderedPageBreak/>
              <w:t>(</w:t>
            </w:r>
            <w:r w:rsidR="00A83718" w:rsidRPr="00A83718">
              <w:t>AST</w:t>
            </w:r>
            <w:r>
              <w:t>)</w:t>
            </w:r>
            <w:r w:rsidR="00A83718" w:rsidRPr="00A83718">
              <w:t xml:space="preserve"> &gt;3ULN;</w:t>
            </w:r>
          </w:p>
          <w:p w:rsidR="00A83718" w:rsidRPr="00A83718" w:rsidRDefault="00A83718" w:rsidP="00CC67B4">
            <w:pPr>
              <w:pStyle w:val="ListBulletLevel2Synospis"/>
              <w:numPr>
                <w:ilvl w:val="0"/>
                <w:numId w:val="25"/>
              </w:numPr>
            </w:pPr>
            <w:r w:rsidRPr="00A83718">
              <w:t>Calcitonin ≥20 pg/mL (5.9 pmol/L);</w:t>
            </w:r>
          </w:p>
          <w:p w:rsidR="00A83718" w:rsidRPr="00A83718" w:rsidRDefault="00A83718" w:rsidP="00CC67B4">
            <w:pPr>
              <w:pStyle w:val="ListBulletLevel2Synospis"/>
              <w:numPr>
                <w:ilvl w:val="0"/>
                <w:numId w:val="25"/>
              </w:numPr>
            </w:pPr>
            <w:r w:rsidRPr="00A83718">
              <w:t xml:space="preserve">Positive </w:t>
            </w:r>
            <w:r w:rsidR="00626F6A">
              <w:t xml:space="preserve">serum </w:t>
            </w:r>
            <w:r w:rsidRPr="00A83718">
              <w:t>pregnancy test</w:t>
            </w:r>
            <w:r w:rsidR="004860B2">
              <w:t>.</w:t>
            </w:r>
          </w:p>
          <w:p w:rsidR="00A83718" w:rsidRPr="00A83718" w:rsidRDefault="00A83718" w:rsidP="00CC67B4">
            <w:pPr>
              <w:pStyle w:val="ListBulletLevel1Synospis"/>
              <w:numPr>
                <w:ilvl w:val="0"/>
                <w:numId w:val="29"/>
              </w:numPr>
            </w:pPr>
            <w:r w:rsidRPr="00A83718">
              <w:t xml:space="preserve">Patient who has a renal function impairment with </w:t>
            </w:r>
            <w:r w:rsidR="00D21A98" w:rsidRPr="00CB0FEE">
              <w:t xml:space="preserve">estimated </w:t>
            </w:r>
            <w:r w:rsidR="00C16364" w:rsidRPr="00CB0FEE">
              <w:t>glomerular filtration rate (</w:t>
            </w:r>
            <w:r w:rsidR="00D21A98" w:rsidRPr="00CB0FEE">
              <w:t>GFR</w:t>
            </w:r>
            <w:r w:rsidR="00A60C97" w:rsidRPr="00D921A2">
              <w:rPr>
                <w:rFonts w:ascii="Times New Roman" w:eastAsia="MS Gothic" w:hAnsi="Times New Roman"/>
                <w:noProof/>
                <w:color w:val="auto"/>
                <w:sz w:val="22"/>
                <w:szCs w:val="22"/>
              </w:rPr>
              <w:fldChar w:fldCharType="begin"/>
            </w:r>
            <w:r w:rsidR="00A60C97" w:rsidRPr="00D921A2">
              <w:rPr>
                <w:rFonts w:ascii="Times New Roman" w:eastAsia="MS Gothic" w:hAnsi="Times New Roman"/>
                <w:noProof/>
                <w:color w:val="auto"/>
                <w:sz w:val="22"/>
                <w:szCs w:val="22"/>
              </w:rPr>
              <w:instrText xml:space="preserve"> </w:instrText>
            </w:r>
            <w:r w:rsidR="009A6873">
              <w:rPr>
                <w:rFonts w:ascii="Times New Roman" w:eastAsia="MS Gothic" w:hAnsi="Times New Roman"/>
                <w:noProof/>
                <w:color w:val="auto"/>
                <w:sz w:val="22"/>
                <w:szCs w:val="22"/>
              </w:rPr>
              <w:instrText>XE " GFR " \f Abbreviation \t "g</w:instrText>
            </w:r>
            <w:r w:rsidR="00A60C97" w:rsidRPr="00D921A2">
              <w:rPr>
                <w:rFonts w:ascii="Times New Roman" w:eastAsia="MS Gothic" w:hAnsi="Times New Roman"/>
                <w:noProof/>
                <w:color w:val="auto"/>
                <w:sz w:val="22"/>
                <w:szCs w:val="22"/>
              </w:rPr>
              <w:instrText xml:space="preserve">lomerular filtration rate" </w:instrText>
            </w:r>
            <w:r w:rsidR="00A60C97" w:rsidRPr="00D921A2">
              <w:rPr>
                <w:rFonts w:ascii="Times New Roman" w:eastAsia="MS Gothic" w:hAnsi="Times New Roman"/>
                <w:noProof/>
                <w:color w:val="auto"/>
                <w:sz w:val="22"/>
                <w:szCs w:val="22"/>
              </w:rPr>
              <w:fldChar w:fldCharType="end"/>
            </w:r>
            <w:r w:rsidR="00C16364" w:rsidRPr="00CB0FEE">
              <w:t>)</w:t>
            </w:r>
            <w:r w:rsidRPr="00A83718">
              <w:t xml:space="preserve"> &lt;</w:t>
            </w:r>
            <w:r w:rsidRPr="00D25AE9">
              <w:t>3</w:t>
            </w:r>
            <w:r w:rsidR="00D25AE9" w:rsidRPr="00D25AE9">
              <w:t>0 ml</w:t>
            </w:r>
            <w:r w:rsidRPr="00A83718">
              <w:t>/min (using MDRD formula) or end-stage renal disease;</w:t>
            </w:r>
          </w:p>
          <w:p w:rsidR="00A83718" w:rsidRPr="00A83718" w:rsidRDefault="00A83718" w:rsidP="00CC67B4">
            <w:pPr>
              <w:pStyle w:val="ListBulletLevel1Synospis"/>
              <w:numPr>
                <w:ilvl w:val="0"/>
                <w:numId w:val="29"/>
              </w:numPr>
            </w:pPr>
            <w:r w:rsidRPr="00A83718">
              <w:t xml:space="preserve">Contraindication to use of insulin glargine, or lixisenatide or GLP-1 receptor agonist (Victoza®, Byetta®, </w:t>
            </w:r>
            <w:r w:rsidRPr="00CB0FEE">
              <w:t>Bydureon®,</w:t>
            </w:r>
            <w:r w:rsidR="00914E62" w:rsidRPr="00CB0FEE">
              <w:t xml:space="preserve"> </w:t>
            </w:r>
            <w:r w:rsidRPr="00CB0FEE">
              <w:t>Tanzeum®/Eperzam® or Trulicity®)</w:t>
            </w:r>
            <w:r w:rsidRPr="00A83718">
              <w:t xml:space="preserve"> according to local labeling;</w:t>
            </w:r>
          </w:p>
          <w:p w:rsidR="00A83718" w:rsidRPr="00A83718" w:rsidRDefault="00A83718" w:rsidP="00CC67B4">
            <w:pPr>
              <w:pStyle w:val="ListBulletLevel1Synospis"/>
              <w:numPr>
                <w:ilvl w:val="0"/>
                <w:numId w:val="29"/>
              </w:numPr>
            </w:pPr>
            <w:r w:rsidRPr="00A83718">
              <w:t xml:space="preserve">Any contraindication to metformin or pioglitazone </w:t>
            </w:r>
            <w:r w:rsidR="002C19BF" w:rsidRPr="00CB0FEE">
              <w:t>(when applicable)</w:t>
            </w:r>
            <w:r w:rsidR="002C19BF">
              <w:t xml:space="preserve"> </w:t>
            </w:r>
            <w:r w:rsidRPr="00A83718">
              <w:t>use, according to local labeling;</w:t>
            </w:r>
          </w:p>
          <w:p w:rsidR="00A83718" w:rsidRPr="00A83718" w:rsidRDefault="00A83718" w:rsidP="00CC67B4">
            <w:pPr>
              <w:pStyle w:val="ListBulletLevel1Synospis"/>
              <w:numPr>
                <w:ilvl w:val="0"/>
                <w:numId w:val="29"/>
              </w:numPr>
            </w:pPr>
            <w:r w:rsidRPr="00A83718">
              <w:t>History of hypersensitivity to insulin glargine, or to any of the excipients;</w:t>
            </w:r>
          </w:p>
          <w:p w:rsidR="00A83718" w:rsidRPr="00A83718" w:rsidRDefault="00A83718" w:rsidP="00CC67B4">
            <w:pPr>
              <w:pStyle w:val="ListBulletLevel1Synospis"/>
              <w:numPr>
                <w:ilvl w:val="0"/>
                <w:numId w:val="29"/>
              </w:numPr>
            </w:pPr>
            <w:r w:rsidRPr="00A83718">
              <w:t>History of allergic reaction to any GLP-1 receptor agonist or to Metacresol;</w:t>
            </w:r>
          </w:p>
          <w:p w:rsidR="00A83718" w:rsidRPr="00A83718" w:rsidRDefault="00A83718" w:rsidP="00CC67B4">
            <w:pPr>
              <w:pStyle w:val="ListBulletLevel1Synospis"/>
              <w:numPr>
                <w:ilvl w:val="0"/>
                <w:numId w:val="29"/>
              </w:numPr>
            </w:pPr>
            <w:r w:rsidRPr="00A83718">
              <w:t>Personal or immediate family history of medullary thyroid cancer (</w:t>
            </w:r>
            <w:r w:rsidRPr="00C16364">
              <w:t>MTC</w:t>
            </w:r>
            <w:r w:rsidR="00C16364" w:rsidRPr="00D921A2">
              <w:rPr>
                <w:rFonts w:ascii="Times New Roman" w:eastAsia="MS Gothic" w:hAnsi="Times New Roman"/>
                <w:noProof/>
                <w:color w:val="auto"/>
                <w:sz w:val="22"/>
                <w:szCs w:val="22"/>
              </w:rPr>
              <w:fldChar w:fldCharType="begin"/>
            </w:r>
            <w:r w:rsidR="00C16364" w:rsidRPr="00D921A2">
              <w:rPr>
                <w:rFonts w:ascii="Times New Roman" w:eastAsia="MS Gothic" w:hAnsi="Times New Roman"/>
                <w:noProof/>
                <w:color w:val="auto"/>
                <w:sz w:val="22"/>
                <w:szCs w:val="22"/>
              </w:rPr>
              <w:instrText xml:space="preserve"> </w:instrText>
            </w:r>
            <w:r w:rsidR="009A6873">
              <w:rPr>
                <w:rFonts w:ascii="Times New Roman" w:eastAsia="MS Gothic" w:hAnsi="Times New Roman"/>
                <w:noProof/>
                <w:color w:val="auto"/>
                <w:sz w:val="22"/>
                <w:szCs w:val="22"/>
              </w:rPr>
              <w:instrText>XE " MTC " \f Abbreviation \t "m</w:instrText>
            </w:r>
            <w:r w:rsidR="00C16364" w:rsidRPr="00D921A2">
              <w:rPr>
                <w:rFonts w:ascii="Times New Roman" w:eastAsia="MS Gothic" w:hAnsi="Times New Roman"/>
                <w:noProof/>
                <w:color w:val="auto"/>
                <w:sz w:val="22"/>
                <w:szCs w:val="22"/>
              </w:rPr>
              <w:instrText xml:space="preserve">edullary thyroid cancer" </w:instrText>
            </w:r>
            <w:r w:rsidR="00C16364" w:rsidRPr="00D921A2">
              <w:rPr>
                <w:rFonts w:ascii="Times New Roman" w:eastAsia="MS Gothic" w:hAnsi="Times New Roman"/>
                <w:noProof/>
                <w:color w:val="auto"/>
                <w:sz w:val="22"/>
                <w:szCs w:val="22"/>
              </w:rPr>
              <w:fldChar w:fldCharType="end"/>
            </w:r>
            <w:r w:rsidRPr="00A83718">
              <w:t>) or genetic condition that predisposes to MTC (eg, multiple endocrine neoplasia type 2 syndromes);</w:t>
            </w:r>
          </w:p>
          <w:p w:rsidR="00A83718" w:rsidRPr="00A83718" w:rsidRDefault="00A83718" w:rsidP="00CC67B4">
            <w:pPr>
              <w:pStyle w:val="ListBulletLevel1Synospis"/>
              <w:numPr>
                <w:ilvl w:val="0"/>
                <w:numId w:val="29"/>
              </w:numPr>
            </w:pPr>
            <w:r w:rsidRPr="00A83718">
              <w:t>History of pancreatitis (unless pancreatitis was related to gallstones and cholecystectomy was already performed), chronic pancreatitis, pancreatitis during a previous treatment with incretin therapies, pancreatectomy, stomach/gastric surgery;</w:t>
            </w:r>
          </w:p>
          <w:p w:rsidR="00F36117" w:rsidRPr="008C6699" w:rsidRDefault="00F36117" w:rsidP="00CC67B4">
            <w:pPr>
              <w:pStyle w:val="ListBulletLevel1Synospis"/>
              <w:numPr>
                <w:ilvl w:val="0"/>
                <w:numId w:val="29"/>
              </w:numPr>
            </w:pPr>
            <w:r>
              <w:t>Body Mass Index (</w:t>
            </w:r>
            <w:r w:rsidR="00A83718" w:rsidRPr="00C16364">
              <w:t>BMI</w:t>
            </w:r>
            <w:r w:rsidR="00C16364" w:rsidRPr="00D921A2">
              <w:rPr>
                <w:rFonts w:ascii="Times New Roman" w:eastAsia="MS Gothic" w:hAnsi="Times New Roman"/>
                <w:noProof/>
                <w:color w:val="auto"/>
                <w:sz w:val="22"/>
                <w:szCs w:val="22"/>
              </w:rPr>
              <w:fldChar w:fldCharType="begin"/>
            </w:r>
            <w:r w:rsidR="00C16364" w:rsidRPr="00D921A2">
              <w:rPr>
                <w:rFonts w:ascii="Times New Roman" w:eastAsia="MS Gothic" w:hAnsi="Times New Roman"/>
                <w:noProof/>
                <w:color w:val="auto"/>
                <w:sz w:val="22"/>
                <w:szCs w:val="22"/>
              </w:rPr>
              <w:instrText xml:space="preserve"> XE " BMI " \f Abbreviation \t</w:instrText>
            </w:r>
            <w:r w:rsidR="009A6873">
              <w:rPr>
                <w:rFonts w:ascii="Times New Roman" w:eastAsia="MS Gothic" w:hAnsi="Times New Roman"/>
                <w:noProof/>
                <w:color w:val="auto"/>
                <w:sz w:val="22"/>
                <w:szCs w:val="22"/>
              </w:rPr>
              <w:instrText xml:space="preserve"> "b</w:instrText>
            </w:r>
            <w:r w:rsidR="00C16364" w:rsidRPr="00D921A2">
              <w:rPr>
                <w:rFonts w:ascii="Times New Roman" w:eastAsia="MS Gothic" w:hAnsi="Times New Roman"/>
                <w:noProof/>
                <w:color w:val="auto"/>
                <w:sz w:val="22"/>
                <w:szCs w:val="22"/>
              </w:rPr>
              <w:instrText xml:space="preserve">ody mass index" </w:instrText>
            </w:r>
            <w:r w:rsidR="00C16364" w:rsidRPr="00D921A2">
              <w:rPr>
                <w:rFonts w:ascii="Times New Roman" w:eastAsia="MS Gothic" w:hAnsi="Times New Roman"/>
                <w:noProof/>
                <w:color w:val="auto"/>
                <w:sz w:val="22"/>
                <w:szCs w:val="22"/>
              </w:rPr>
              <w:fldChar w:fldCharType="end"/>
            </w:r>
            <w:r>
              <w:t>)</w:t>
            </w:r>
            <w:r w:rsidR="00A83718" w:rsidRPr="00A83718">
              <w:t xml:space="preserve"> ≤20 or &gt;40 kg/m</w:t>
            </w:r>
            <w:r w:rsidR="00A83718" w:rsidRPr="008C6699">
              <w:rPr>
                <w:vertAlign w:val="superscript"/>
              </w:rPr>
              <w:t>2</w:t>
            </w:r>
            <w:r w:rsidR="004860B2">
              <w:t>.</w:t>
            </w:r>
          </w:p>
        </w:tc>
      </w:tr>
      <w:tr w:rsidR="0051645D" w:rsidTr="006501B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pPr>
              <w:pStyle w:val="TblHeadingLeft"/>
              <w:rPr>
                <w:noProof w:val="0"/>
                <w:lang w:val="en-US"/>
              </w:rPr>
            </w:pPr>
            <w:r>
              <w:rPr>
                <w:noProof w:val="0"/>
                <w:lang w:val="en-US"/>
              </w:rPr>
              <w:lastRenderedPageBreak/>
              <w:t>Total expected number of patients</w:t>
            </w:r>
          </w:p>
        </w:tc>
        <w:tc>
          <w:tcPr>
            <w:tcW w:w="5805" w:type="dxa"/>
            <w:tcBorders>
              <w:top w:val="single" w:sz="6" w:space="0" w:color="000000"/>
              <w:left w:val="single" w:sz="6" w:space="0" w:color="000000"/>
              <w:bottom w:val="single" w:sz="6" w:space="0" w:color="000000"/>
              <w:right w:val="single" w:sz="6" w:space="0" w:color="000000"/>
            </w:tcBorders>
          </w:tcPr>
          <w:p w:rsidR="0051645D" w:rsidRPr="00DD4988" w:rsidRDefault="00DD4988" w:rsidP="00C222DC">
            <w:pPr>
              <w:pStyle w:val="TblHeadingLeft"/>
              <w:rPr>
                <w:rFonts w:ascii="Arial Narrow" w:hAnsi="Arial Narrow"/>
                <w:b w:val="0"/>
                <w:noProof w:val="0"/>
                <w:lang w:val="en-US"/>
              </w:rPr>
            </w:pPr>
            <w:r w:rsidRPr="00DD4988">
              <w:rPr>
                <w:rFonts w:ascii="Arial Narrow" w:hAnsi="Arial Narrow"/>
                <w:b w:val="0"/>
                <w:noProof w:val="0"/>
                <w:lang w:val="en-US"/>
              </w:rPr>
              <w:t xml:space="preserve">Approximately </w:t>
            </w:r>
            <w:r w:rsidRPr="00CB0FEE">
              <w:rPr>
                <w:rFonts w:ascii="Arial Narrow" w:hAnsi="Arial Narrow"/>
                <w:b w:val="0"/>
                <w:noProof w:val="0"/>
                <w:lang w:val="en-US"/>
              </w:rPr>
              <w:t>500</w:t>
            </w:r>
            <w:r w:rsidRPr="00DD4988">
              <w:rPr>
                <w:rFonts w:ascii="Arial Narrow" w:hAnsi="Arial Narrow"/>
                <w:b w:val="0"/>
                <w:noProof w:val="0"/>
                <w:lang w:val="en-US"/>
              </w:rPr>
              <w:t xml:space="preserve"> patients randomized in the study (</w:t>
            </w:r>
            <w:r w:rsidRPr="00CB0FEE">
              <w:rPr>
                <w:rFonts w:ascii="Arial Narrow" w:hAnsi="Arial Narrow"/>
                <w:b w:val="0"/>
                <w:noProof w:val="0"/>
                <w:lang w:val="en-US"/>
              </w:rPr>
              <w:t>250</w:t>
            </w:r>
            <w:r w:rsidRPr="00DD4988">
              <w:rPr>
                <w:rFonts w:ascii="Arial Narrow" w:hAnsi="Arial Narrow"/>
                <w:b w:val="0"/>
                <w:noProof w:val="0"/>
                <w:lang w:val="en-US"/>
              </w:rPr>
              <w:t xml:space="preserve"> patients per group).</w:t>
            </w:r>
          </w:p>
        </w:tc>
      </w:tr>
      <w:tr w:rsidR="0051645D" w:rsidTr="006501BD">
        <w:tblPrEx>
          <w:tblCellMar>
            <w:top w:w="0" w:type="dxa"/>
            <w:bottom w:w="0" w:type="dxa"/>
          </w:tblCellMar>
        </w:tblPrEx>
        <w:tc>
          <w:tcPr>
            <w:tcW w:w="3528" w:type="dxa"/>
            <w:tcBorders>
              <w:top w:val="single" w:sz="6" w:space="0" w:color="000000"/>
              <w:left w:val="single" w:sz="6" w:space="0" w:color="000000"/>
              <w:bottom w:val="single" w:sz="4" w:space="0" w:color="auto"/>
              <w:right w:val="single" w:sz="6" w:space="0" w:color="000000"/>
            </w:tcBorders>
          </w:tcPr>
          <w:p w:rsidR="0051645D" w:rsidRDefault="0051645D">
            <w:pPr>
              <w:pStyle w:val="TblFigFootnote"/>
              <w:rPr>
                <w:rFonts w:ascii="Arial" w:hAnsi="Arial"/>
                <w:b/>
                <w:sz w:val="20"/>
              </w:rPr>
            </w:pPr>
            <w:r>
              <w:rPr>
                <w:rFonts w:ascii="Arial" w:hAnsi="Arial"/>
                <w:b/>
                <w:sz w:val="20"/>
              </w:rPr>
              <w:t>STUDY TREATMENT(s)</w:t>
            </w:r>
          </w:p>
        </w:tc>
        <w:tc>
          <w:tcPr>
            <w:tcW w:w="5805" w:type="dxa"/>
            <w:tcBorders>
              <w:top w:val="single" w:sz="6" w:space="0" w:color="000000"/>
              <w:left w:val="single" w:sz="6" w:space="0" w:color="000000"/>
              <w:bottom w:val="single" w:sz="4" w:space="0" w:color="auto"/>
              <w:right w:val="single" w:sz="6" w:space="0" w:color="000000"/>
            </w:tcBorders>
          </w:tcPr>
          <w:p w:rsidR="0051645D" w:rsidRDefault="0051645D">
            <w:pPr>
              <w:pStyle w:val="TblHeadingLeft"/>
              <w:rPr>
                <w:b w:val="0"/>
                <w:noProof w:val="0"/>
                <w:lang w:val="en-US"/>
              </w:rPr>
            </w:pPr>
          </w:p>
        </w:tc>
      </w:tr>
      <w:tr w:rsidR="0051645D" w:rsidTr="006501BD">
        <w:tblPrEx>
          <w:tblCellMar>
            <w:top w:w="0" w:type="dxa"/>
            <w:bottom w:w="0" w:type="dxa"/>
          </w:tblCellMar>
        </w:tblPrEx>
        <w:tc>
          <w:tcPr>
            <w:tcW w:w="3528" w:type="dxa"/>
            <w:tcBorders>
              <w:top w:val="single" w:sz="4" w:space="0" w:color="auto"/>
              <w:left w:val="single" w:sz="6" w:space="0" w:color="000000"/>
              <w:bottom w:val="single" w:sz="4" w:space="0" w:color="auto"/>
              <w:right w:val="single" w:sz="6" w:space="0" w:color="000000"/>
            </w:tcBorders>
          </w:tcPr>
          <w:p w:rsidR="0051645D" w:rsidRDefault="0051645D">
            <w:pPr>
              <w:pStyle w:val="TblFigFootnote"/>
              <w:rPr>
                <w:rFonts w:ascii="Arial" w:hAnsi="Arial"/>
                <w:b/>
                <w:sz w:val="20"/>
              </w:rPr>
            </w:pPr>
            <w:r>
              <w:rPr>
                <w:rFonts w:ascii="Arial" w:hAnsi="Arial"/>
                <w:b/>
                <w:sz w:val="20"/>
              </w:rPr>
              <w:t>Investigational medicinal product(s)</w:t>
            </w:r>
          </w:p>
          <w:p w:rsidR="006501BD" w:rsidRDefault="006501BD">
            <w:pPr>
              <w:pStyle w:val="TblFigFootnote"/>
              <w:rPr>
                <w:rFonts w:ascii="Arial" w:hAnsi="Arial"/>
                <w:b/>
                <w:sz w:val="20"/>
              </w:rPr>
            </w:pPr>
          </w:p>
          <w:p w:rsidR="0051645D" w:rsidRDefault="0051645D">
            <w:pPr>
              <w:pStyle w:val="TblFigFootnote"/>
              <w:rPr>
                <w:rFonts w:ascii="Arial" w:hAnsi="Arial"/>
                <w:b/>
                <w:sz w:val="20"/>
              </w:rPr>
            </w:pPr>
            <w:r>
              <w:rPr>
                <w:rFonts w:ascii="Arial" w:hAnsi="Arial"/>
                <w:b/>
                <w:sz w:val="20"/>
              </w:rPr>
              <w:t>Formulation</w:t>
            </w:r>
            <w:r w:rsidR="000C2D66">
              <w:rPr>
                <w:rFonts w:ascii="Arial" w:hAnsi="Arial"/>
                <w:b/>
                <w:sz w:val="20"/>
              </w:rPr>
              <w:t>:</w:t>
            </w:r>
          </w:p>
        </w:tc>
        <w:tc>
          <w:tcPr>
            <w:tcW w:w="5805" w:type="dxa"/>
            <w:tcBorders>
              <w:top w:val="single" w:sz="4" w:space="0" w:color="auto"/>
              <w:left w:val="single" w:sz="6" w:space="0" w:color="000000"/>
              <w:bottom w:val="single" w:sz="4" w:space="0" w:color="auto"/>
              <w:right w:val="single" w:sz="6" w:space="0" w:color="000000"/>
            </w:tcBorders>
          </w:tcPr>
          <w:p w:rsidR="00DD4988" w:rsidRPr="00DD4988" w:rsidRDefault="00EC6ED8" w:rsidP="00DD4988">
            <w:pPr>
              <w:pStyle w:val="TblHeadingLeft"/>
              <w:rPr>
                <w:noProof w:val="0"/>
                <w:lang w:val="en-US"/>
              </w:rPr>
            </w:pPr>
            <w:r>
              <w:rPr>
                <w:noProof w:val="0"/>
                <w:lang w:val="en-US"/>
              </w:rPr>
              <w:t>Test</w:t>
            </w:r>
            <w:r w:rsidR="00DD4988" w:rsidRPr="00DD4988">
              <w:rPr>
                <w:noProof w:val="0"/>
                <w:lang w:val="en-US"/>
              </w:rPr>
              <w:t xml:space="preserve"> drug</w:t>
            </w:r>
          </w:p>
          <w:p w:rsidR="00DD4988" w:rsidRPr="00DD4988" w:rsidRDefault="00DD4988" w:rsidP="00DD4988">
            <w:pPr>
              <w:pStyle w:val="TblHeadingLeft"/>
              <w:rPr>
                <w:rFonts w:ascii="Arial Narrow" w:hAnsi="Arial Narrow"/>
                <w:b w:val="0"/>
                <w:noProof w:val="0"/>
                <w:lang w:val="en-US"/>
              </w:rPr>
            </w:pPr>
            <w:r w:rsidRPr="00DD4988">
              <w:rPr>
                <w:rFonts w:ascii="Arial Narrow" w:hAnsi="Arial Narrow"/>
                <w:b w:val="0"/>
                <w:noProof w:val="0"/>
                <w:lang w:val="en-US"/>
              </w:rPr>
              <w:t>Insulin glargine/lixisenatide fixed ratio combination</w:t>
            </w:r>
            <w:r w:rsidR="00180115">
              <w:rPr>
                <w:rFonts w:ascii="Arial Narrow" w:hAnsi="Arial Narrow"/>
                <w:b w:val="0"/>
                <w:noProof w:val="0"/>
                <w:lang w:val="en-US"/>
              </w:rPr>
              <w:t xml:space="preserve"> </w:t>
            </w:r>
            <w:r w:rsidR="00180115" w:rsidRPr="00CB0FEE">
              <w:rPr>
                <w:rFonts w:ascii="Arial Narrow" w:hAnsi="Arial Narrow"/>
                <w:b w:val="0"/>
                <w:noProof w:val="0"/>
                <w:lang w:val="en-US"/>
              </w:rPr>
              <w:t>(FRC)</w:t>
            </w:r>
            <w:r w:rsidRPr="00CB0FEE">
              <w:rPr>
                <w:rFonts w:ascii="Arial Narrow" w:hAnsi="Arial Narrow"/>
                <w:b w:val="0"/>
                <w:noProof w:val="0"/>
                <w:lang w:val="en-US"/>
              </w:rPr>
              <w:t xml:space="preserve">: </w:t>
            </w:r>
            <w:r w:rsidR="00180115" w:rsidRPr="00CB0FEE">
              <w:rPr>
                <w:rFonts w:ascii="Arial Narrow" w:hAnsi="Arial Narrow"/>
                <w:b w:val="0"/>
                <w:noProof w:val="0"/>
                <w:lang w:val="en-US"/>
              </w:rPr>
              <w:t>FRC</w:t>
            </w:r>
            <w:r w:rsidR="00180115">
              <w:rPr>
                <w:rFonts w:ascii="Arial Narrow" w:hAnsi="Arial Narrow"/>
                <w:b w:val="0"/>
                <w:noProof w:val="0"/>
                <w:lang w:val="en-US"/>
              </w:rPr>
              <w:t xml:space="preserve"> </w:t>
            </w:r>
            <w:r w:rsidRPr="00DD4988">
              <w:rPr>
                <w:rFonts w:ascii="Arial Narrow" w:hAnsi="Arial Narrow"/>
                <w:b w:val="0"/>
                <w:noProof w:val="0"/>
                <w:lang w:val="en-US"/>
              </w:rPr>
              <w:t>is supplied as a sterile aqueous solution in a pre-filled disposable SoloStar® pen-injector (100 U/mL insulin glargine with 33 or 50 μg/mL lixisenatide depending on the pen).</w:t>
            </w:r>
          </w:p>
          <w:p w:rsidR="00DD4988" w:rsidRPr="00DD4988" w:rsidRDefault="00DD4988" w:rsidP="00DD4988">
            <w:pPr>
              <w:pStyle w:val="TblHeadingLeft"/>
              <w:rPr>
                <w:noProof w:val="0"/>
                <w:lang w:val="en-US"/>
              </w:rPr>
            </w:pPr>
            <w:r w:rsidRPr="00DD4988">
              <w:rPr>
                <w:noProof w:val="0"/>
                <w:lang w:val="en-US"/>
              </w:rPr>
              <w:t>Pen-injector devices</w:t>
            </w:r>
          </w:p>
          <w:p w:rsidR="00DD4988" w:rsidRPr="00DD4988" w:rsidRDefault="00DD4988" w:rsidP="00DD4988">
            <w:pPr>
              <w:pStyle w:val="TblHeadingLeft"/>
              <w:rPr>
                <w:rFonts w:ascii="Arial Narrow" w:hAnsi="Arial Narrow"/>
                <w:b w:val="0"/>
                <w:noProof w:val="0"/>
                <w:lang w:val="en-US"/>
              </w:rPr>
            </w:pPr>
            <w:r w:rsidRPr="00DD4988">
              <w:rPr>
                <w:rFonts w:ascii="Arial Narrow" w:hAnsi="Arial Narrow"/>
                <w:b w:val="0"/>
                <w:noProof w:val="0"/>
                <w:lang w:val="en-US"/>
              </w:rPr>
              <w:t>The combination product will be self-administered with a pre-filled disposable SoloStar® pen-injector.</w:t>
            </w:r>
          </w:p>
          <w:p w:rsidR="00DD4988" w:rsidRPr="00DD4988" w:rsidRDefault="00DD4988" w:rsidP="00DD4988">
            <w:pPr>
              <w:pStyle w:val="TblHeadingLeft"/>
              <w:rPr>
                <w:rFonts w:ascii="Arial Narrow" w:hAnsi="Arial Narrow"/>
                <w:b w:val="0"/>
                <w:noProof w:val="0"/>
                <w:lang w:val="en-US"/>
              </w:rPr>
            </w:pPr>
            <w:r w:rsidRPr="00DD4988">
              <w:rPr>
                <w:rFonts w:ascii="Arial Narrow" w:hAnsi="Arial Narrow"/>
                <w:b w:val="0"/>
                <w:noProof w:val="0"/>
                <w:lang w:val="en-US"/>
              </w:rPr>
              <w:t>The dose of the combination is titrated according to the patient’s need for insulin. Note that only the dose of insulin glargine appears in the pen dosing window. The dose (μg) of lixisenatide does not appear in the dose window even though lixisenatide is pre-mixed in the cartridge. The lixisenatide dose is increased or decreased along with insulin glargine dose changes and also</w:t>
            </w:r>
            <w:r w:rsidR="00D17730">
              <w:rPr>
                <w:rFonts w:ascii="Arial Narrow" w:hAnsi="Arial Narrow"/>
                <w:b w:val="0"/>
                <w:noProof w:val="0"/>
                <w:lang w:val="en-US"/>
              </w:rPr>
              <w:t xml:space="preserve"> depends on which Pen (peach </w:t>
            </w:r>
            <w:r w:rsidRPr="00DD4988">
              <w:rPr>
                <w:rFonts w:ascii="Arial Narrow" w:hAnsi="Arial Narrow"/>
                <w:b w:val="0"/>
                <w:noProof w:val="0"/>
                <w:lang w:val="en-US"/>
              </w:rPr>
              <w:t>or olive) is used.</w:t>
            </w:r>
          </w:p>
          <w:p w:rsidR="00DD4988" w:rsidRPr="00DD4988" w:rsidRDefault="00DD4988" w:rsidP="00DD4988">
            <w:pPr>
              <w:pStyle w:val="TblHeadingLeft"/>
              <w:rPr>
                <w:rFonts w:ascii="Arial Narrow" w:hAnsi="Arial Narrow"/>
                <w:b w:val="0"/>
                <w:noProof w:val="0"/>
                <w:lang w:val="en-US"/>
              </w:rPr>
            </w:pPr>
            <w:r w:rsidRPr="00DD4988">
              <w:rPr>
                <w:rFonts w:ascii="Arial Narrow" w:hAnsi="Arial Narrow"/>
                <w:b w:val="0"/>
                <w:noProof w:val="0"/>
                <w:lang w:val="en-US"/>
              </w:rPr>
              <w:t>There are two pens (peach and olive) with different insulin glargine/lixisenatide fixed ratios which allow ins</w:t>
            </w:r>
            <w:r w:rsidR="008D55CC">
              <w:rPr>
                <w:rFonts w:ascii="Arial Narrow" w:hAnsi="Arial Narrow"/>
                <w:b w:val="0"/>
                <w:noProof w:val="0"/>
                <w:lang w:val="en-US"/>
              </w:rPr>
              <w:t>ulin glargine titration from 10 </w:t>
            </w:r>
            <w:r w:rsidRPr="00DD4988">
              <w:rPr>
                <w:rFonts w:ascii="Arial Narrow" w:hAnsi="Arial Narrow"/>
                <w:b w:val="0"/>
                <w:noProof w:val="0"/>
                <w:lang w:val="en-US"/>
              </w:rPr>
              <w:t>to 60 U while limiting lixisenatide dose to a maximum of 20 μg/day:</w:t>
            </w:r>
          </w:p>
          <w:p w:rsidR="00DD4988" w:rsidRPr="00DD4988" w:rsidRDefault="00DD4988" w:rsidP="00DD4988">
            <w:pPr>
              <w:pStyle w:val="TblHeadingLeft"/>
              <w:rPr>
                <w:rFonts w:ascii="Arial Narrow" w:hAnsi="Arial Narrow"/>
                <w:b w:val="0"/>
                <w:noProof w:val="0"/>
                <w:lang w:val="en-US"/>
              </w:rPr>
            </w:pPr>
            <w:r w:rsidRPr="001153D4">
              <w:rPr>
                <w:noProof w:val="0"/>
                <w:lang w:val="en-US"/>
              </w:rPr>
              <w:t xml:space="preserve">Peach </w:t>
            </w:r>
            <w:r w:rsidR="00D17730" w:rsidRPr="001153D4">
              <w:rPr>
                <w:noProof w:val="0"/>
                <w:lang w:val="en-US"/>
              </w:rPr>
              <w:t>Pen</w:t>
            </w:r>
            <w:r w:rsidRPr="00DD4988">
              <w:rPr>
                <w:noProof w:val="0"/>
                <w:lang w:val="en-US"/>
              </w:rPr>
              <w:t>:</w:t>
            </w:r>
            <w:r w:rsidRPr="00DD4988">
              <w:rPr>
                <w:rFonts w:ascii="Arial Narrow" w:hAnsi="Arial Narrow"/>
                <w:b w:val="0"/>
                <w:noProof w:val="0"/>
                <w:lang w:val="en-US"/>
              </w:rPr>
              <w:t xml:space="preserve"> pre-filled disposable SoloStar® pen-injector containing 3 mL of sterile solution of 100 U/mL insulin glargine and 50 μg/mL lixisenatide in ratio of 2:1 (2 units of insulin glargine per 1 μg lixisenatide)</w:t>
            </w:r>
            <w:r w:rsidR="00BB7D62">
              <w:rPr>
                <w:rFonts w:ascii="Arial Narrow" w:hAnsi="Arial Narrow"/>
                <w:b w:val="0"/>
                <w:noProof w:val="0"/>
                <w:lang w:val="en-US"/>
              </w:rPr>
              <w:t xml:space="preserve">, </w:t>
            </w:r>
            <w:r w:rsidR="00BB7D62" w:rsidRPr="001153D4">
              <w:rPr>
                <w:rFonts w:ascii="Arial Narrow" w:hAnsi="Arial Narrow"/>
                <w:b w:val="0"/>
                <w:noProof w:val="0"/>
                <w:lang w:val="en-US"/>
              </w:rPr>
              <w:t>glycerol (85%), methionine, meta-cresol, zinc chloride, HCl/NaOH and water for injection</w:t>
            </w:r>
            <w:r w:rsidRPr="00DD4988">
              <w:rPr>
                <w:rFonts w:ascii="Arial Narrow" w:hAnsi="Arial Narrow"/>
                <w:b w:val="0"/>
                <w:noProof w:val="0"/>
                <w:lang w:val="en-US"/>
              </w:rPr>
              <w:t xml:space="preserve">. This pen allows administration of daily combination doses between 10 U/5 μg and 40 U/20 μg; The </w:t>
            </w:r>
            <w:r w:rsidR="00A10DBA">
              <w:rPr>
                <w:rFonts w:ascii="Arial Narrow" w:hAnsi="Arial Narrow"/>
                <w:b w:val="0"/>
                <w:noProof w:val="0"/>
                <w:lang w:val="en-US"/>
              </w:rPr>
              <w:t>P</w:t>
            </w:r>
            <w:r w:rsidRPr="00DD4988">
              <w:rPr>
                <w:rFonts w:ascii="Arial Narrow" w:hAnsi="Arial Narrow"/>
                <w:b w:val="0"/>
                <w:noProof w:val="0"/>
                <w:lang w:val="en-US"/>
              </w:rPr>
              <w:t xml:space="preserve">each </w:t>
            </w:r>
            <w:r w:rsidR="00A10DBA">
              <w:rPr>
                <w:rFonts w:ascii="Arial Narrow" w:hAnsi="Arial Narrow"/>
                <w:b w:val="0"/>
                <w:noProof w:val="0"/>
                <w:lang w:val="en-US"/>
              </w:rPr>
              <w:t>P</w:t>
            </w:r>
            <w:r w:rsidRPr="00DD4988">
              <w:rPr>
                <w:rFonts w:ascii="Arial Narrow" w:hAnsi="Arial Narrow"/>
                <w:b w:val="0"/>
                <w:noProof w:val="0"/>
                <w:lang w:val="en-US"/>
              </w:rPr>
              <w:t xml:space="preserve">en will be the pen used for starting the </w:t>
            </w:r>
            <w:r w:rsidRPr="00DD4988">
              <w:rPr>
                <w:rFonts w:ascii="Arial Narrow" w:hAnsi="Arial Narrow"/>
                <w:b w:val="0"/>
                <w:noProof w:val="0"/>
                <w:lang w:val="en-US"/>
              </w:rPr>
              <w:lastRenderedPageBreak/>
              <w:t>combination treatment.</w:t>
            </w:r>
          </w:p>
          <w:p w:rsidR="00DD4988" w:rsidRPr="00DD4988" w:rsidRDefault="00DD4988" w:rsidP="00DD4988">
            <w:pPr>
              <w:pStyle w:val="TblHeadingLeft"/>
              <w:rPr>
                <w:rFonts w:ascii="Arial Narrow" w:hAnsi="Arial Narrow"/>
                <w:b w:val="0"/>
                <w:noProof w:val="0"/>
                <w:lang w:val="en-US"/>
              </w:rPr>
            </w:pPr>
            <w:r w:rsidRPr="001153D4">
              <w:rPr>
                <w:noProof w:val="0"/>
                <w:lang w:val="en-US"/>
              </w:rPr>
              <w:t xml:space="preserve">Olive </w:t>
            </w:r>
            <w:r w:rsidR="00D17730" w:rsidRPr="001153D4">
              <w:rPr>
                <w:noProof w:val="0"/>
                <w:lang w:val="en-US"/>
              </w:rPr>
              <w:t>Pen</w:t>
            </w:r>
            <w:r w:rsidRPr="00DD4988">
              <w:rPr>
                <w:noProof w:val="0"/>
                <w:lang w:val="en-US"/>
              </w:rPr>
              <w:t>:</w:t>
            </w:r>
            <w:r w:rsidRPr="00DD4988">
              <w:rPr>
                <w:rFonts w:ascii="Arial Narrow" w:hAnsi="Arial Narrow"/>
                <w:b w:val="0"/>
                <w:noProof w:val="0"/>
                <w:lang w:val="en-US"/>
              </w:rPr>
              <w:t xml:space="preserve"> pre-filled disposable SoloStar® pen-injector containing 3 mL of sterile solution of 100 U/mL insulin glargine and 33 μg/mL lixisenatide in ratio of 3:1 (3 units of insulin glargine per 1 μg lixisenatide)</w:t>
            </w:r>
            <w:r w:rsidR="00BB7D62">
              <w:rPr>
                <w:rFonts w:ascii="Arial Narrow" w:hAnsi="Arial Narrow"/>
                <w:b w:val="0"/>
                <w:noProof w:val="0"/>
                <w:lang w:val="en-US"/>
              </w:rPr>
              <w:t xml:space="preserve">, </w:t>
            </w:r>
            <w:r w:rsidR="00BB7D62" w:rsidRPr="001153D4">
              <w:rPr>
                <w:rFonts w:ascii="Arial Narrow" w:hAnsi="Arial Narrow"/>
                <w:b w:val="0"/>
                <w:noProof w:val="0"/>
                <w:lang w:val="en-US"/>
              </w:rPr>
              <w:t>glycerol (85%), methionine, meta-cresol, zinc chloride, HCl/NaOH and water for injection</w:t>
            </w:r>
            <w:r w:rsidRPr="00DD4988">
              <w:rPr>
                <w:rFonts w:ascii="Arial Narrow" w:hAnsi="Arial Narrow"/>
                <w:b w:val="0"/>
                <w:noProof w:val="0"/>
                <w:lang w:val="en-US"/>
              </w:rPr>
              <w:t>. This pen allows administration of daily co</w:t>
            </w:r>
            <w:r w:rsidR="008D55CC">
              <w:rPr>
                <w:rFonts w:ascii="Arial Narrow" w:hAnsi="Arial Narrow"/>
                <w:b w:val="0"/>
                <w:noProof w:val="0"/>
                <w:lang w:val="en-US"/>
              </w:rPr>
              <w:t>mbination doses between 30 U/10 </w:t>
            </w:r>
            <w:r w:rsidRPr="00DD4988">
              <w:rPr>
                <w:rFonts w:ascii="Arial Narrow" w:hAnsi="Arial Narrow"/>
                <w:b w:val="0"/>
                <w:noProof w:val="0"/>
                <w:lang w:val="en-US"/>
              </w:rPr>
              <w:t>μg and 60 U/20 μg.</w:t>
            </w:r>
          </w:p>
          <w:p w:rsidR="00DD4988" w:rsidRPr="00DD4988" w:rsidRDefault="00DD4988" w:rsidP="00DD4988">
            <w:pPr>
              <w:pStyle w:val="TblHeadingLeft"/>
              <w:rPr>
                <w:noProof w:val="0"/>
                <w:lang w:val="en-US"/>
              </w:rPr>
            </w:pPr>
            <w:r w:rsidRPr="00DD4988">
              <w:rPr>
                <w:noProof w:val="0"/>
                <w:lang w:val="en-US"/>
              </w:rPr>
              <w:t>Control drugs</w:t>
            </w:r>
          </w:p>
          <w:p w:rsidR="00DD4988" w:rsidRPr="00DD4988" w:rsidRDefault="00DD4988" w:rsidP="00DD4988">
            <w:pPr>
              <w:pStyle w:val="TblHeadingLeft"/>
              <w:rPr>
                <w:rFonts w:ascii="Arial Narrow" w:hAnsi="Arial Narrow"/>
                <w:b w:val="0"/>
                <w:noProof w:val="0"/>
                <w:lang w:val="en-US"/>
              </w:rPr>
            </w:pPr>
            <w:r w:rsidRPr="00DD4988">
              <w:rPr>
                <w:noProof w:val="0"/>
                <w:lang w:val="en-US"/>
              </w:rPr>
              <w:t>Liraglutide (Victoza®)</w:t>
            </w:r>
            <w:r w:rsidR="00B834BE">
              <w:rPr>
                <w:noProof w:val="0"/>
                <w:lang w:val="en-US"/>
              </w:rPr>
              <w:t>*</w:t>
            </w:r>
            <w:r w:rsidRPr="00DD4988">
              <w:rPr>
                <w:rFonts w:ascii="Arial Narrow" w:hAnsi="Arial Narrow"/>
                <w:b w:val="0"/>
                <w:noProof w:val="0"/>
                <w:lang w:val="en-US"/>
              </w:rPr>
              <w:t xml:space="preserve"> is supplied as a pre-filled, multi-dose pen that delivers doses of 0.6 mg, 1.2 mg, or 1.8 mg. Each pen is pre-filled with 3 mL of a clear colorless solution</w:t>
            </w:r>
            <w:r w:rsidR="00077E2F">
              <w:rPr>
                <w:rFonts w:ascii="Arial Narrow" w:hAnsi="Arial Narrow"/>
                <w:b w:val="0"/>
                <w:noProof w:val="0"/>
                <w:lang w:val="en-US"/>
              </w:rPr>
              <w:t xml:space="preserve"> containing 6 mg/mL of liragluti</w:t>
            </w:r>
            <w:r w:rsidRPr="00DD4988">
              <w:rPr>
                <w:rFonts w:ascii="Arial Narrow" w:hAnsi="Arial Narrow"/>
                <w:b w:val="0"/>
                <w:noProof w:val="0"/>
                <w:lang w:val="en-US"/>
              </w:rPr>
              <w:t xml:space="preserve">de (free-base, anhydrous) and the following inactive ingredients: disodium phosphate dihydrate, 1.42 mg; propylene glycol, 14 mg; phenol, 5.5 mg; and water for injection. </w:t>
            </w:r>
          </w:p>
          <w:p w:rsidR="00DD4988" w:rsidRPr="00A95DD0" w:rsidRDefault="00DD4988" w:rsidP="006501BD">
            <w:pPr>
              <w:spacing w:before="60" w:afterLines="60" w:after="144"/>
              <w:rPr>
                <w:rFonts w:ascii="Arial Narrow" w:eastAsia="MS Gothic" w:hAnsi="Arial Narrow" w:cs="Arial"/>
                <w:color w:val="auto"/>
                <w:sz w:val="20"/>
                <w:szCs w:val="20"/>
              </w:rPr>
            </w:pPr>
            <w:r w:rsidRPr="00A95DD0">
              <w:rPr>
                <w:rFonts w:ascii="Arial" w:eastAsia="MS Gothic" w:hAnsi="Arial" w:cs="Arial"/>
                <w:b/>
                <w:color w:val="auto"/>
                <w:sz w:val="20"/>
                <w:szCs w:val="20"/>
              </w:rPr>
              <w:t>Exenatide (Byetta®)</w:t>
            </w:r>
            <w:r w:rsidR="00B834BE">
              <w:rPr>
                <w:rFonts w:ascii="Arial" w:eastAsia="MS Gothic" w:hAnsi="Arial" w:cs="Arial"/>
                <w:b/>
                <w:color w:val="auto"/>
                <w:sz w:val="20"/>
                <w:szCs w:val="20"/>
              </w:rPr>
              <w:t>*</w:t>
            </w:r>
            <w:r w:rsidRPr="00A95DD0">
              <w:t xml:space="preserve"> </w:t>
            </w:r>
            <w:r w:rsidRPr="00A95DD0">
              <w:rPr>
                <w:rFonts w:ascii="Arial Narrow" w:eastAsia="MS Gothic" w:hAnsi="Arial Narrow" w:cs="Arial"/>
                <w:color w:val="auto"/>
                <w:sz w:val="20"/>
                <w:szCs w:val="20"/>
              </w:rPr>
              <w:t>is supplied for subcutaneous (SC</w:t>
            </w:r>
            <w:r w:rsidR="00C16364" w:rsidRPr="00A95DD0">
              <w:fldChar w:fldCharType="begin"/>
            </w:r>
            <w:r w:rsidR="009A6873">
              <w:instrText xml:space="preserve"> XE " SC " \f Abbreviation \t "s</w:instrText>
            </w:r>
            <w:r w:rsidR="00C16364" w:rsidRPr="00A95DD0">
              <w:instrText xml:space="preserve">ubcutaneous" </w:instrText>
            </w:r>
            <w:r w:rsidR="00C16364" w:rsidRPr="00A95DD0">
              <w:fldChar w:fldCharType="end"/>
            </w:r>
            <w:r w:rsidRPr="00A95DD0">
              <w:rPr>
                <w:rFonts w:ascii="Arial Narrow" w:eastAsia="MS Gothic" w:hAnsi="Arial Narrow" w:cs="Arial"/>
                <w:color w:val="auto"/>
                <w:sz w:val="20"/>
                <w:szCs w:val="20"/>
              </w:rPr>
              <w:t>) injection as a sterile, preserved isotonic solution in a glass cartridge that has been assembled in a pen-injector (prefilled pen). Ea</w:t>
            </w:r>
            <w:r w:rsidR="008D55CC">
              <w:rPr>
                <w:rFonts w:ascii="Arial Narrow" w:eastAsia="MS Gothic" w:hAnsi="Arial Narrow" w:cs="Arial"/>
                <w:color w:val="auto"/>
                <w:sz w:val="20"/>
                <w:szCs w:val="20"/>
              </w:rPr>
              <w:t>ch milliliter (mL) contains 250 </w:t>
            </w:r>
            <w:r w:rsidRPr="00A95DD0">
              <w:rPr>
                <w:rFonts w:ascii="Arial Narrow" w:eastAsia="MS Gothic" w:hAnsi="Arial Narrow" w:cs="Arial"/>
                <w:color w:val="auto"/>
                <w:sz w:val="20"/>
                <w:szCs w:val="20"/>
              </w:rPr>
              <w:t>micrograms (μg) synthetic exenatide, metacresol, mannitol, and glacial acetic acid and sodium acetate trihydrate in water for injection. Two prefilled pens are available to deliver unit doses of 5 μg (1.2 mL prefilled pen) or 10 μg (2.4 mL prefilled pen). Each prefilled pen will</w:t>
            </w:r>
            <w:r w:rsidR="008D55CC">
              <w:rPr>
                <w:rFonts w:ascii="Arial Narrow" w:eastAsia="MS Gothic" w:hAnsi="Arial Narrow" w:cs="Arial"/>
                <w:color w:val="auto"/>
                <w:sz w:val="20"/>
                <w:szCs w:val="20"/>
              </w:rPr>
              <w:t xml:space="preserve"> deliver 60 doses to provide 30 </w:t>
            </w:r>
            <w:r w:rsidRPr="00A95DD0">
              <w:rPr>
                <w:rFonts w:ascii="Arial Narrow" w:eastAsia="MS Gothic" w:hAnsi="Arial Narrow" w:cs="Arial"/>
                <w:color w:val="auto"/>
                <w:sz w:val="20"/>
                <w:szCs w:val="20"/>
              </w:rPr>
              <w:t>days of twice daily administration (BID).</w:t>
            </w:r>
          </w:p>
          <w:p w:rsidR="00DD4988" w:rsidRPr="001153D4" w:rsidRDefault="00DD4988" w:rsidP="006501BD">
            <w:pPr>
              <w:pStyle w:val="TblHeadingLeft"/>
              <w:spacing w:afterLines="60" w:after="144"/>
              <w:rPr>
                <w:rFonts w:ascii="Arial Narrow" w:hAnsi="Arial Narrow"/>
                <w:b w:val="0"/>
                <w:noProof w:val="0"/>
                <w:lang w:val="en-US"/>
              </w:rPr>
            </w:pPr>
            <w:r w:rsidRPr="001153D4">
              <w:rPr>
                <w:noProof w:val="0"/>
                <w:lang w:val="en-US"/>
              </w:rPr>
              <w:t>Exenatide extended-release (Bydureon®)</w:t>
            </w:r>
            <w:r w:rsidR="00B834BE">
              <w:rPr>
                <w:noProof w:val="0"/>
                <w:lang w:val="en-US"/>
              </w:rPr>
              <w:t>*</w:t>
            </w:r>
            <w:r w:rsidRPr="001153D4">
              <w:rPr>
                <w:rFonts w:ascii="Arial Narrow" w:hAnsi="Arial Narrow"/>
                <w:b w:val="0"/>
                <w:noProof w:val="0"/>
                <w:lang w:val="en-US"/>
              </w:rPr>
              <w:t xml:space="preserve"> is supplied as a sterile powder (to be suspended in diluent if in vials and already diluted if in pens) and administered by subcutaneous injection.  Each vial or a prefilled pen contains 2mg exenatide, polylactide-co-glycolide, sucrose, carboxymethylcellulose sodium, polysorbate 20, sodium phosphate monobasic monohydrate, sodium phosphate dibasic heptahydrate, sodium chloride, water for infection (sodium hydroxide may be added during manufacture of pens for ph adjustment). Each pen/vial is a single dose of 2</w:t>
            </w:r>
            <w:r w:rsidR="008D55CC">
              <w:rPr>
                <w:rFonts w:ascii="Arial Narrow" w:hAnsi="Arial Narrow"/>
                <w:b w:val="0"/>
                <w:noProof w:val="0"/>
                <w:lang w:val="en-US"/>
              </w:rPr>
              <w:t> </w:t>
            </w:r>
            <w:r w:rsidRPr="001153D4">
              <w:rPr>
                <w:rFonts w:ascii="Arial Narrow" w:hAnsi="Arial Narrow"/>
                <w:b w:val="0"/>
                <w:noProof w:val="0"/>
                <w:lang w:val="en-US"/>
              </w:rPr>
              <w:t>mg to be injected once a week.</w:t>
            </w:r>
          </w:p>
          <w:p w:rsidR="00DD4988" w:rsidRPr="001153D4" w:rsidRDefault="00DD4988" w:rsidP="00DD4988">
            <w:pPr>
              <w:pStyle w:val="TblHeadingLeft"/>
              <w:rPr>
                <w:rFonts w:ascii="Arial Narrow" w:hAnsi="Arial Narrow"/>
                <w:b w:val="0"/>
                <w:noProof w:val="0"/>
                <w:lang w:val="en-US"/>
              </w:rPr>
            </w:pPr>
            <w:r w:rsidRPr="001153D4">
              <w:rPr>
                <w:noProof w:val="0"/>
                <w:lang w:val="en-US"/>
              </w:rPr>
              <w:t>Albiglutide (Tanzeum®,</w:t>
            </w:r>
            <w:r w:rsidR="00D17730" w:rsidRPr="001153D4">
              <w:rPr>
                <w:noProof w:val="0"/>
                <w:lang w:val="en-US"/>
              </w:rPr>
              <w:t xml:space="preserve"> </w:t>
            </w:r>
            <w:r w:rsidRPr="001153D4">
              <w:rPr>
                <w:noProof w:val="0"/>
                <w:lang w:val="en-US"/>
              </w:rPr>
              <w:t>Eperzan®)</w:t>
            </w:r>
            <w:r w:rsidR="00B834BE">
              <w:rPr>
                <w:noProof w:val="0"/>
                <w:lang w:val="en-US"/>
              </w:rPr>
              <w:t>*</w:t>
            </w:r>
            <w:r w:rsidRPr="001153D4">
              <w:rPr>
                <w:rFonts w:ascii="Arial Narrow" w:hAnsi="Arial Narrow"/>
                <w:b w:val="0"/>
                <w:noProof w:val="0"/>
                <w:lang w:val="en-US"/>
              </w:rPr>
              <w:t xml:space="preserve"> is supplied as a sterile powder diluted in pens and administered by subcutaneous injection.  </w:t>
            </w:r>
          </w:p>
          <w:p w:rsidR="00DD4988" w:rsidRPr="001153D4" w:rsidRDefault="00DD4988" w:rsidP="00DD4988">
            <w:pPr>
              <w:pStyle w:val="TblHeadingLeft"/>
              <w:rPr>
                <w:rFonts w:ascii="Arial Narrow" w:hAnsi="Arial Narrow"/>
                <w:b w:val="0"/>
                <w:noProof w:val="0"/>
                <w:lang w:val="en-US"/>
              </w:rPr>
            </w:pPr>
            <w:r w:rsidRPr="001153D4">
              <w:rPr>
                <w:rFonts w:ascii="Arial Narrow" w:hAnsi="Arial Narrow"/>
                <w:b w:val="0"/>
                <w:noProof w:val="0"/>
                <w:lang w:val="en-US"/>
              </w:rPr>
              <w:t>30-mg Pen for injection (for subcutaneous use) contains 40.3 mg lyophilized albiglutide and 0.65 mL Water for Injection diluent designed to deliver a dose of 30 mg in a volume of 0.5 mL after reconstitution.</w:t>
            </w:r>
          </w:p>
          <w:p w:rsidR="00DD4988" w:rsidRPr="001153D4" w:rsidRDefault="00DD4988" w:rsidP="00DD4988">
            <w:pPr>
              <w:pStyle w:val="TblHeadingLeft"/>
              <w:rPr>
                <w:rFonts w:ascii="Arial Narrow" w:hAnsi="Arial Narrow"/>
                <w:b w:val="0"/>
                <w:noProof w:val="0"/>
                <w:lang w:val="en-US"/>
              </w:rPr>
            </w:pPr>
            <w:r w:rsidRPr="001153D4">
              <w:rPr>
                <w:rFonts w:ascii="Arial Narrow" w:hAnsi="Arial Narrow"/>
                <w:b w:val="0"/>
                <w:noProof w:val="0"/>
                <w:lang w:val="en-US"/>
              </w:rPr>
              <w:t>50-mg Pen for injection (for subcutaneous use) contains 67 mg lyophilized albiglutide and 0.65 mL Water for Injection diluent designed to deliver a dose of 50 mg in a volume of 0.5 mL after reconstitution.</w:t>
            </w:r>
          </w:p>
          <w:p w:rsidR="00DD4988" w:rsidRPr="001153D4" w:rsidRDefault="00DD4988" w:rsidP="00DD4988">
            <w:pPr>
              <w:pStyle w:val="TblHeadingLeft"/>
              <w:rPr>
                <w:rFonts w:ascii="Arial Narrow" w:hAnsi="Arial Narrow"/>
                <w:b w:val="0"/>
                <w:noProof w:val="0"/>
                <w:lang w:val="en-US"/>
              </w:rPr>
            </w:pPr>
            <w:r w:rsidRPr="001153D4">
              <w:rPr>
                <w:rFonts w:ascii="Arial Narrow" w:hAnsi="Arial Narrow"/>
                <w:b w:val="0"/>
                <w:noProof w:val="0"/>
                <w:lang w:val="en-US"/>
              </w:rPr>
              <w:t>Inactive ingredients include 153 mM mannitol, 0.01% (w/w) polysorbate 80, 10 mM sodium phosphate, and 117 mM trehalose dihydrate for Tanzeum® and  monosodic monohydrated phosphate,  disodic anhydrous phosphate, dihydrated trehalose,  Mannitol (E421), polysorbate 80 for Eperzan®</w:t>
            </w:r>
            <w:r w:rsidR="0086515D">
              <w:rPr>
                <w:rFonts w:ascii="Arial Narrow" w:hAnsi="Arial Narrow"/>
                <w:b w:val="0"/>
                <w:noProof w:val="0"/>
                <w:lang w:val="en-US"/>
              </w:rPr>
              <w:t>.</w:t>
            </w:r>
          </w:p>
          <w:p w:rsidR="00DD4988" w:rsidRPr="001153D4" w:rsidRDefault="00DD4988" w:rsidP="00DD4988">
            <w:pPr>
              <w:pStyle w:val="TblHeadingLeft"/>
              <w:rPr>
                <w:rFonts w:ascii="Arial Narrow" w:hAnsi="Arial Narrow"/>
                <w:b w:val="0"/>
                <w:noProof w:val="0"/>
                <w:lang w:val="en-US"/>
              </w:rPr>
            </w:pPr>
            <w:r w:rsidRPr="001153D4">
              <w:rPr>
                <w:rFonts w:ascii="Arial Narrow" w:hAnsi="Arial Narrow"/>
                <w:b w:val="0"/>
                <w:noProof w:val="0"/>
                <w:lang w:val="en-US"/>
              </w:rPr>
              <w:t>Each pen is a single dose of 30mg or 50mg to be injected once a week.</w:t>
            </w:r>
          </w:p>
          <w:p w:rsidR="00DD4988" w:rsidRPr="001153D4" w:rsidRDefault="00DD4988" w:rsidP="00DD4988">
            <w:pPr>
              <w:pStyle w:val="TblHeadingLeft"/>
              <w:rPr>
                <w:rFonts w:ascii="Arial Narrow" w:hAnsi="Arial Narrow"/>
                <w:b w:val="0"/>
                <w:noProof w:val="0"/>
                <w:lang w:val="en-US"/>
              </w:rPr>
            </w:pPr>
            <w:r w:rsidRPr="001153D4">
              <w:rPr>
                <w:noProof w:val="0"/>
                <w:lang w:val="en-US"/>
              </w:rPr>
              <w:t>Dulaglutide (Trulicity®)</w:t>
            </w:r>
            <w:r w:rsidR="00B834BE">
              <w:rPr>
                <w:noProof w:val="0"/>
                <w:lang w:val="en-US"/>
              </w:rPr>
              <w:t>*</w:t>
            </w:r>
            <w:r w:rsidRPr="001153D4">
              <w:rPr>
                <w:rFonts w:ascii="Arial Narrow" w:hAnsi="Arial Narrow"/>
                <w:b w:val="0"/>
                <w:noProof w:val="0"/>
                <w:lang w:val="en-US"/>
              </w:rPr>
              <w:t xml:space="preserve"> is supplied as a sterile solution in pens or syringes and administered by subcutaneous injection</w:t>
            </w:r>
          </w:p>
          <w:p w:rsidR="00DD4988" w:rsidRPr="001153D4" w:rsidRDefault="00DD4988" w:rsidP="00DD4988">
            <w:pPr>
              <w:pStyle w:val="TblHeadingLeft"/>
              <w:rPr>
                <w:rFonts w:ascii="Arial Narrow" w:hAnsi="Arial Narrow"/>
                <w:b w:val="0"/>
                <w:noProof w:val="0"/>
                <w:lang w:val="en-US"/>
              </w:rPr>
            </w:pPr>
            <w:r w:rsidRPr="001153D4">
              <w:rPr>
                <w:rFonts w:ascii="Arial Narrow" w:hAnsi="Arial Narrow"/>
                <w:b w:val="0"/>
                <w:noProof w:val="0"/>
                <w:lang w:val="en-US"/>
              </w:rPr>
              <w:t>Each single dose pen</w:t>
            </w:r>
            <w:r w:rsidR="00D17730" w:rsidRPr="001153D4">
              <w:rPr>
                <w:rFonts w:ascii="Arial Narrow" w:hAnsi="Arial Narrow"/>
                <w:b w:val="0"/>
                <w:noProof w:val="0"/>
                <w:lang w:val="en-US"/>
              </w:rPr>
              <w:t xml:space="preserve"> or syringe contains  0.75 mg du</w:t>
            </w:r>
            <w:r w:rsidRPr="001153D4">
              <w:rPr>
                <w:rFonts w:ascii="Arial Narrow" w:hAnsi="Arial Narrow"/>
                <w:b w:val="0"/>
                <w:noProof w:val="0"/>
                <w:lang w:val="en-US"/>
              </w:rPr>
              <w:t>laglut</w:t>
            </w:r>
            <w:r w:rsidR="00D17730" w:rsidRPr="001153D4">
              <w:rPr>
                <w:rFonts w:ascii="Arial Narrow" w:hAnsi="Arial Narrow"/>
                <w:b w:val="0"/>
                <w:noProof w:val="0"/>
                <w:lang w:val="en-US"/>
              </w:rPr>
              <w:t>ide/0.5 mL solution or 1.5 mg du</w:t>
            </w:r>
            <w:r w:rsidRPr="001153D4">
              <w:rPr>
                <w:rFonts w:ascii="Arial Narrow" w:hAnsi="Arial Narrow"/>
                <w:b w:val="0"/>
                <w:noProof w:val="0"/>
                <w:lang w:val="en-US"/>
              </w:rPr>
              <w:t xml:space="preserve">laglutide/0.5 mL solution with following excipients: citric </w:t>
            </w:r>
            <w:r w:rsidRPr="001153D4">
              <w:rPr>
                <w:rFonts w:ascii="Arial Narrow" w:hAnsi="Arial Narrow"/>
                <w:b w:val="0"/>
                <w:noProof w:val="0"/>
                <w:lang w:val="en-US"/>
              </w:rPr>
              <w:lastRenderedPageBreak/>
              <w:t>acid anhydrous (0.07 mg), mannitol (23.2 mg), polysorbate 80 (0.10 mg), trisodium citrate dihydrate (1.37 mg), water for injection.</w:t>
            </w:r>
          </w:p>
          <w:p w:rsidR="0051645D" w:rsidRDefault="00DD4988" w:rsidP="00DD4988">
            <w:pPr>
              <w:pStyle w:val="TblHeadingLeft"/>
              <w:rPr>
                <w:rFonts w:ascii="Arial Narrow" w:hAnsi="Arial Narrow"/>
                <w:b w:val="0"/>
                <w:noProof w:val="0"/>
                <w:lang w:val="en-US"/>
              </w:rPr>
            </w:pPr>
            <w:r w:rsidRPr="001153D4">
              <w:rPr>
                <w:rFonts w:ascii="Arial Narrow" w:hAnsi="Arial Narrow"/>
                <w:b w:val="0"/>
                <w:noProof w:val="0"/>
                <w:lang w:val="en-US"/>
              </w:rPr>
              <w:t>Each pen/syringe is a single dose of 0.75mg or 1.5mg to be injected once a week</w:t>
            </w:r>
            <w:r w:rsidR="00B353A3">
              <w:rPr>
                <w:rFonts w:ascii="Arial Narrow" w:hAnsi="Arial Narrow"/>
                <w:b w:val="0"/>
                <w:noProof w:val="0"/>
                <w:lang w:val="en-US"/>
              </w:rPr>
              <w:t>.</w:t>
            </w:r>
          </w:p>
          <w:p w:rsidR="00B834BE" w:rsidRPr="00B834BE" w:rsidRDefault="00B834BE" w:rsidP="00B834BE">
            <w:pPr>
              <w:pStyle w:val="ListBulletLevel1Synospis"/>
              <w:numPr>
                <w:ilvl w:val="0"/>
                <w:numId w:val="0"/>
              </w:numPr>
            </w:pPr>
            <w:r>
              <w:t>*If available at country level</w:t>
            </w:r>
          </w:p>
        </w:tc>
      </w:tr>
      <w:tr w:rsidR="0051645D" w:rsidTr="0086515D">
        <w:tblPrEx>
          <w:tblCellMar>
            <w:top w:w="0" w:type="dxa"/>
            <w:bottom w:w="0" w:type="dxa"/>
          </w:tblCellMar>
        </w:tblPrEx>
        <w:tc>
          <w:tcPr>
            <w:tcW w:w="3528" w:type="dxa"/>
            <w:tcBorders>
              <w:top w:val="single" w:sz="4" w:space="0" w:color="auto"/>
              <w:left w:val="single" w:sz="6" w:space="0" w:color="000000"/>
              <w:bottom w:val="single" w:sz="4" w:space="0" w:color="auto"/>
              <w:right w:val="single" w:sz="6" w:space="0" w:color="000000"/>
            </w:tcBorders>
          </w:tcPr>
          <w:p w:rsidR="0051645D" w:rsidRDefault="0051645D" w:rsidP="0086515D">
            <w:pPr>
              <w:pStyle w:val="TblFigFootnote"/>
              <w:spacing w:before="60" w:after="60"/>
              <w:rPr>
                <w:rFonts w:ascii="Arial" w:hAnsi="Arial"/>
                <w:b/>
                <w:sz w:val="20"/>
              </w:rPr>
            </w:pPr>
            <w:r>
              <w:rPr>
                <w:rFonts w:ascii="Arial" w:hAnsi="Arial"/>
                <w:b/>
                <w:sz w:val="20"/>
              </w:rPr>
              <w:lastRenderedPageBreak/>
              <w:t>Route(s) of administration</w:t>
            </w:r>
            <w:r w:rsidR="000C2D66">
              <w:rPr>
                <w:rFonts w:ascii="Arial" w:hAnsi="Arial"/>
                <w:b/>
                <w:sz w:val="20"/>
              </w:rPr>
              <w:t>:</w:t>
            </w:r>
          </w:p>
        </w:tc>
        <w:tc>
          <w:tcPr>
            <w:tcW w:w="5805" w:type="dxa"/>
            <w:tcBorders>
              <w:top w:val="single" w:sz="4" w:space="0" w:color="auto"/>
              <w:left w:val="single" w:sz="6" w:space="0" w:color="000000"/>
              <w:bottom w:val="single" w:sz="4" w:space="0" w:color="auto"/>
              <w:right w:val="single" w:sz="6" w:space="0" w:color="000000"/>
            </w:tcBorders>
            <w:vAlign w:val="center"/>
          </w:tcPr>
          <w:p w:rsidR="0051645D" w:rsidRPr="00A95DD0" w:rsidRDefault="00B353A3" w:rsidP="0086515D">
            <w:pPr>
              <w:spacing w:before="60" w:after="60"/>
            </w:pPr>
            <w:r w:rsidRPr="00A95DD0">
              <w:rPr>
                <w:rFonts w:ascii="Arial Narrow" w:eastAsia="MS Gothic" w:hAnsi="Arial Narrow" w:cs="Arial"/>
                <w:color w:val="auto"/>
                <w:sz w:val="20"/>
                <w:szCs w:val="20"/>
              </w:rPr>
              <w:t xml:space="preserve">Subcutaneous for </w:t>
            </w:r>
            <w:r w:rsidR="00A25E51" w:rsidRPr="00A95DD0">
              <w:rPr>
                <w:rFonts w:ascii="Arial Narrow" w:eastAsia="MS Gothic" w:hAnsi="Arial Narrow" w:cs="Arial"/>
                <w:color w:val="auto"/>
                <w:sz w:val="20"/>
                <w:szCs w:val="20"/>
              </w:rPr>
              <w:t>Investigational medicinal product (</w:t>
            </w:r>
            <w:r w:rsidRPr="00A95DD0">
              <w:rPr>
                <w:rFonts w:ascii="Arial Narrow" w:eastAsia="MS Gothic" w:hAnsi="Arial Narrow" w:cs="Arial"/>
                <w:color w:val="auto"/>
                <w:sz w:val="20"/>
                <w:szCs w:val="20"/>
              </w:rPr>
              <w:t>IMP</w:t>
            </w:r>
            <w:r w:rsidR="00A25E51" w:rsidRPr="00A95DD0">
              <w:fldChar w:fldCharType="begin"/>
            </w:r>
            <w:r w:rsidR="00A25E51" w:rsidRPr="00A95DD0">
              <w:instrText xml:space="preserve"> </w:instrText>
            </w:r>
            <w:r w:rsidR="00A95DD0">
              <w:instrText>XE " IMP " \f Abbreviation \t "i</w:instrText>
            </w:r>
            <w:r w:rsidR="00A25E51" w:rsidRPr="00A95DD0">
              <w:instrText xml:space="preserve">nvestigational medicinal product" </w:instrText>
            </w:r>
            <w:r w:rsidR="00A25E51" w:rsidRPr="00A95DD0">
              <w:fldChar w:fldCharType="end"/>
            </w:r>
            <w:r w:rsidR="00A25E51" w:rsidRPr="00A95DD0">
              <w:rPr>
                <w:rFonts w:ascii="Arial Narrow" w:eastAsia="MS Gothic" w:hAnsi="Arial Narrow" w:cs="Arial"/>
                <w:color w:val="auto"/>
                <w:sz w:val="20"/>
                <w:szCs w:val="20"/>
              </w:rPr>
              <w:t>)</w:t>
            </w:r>
          </w:p>
        </w:tc>
      </w:tr>
      <w:tr w:rsidR="0051645D" w:rsidTr="00472D23">
        <w:tblPrEx>
          <w:tblCellMar>
            <w:top w:w="0" w:type="dxa"/>
            <w:bottom w:w="0" w:type="dxa"/>
          </w:tblCellMar>
        </w:tblPrEx>
        <w:tc>
          <w:tcPr>
            <w:tcW w:w="3528" w:type="dxa"/>
            <w:tcBorders>
              <w:top w:val="single" w:sz="4" w:space="0" w:color="auto"/>
              <w:left w:val="single" w:sz="6" w:space="0" w:color="000000"/>
              <w:bottom w:val="single" w:sz="6" w:space="0" w:color="000000"/>
              <w:right w:val="single" w:sz="6" w:space="0" w:color="000000"/>
            </w:tcBorders>
          </w:tcPr>
          <w:p w:rsidR="0051645D" w:rsidRDefault="0051645D">
            <w:pPr>
              <w:pStyle w:val="TblFigFootnote"/>
              <w:rPr>
                <w:rFonts w:ascii="Arial" w:hAnsi="Arial"/>
                <w:b/>
                <w:sz w:val="20"/>
              </w:rPr>
            </w:pPr>
            <w:r>
              <w:rPr>
                <w:rFonts w:ascii="Arial" w:hAnsi="Arial"/>
                <w:b/>
                <w:sz w:val="20"/>
              </w:rPr>
              <w:t>Dose regimen</w:t>
            </w:r>
            <w:r w:rsidR="000C2D66">
              <w:rPr>
                <w:rFonts w:ascii="Arial" w:hAnsi="Arial"/>
                <w:b/>
                <w:sz w:val="20"/>
              </w:rPr>
              <w:t>:</w:t>
            </w:r>
          </w:p>
        </w:tc>
        <w:tc>
          <w:tcPr>
            <w:tcW w:w="5805" w:type="dxa"/>
            <w:tcBorders>
              <w:top w:val="single" w:sz="4" w:space="0" w:color="auto"/>
              <w:left w:val="single" w:sz="6" w:space="0" w:color="000000"/>
              <w:bottom w:val="single" w:sz="6" w:space="0" w:color="000000"/>
              <w:right w:val="single" w:sz="6" w:space="0" w:color="000000"/>
            </w:tcBorders>
          </w:tcPr>
          <w:p w:rsidR="00B353A3" w:rsidRPr="009C467D" w:rsidRDefault="00B353A3" w:rsidP="00B353A3">
            <w:pPr>
              <w:pStyle w:val="TblHeadingLeft"/>
              <w:rPr>
                <w:noProof w:val="0"/>
                <w:lang w:val="en-US"/>
              </w:rPr>
            </w:pPr>
            <w:r w:rsidRPr="009C467D">
              <w:rPr>
                <w:noProof w:val="0"/>
                <w:lang w:val="en-US"/>
              </w:rPr>
              <w:t>Insulin glargine/lixisenatide fixed ratio combination</w:t>
            </w:r>
            <w:r w:rsidR="00805D5D">
              <w:rPr>
                <w:noProof w:val="0"/>
                <w:lang w:val="en-US"/>
              </w:rPr>
              <w:t xml:space="preserve"> </w:t>
            </w:r>
            <w:r w:rsidR="00805D5D" w:rsidRPr="001153D4">
              <w:rPr>
                <w:noProof w:val="0"/>
                <w:lang w:val="en-US"/>
              </w:rPr>
              <w:t>(FRC)</w:t>
            </w:r>
          </w:p>
          <w:p w:rsidR="00B353A3" w:rsidRPr="009C467D" w:rsidRDefault="00B353A3" w:rsidP="00B353A3">
            <w:pPr>
              <w:pStyle w:val="TblHeadingLeft"/>
              <w:rPr>
                <w:noProof w:val="0"/>
                <w:lang w:val="en-US"/>
              </w:rPr>
            </w:pPr>
            <w:r w:rsidRPr="009C467D">
              <w:rPr>
                <w:noProof w:val="0"/>
                <w:lang w:val="en-US"/>
              </w:rPr>
              <w:t>Injection time</w:t>
            </w:r>
          </w:p>
          <w:p w:rsidR="00B353A3" w:rsidRPr="009C467D" w:rsidRDefault="00805D5D" w:rsidP="00B353A3">
            <w:pPr>
              <w:pStyle w:val="TblHeadingLeft"/>
              <w:rPr>
                <w:rFonts w:ascii="Arial Narrow" w:hAnsi="Arial Narrow"/>
                <w:b w:val="0"/>
                <w:noProof w:val="0"/>
                <w:lang w:val="en-US"/>
              </w:rPr>
            </w:pPr>
            <w:r w:rsidRPr="001153D4">
              <w:rPr>
                <w:rFonts w:ascii="Arial Narrow" w:hAnsi="Arial Narrow"/>
                <w:b w:val="0"/>
                <w:noProof w:val="0"/>
                <w:lang w:val="en-US"/>
              </w:rPr>
              <w:t>FRC</w:t>
            </w:r>
            <w:r w:rsidR="00B353A3" w:rsidRPr="009C467D">
              <w:rPr>
                <w:rFonts w:ascii="Arial Narrow" w:hAnsi="Arial Narrow"/>
                <w:b w:val="0"/>
                <w:noProof w:val="0"/>
                <w:lang w:val="en-US"/>
              </w:rPr>
              <w:t>: should be self-administered once daily in the morning in the hour (0 to 60 minutes) before breakfast.</w:t>
            </w:r>
          </w:p>
          <w:p w:rsidR="00B353A3" w:rsidRPr="009C467D" w:rsidRDefault="00B353A3" w:rsidP="00B353A3">
            <w:pPr>
              <w:pStyle w:val="TblHeadingLeft"/>
              <w:rPr>
                <w:noProof w:val="0"/>
                <w:lang w:val="en-US"/>
              </w:rPr>
            </w:pPr>
            <w:r w:rsidRPr="009C467D">
              <w:rPr>
                <w:noProof w:val="0"/>
                <w:lang w:val="en-US"/>
              </w:rPr>
              <w:t>Starting dose</w:t>
            </w:r>
          </w:p>
          <w:p w:rsidR="00B353A3" w:rsidRPr="009C467D" w:rsidRDefault="00805D5D" w:rsidP="00B353A3">
            <w:pPr>
              <w:pStyle w:val="TblHeadingLeft"/>
              <w:rPr>
                <w:rFonts w:ascii="Arial Narrow" w:hAnsi="Arial Narrow"/>
                <w:b w:val="0"/>
                <w:noProof w:val="0"/>
                <w:lang w:val="en-US"/>
              </w:rPr>
            </w:pPr>
            <w:r w:rsidRPr="001153D4">
              <w:rPr>
                <w:rFonts w:ascii="Arial Narrow" w:hAnsi="Arial Narrow"/>
                <w:b w:val="0"/>
                <w:noProof w:val="0"/>
                <w:lang w:val="en-US"/>
              </w:rPr>
              <w:t>FRC</w:t>
            </w:r>
            <w:r w:rsidR="00B353A3" w:rsidRPr="009C467D">
              <w:rPr>
                <w:rFonts w:ascii="Arial Narrow" w:hAnsi="Arial Narrow"/>
                <w:b w:val="0"/>
                <w:noProof w:val="0"/>
                <w:lang w:val="en-US"/>
              </w:rPr>
              <w:t xml:space="preserve">: treatment will be initiated with the </w:t>
            </w:r>
            <w:r>
              <w:rPr>
                <w:rFonts w:ascii="Arial Narrow" w:hAnsi="Arial Narrow"/>
                <w:b w:val="0"/>
                <w:noProof w:val="0"/>
                <w:lang w:val="en-US"/>
              </w:rPr>
              <w:t>P</w:t>
            </w:r>
            <w:r w:rsidR="00B353A3" w:rsidRPr="009C467D">
              <w:rPr>
                <w:rFonts w:ascii="Arial Narrow" w:hAnsi="Arial Narrow"/>
                <w:b w:val="0"/>
                <w:noProof w:val="0"/>
                <w:lang w:val="en-US"/>
              </w:rPr>
              <w:t xml:space="preserve">each </w:t>
            </w:r>
            <w:r>
              <w:rPr>
                <w:rFonts w:ascii="Arial Narrow" w:hAnsi="Arial Narrow"/>
                <w:b w:val="0"/>
                <w:noProof w:val="0"/>
                <w:lang w:val="en-US"/>
              </w:rPr>
              <w:t>P</w:t>
            </w:r>
            <w:r w:rsidR="00B353A3" w:rsidRPr="009C467D">
              <w:rPr>
                <w:rFonts w:ascii="Arial Narrow" w:hAnsi="Arial Narrow"/>
                <w:b w:val="0"/>
                <w:noProof w:val="0"/>
                <w:lang w:val="en-US"/>
              </w:rPr>
              <w:t xml:space="preserve">en. The initial daily dose of </w:t>
            </w:r>
            <w:r w:rsidR="00820F1F" w:rsidRPr="001153D4">
              <w:rPr>
                <w:rFonts w:ascii="Arial Narrow" w:hAnsi="Arial Narrow"/>
                <w:b w:val="0"/>
                <w:noProof w:val="0"/>
                <w:lang w:val="en-US"/>
              </w:rPr>
              <w:t>FRC</w:t>
            </w:r>
            <w:r w:rsidR="00820F1F">
              <w:rPr>
                <w:rFonts w:ascii="Arial Narrow" w:hAnsi="Arial Narrow"/>
                <w:b w:val="0"/>
                <w:noProof w:val="0"/>
                <w:lang w:val="en-US"/>
              </w:rPr>
              <w:t xml:space="preserve"> </w:t>
            </w:r>
            <w:r w:rsidR="00B353A3" w:rsidRPr="009C467D">
              <w:rPr>
                <w:rFonts w:ascii="Arial Narrow" w:hAnsi="Arial Narrow"/>
                <w:b w:val="0"/>
                <w:noProof w:val="0"/>
                <w:lang w:val="en-US"/>
              </w:rPr>
              <w:t xml:space="preserve">to be administered will be 10 </w:t>
            </w:r>
            <w:r w:rsidR="00B353A3" w:rsidRPr="00D17730">
              <w:rPr>
                <w:rFonts w:ascii="Arial Narrow" w:hAnsi="Arial Narrow"/>
                <w:b w:val="0"/>
                <w:noProof w:val="0"/>
                <w:lang w:val="en-US"/>
              </w:rPr>
              <w:t>U</w:t>
            </w:r>
            <w:r w:rsidR="00B353A3" w:rsidRPr="009C467D">
              <w:rPr>
                <w:rFonts w:ascii="Arial Narrow" w:hAnsi="Arial Narrow"/>
                <w:b w:val="0"/>
                <w:noProof w:val="0"/>
                <w:lang w:val="en-US"/>
              </w:rPr>
              <w:t xml:space="preserve">: this corresponds to an initial associated dose </w:t>
            </w:r>
            <w:r w:rsidR="00B353A3" w:rsidRPr="001153D4">
              <w:rPr>
                <w:rFonts w:ascii="Arial Narrow" w:hAnsi="Arial Narrow"/>
                <w:b w:val="0"/>
                <w:noProof w:val="0"/>
                <w:lang w:val="en-US"/>
              </w:rPr>
              <w:t xml:space="preserve">of </w:t>
            </w:r>
            <w:r w:rsidR="000158D9" w:rsidRPr="001153D4">
              <w:rPr>
                <w:rFonts w:ascii="Arial Narrow" w:hAnsi="Arial Narrow"/>
                <w:b w:val="0"/>
                <w:noProof w:val="0"/>
                <w:lang w:val="en-US"/>
              </w:rPr>
              <w:t>10 U of insulin glargine and</w:t>
            </w:r>
            <w:r w:rsidR="000158D9">
              <w:rPr>
                <w:rFonts w:ascii="Arial Narrow" w:hAnsi="Arial Narrow"/>
                <w:b w:val="0"/>
                <w:noProof w:val="0"/>
                <w:lang w:val="en-US"/>
              </w:rPr>
              <w:t xml:space="preserve"> </w:t>
            </w:r>
            <w:r w:rsidR="00B353A3" w:rsidRPr="009C467D">
              <w:rPr>
                <w:rFonts w:ascii="Arial Narrow" w:hAnsi="Arial Narrow"/>
                <w:b w:val="0"/>
                <w:noProof w:val="0"/>
                <w:lang w:val="en-US"/>
              </w:rPr>
              <w:t>lixisena</w:t>
            </w:r>
            <w:r w:rsidR="006501BD">
              <w:rPr>
                <w:rFonts w:ascii="Arial Narrow" w:hAnsi="Arial Narrow"/>
                <w:b w:val="0"/>
                <w:noProof w:val="0"/>
                <w:lang w:val="en-US"/>
              </w:rPr>
              <w:t>tide of 5 μg according to the 2 </w:t>
            </w:r>
            <w:r w:rsidR="00B353A3" w:rsidRPr="009C467D">
              <w:rPr>
                <w:rFonts w:ascii="Arial Narrow" w:hAnsi="Arial Narrow"/>
                <w:b w:val="0"/>
                <w:noProof w:val="0"/>
                <w:lang w:val="en-US"/>
              </w:rPr>
              <w:t>U/1</w:t>
            </w:r>
            <w:r w:rsidR="008D55CC">
              <w:rPr>
                <w:rFonts w:ascii="Arial Narrow" w:hAnsi="Arial Narrow"/>
                <w:b w:val="0"/>
                <w:noProof w:val="0"/>
                <w:lang w:val="en-US"/>
              </w:rPr>
              <w:t> </w:t>
            </w:r>
            <w:r w:rsidR="00B353A3" w:rsidRPr="009C467D">
              <w:rPr>
                <w:rFonts w:ascii="Arial Narrow" w:hAnsi="Arial Narrow"/>
                <w:b w:val="0"/>
                <w:noProof w:val="0"/>
                <w:lang w:val="en-US"/>
              </w:rPr>
              <w:t xml:space="preserve">μg fixed ratio used in the </w:t>
            </w:r>
            <w:r w:rsidR="00DA649F">
              <w:rPr>
                <w:rFonts w:ascii="Arial Narrow" w:hAnsi="Arial Narrow"/>
                <w:b w:val="0"/>
                <w:noProof w:val="0"/>
                <w:lang w:val="en-US"/>
              </w:rPr>
              <w:t>P</w:t>
            </w:r>
            <w:r w:rsidR="00B353A3" w:rsidRPr="009C467D">
              <w:rPr>
                <w:rFonts w:ascii="Arial Narrow" w:hAnsi="Arial Narrow"/>
                <w:b w:val="0"/>
                <w:noProof w:val="0"/>
                <w:lang w:val="en-US"/>
              </w:rPr>
              <w:t xml:space="preserve">each </w:t>
            </w:r>
            <w:r w:rsidR="00DA649F">
              <w:rPr>
                <w:rFonts w:ascii="Arial Narrow" w:hAnsi="Arial Narrow"/>
                <w:b w:val="0"/>
                <w:noProof w:val="0"/>
                <w:lang w:val="en-US"/>
              </w:rPr>
              <w:t>P</w:t>
            </w:r>
            <w:r w:rsidR="00B353A3" w:rsidRPr="009C467D">
              <w:rPr>
                <w:rFonts w:ascii="Arial Narrow" w:hAnsi="Arial Narrow"/>
                <w:b w:val="0"/>
                <w:noProof w:val="0"/>
                <w:lang w:val="en-US"/>
              </w:rPr>
              <w:t>en.</w:t>
            </w:r>
          </w:p>
          <w:p w:rsidR="00B353A3" w:rsidRPr="009C467D" w:rsidRDefault="00B353A3" w:rsidP="00B353A3">
            <w:pPr>
              <w:pStyle w:val="TblHeadingLeft"/>
              <w:rPr>
                <w:i/>
                <w:noProof w:val="0"/>
                <w:lang w:val="en-US"/>
              </w:rPr>
            </w:pPr>
            <w:r w:rsidRPr="009C467D">
              <w:rPr>
                <w:i/>
                <w:noProof w:val="0"/>
                <w:lang w:val="en-US"/>
              </w:rPr>
              <w:t>Dose adjustment</w:t>
            </w:r>
          </w:p>
          <w:p w:rsidR="006501BD" w:rsidRPr="0086515D" w:rsidRDefault="00B353A3" w:rsidP="00B353A3">
            <w:pPr>
              <w:pStyle w:val="TblHeadingLeft"/>
              <w:rPr>
                <w:rFonts w:ascii="Arial Narrow" w:hAnsi="Arial Narrow"/>
                <w:b w:val="0"/>
                <w:noProof w:val="0"/>
                <w:lang w:val="en-US"/>
              </w:rPr>
            </w:pPr>
            <w:r w:rsidRPr="009C467D">
              <w:rPr>
                <w:rFonts w:ascii="Arial Narrow" w:hAnsi="Arial Narrow"/>
                <w:b w:val="0"/>
                <w:noProof w:val="0"/>
                <w:lang w:val="en-US"/>
              </w:rPr>
              <w:t>During the first 8 weeks of treatment, from V3 (</w:t>
            </w:r>
            <w:r w:rsidR="0007161F">
              <w:rPr>
                <w:rFonts w:ascii="Arial Narrow" w:hAnsi="Arial Narrow"/>
                <w:b w:val="0"/>
                <w:noProof w:val="0"/>
                <w:lang w:val="en-US"/>
              </w:rPr>
              <w:t xml:space="preserve">Week </w:t>
            </w:r>
            <w:r w:rsidRPr="009C467D">
              <w:rPr>
                <w:rFonts w:ascii="Arial Narrow" w:hAnsi="Arial Narrow"/>
                <w:b w:val="0"/>
                <w:noProof w:val="0"/>
                <w:lang w:val="en-US"/>
              </w:rPr>
              <w:t>0) to V19 (</w:t>
            </w:r>
            <w:r w:rsidR="0007161F">
              <w:rPr>
                <w:rFonts w:ascii="Arial Narrow" w:hAnsi="Arial Narrow"/>
                <w:b w:val="0"/>
                <w:noProof w:val="0"/>
                <w:lang w:val="en-US"/>
              </w:rPr>
              <w:t xml:space="preserve">Week </w:t>
            </w:r>
            <w:r w:rsidRPr="009C467D">
              <w:rPr>
                <w:rFonts w:ascii="Arial Narrow" w:hAnsi="Arial Narrow"/>
                <w:b w:val="0"/>
                <w:noProof w:val="0"/>
                <w:lang w:val="en-US"/>
              </w:rPr>
              <w:t xml:space="preserve">8), the dose will be titrated twice a </w:t>
            </w:r>
            <w:r w:rsidR="0007161F">
              <w:rPr>
                <w:rFonts w:ascii="Arial Narrow" w:hAnsi="Arial Narrow"/>
                <w:b w:val="0"/>
                <w:noProof w:val="0"/>
                <w:lang w:val="en-US"/>
              </w:rPr>
              <w:t xml:space="preserve">week </w:t>
            </w:r>
            <w:r w:rsidRPr="009C467D">
              <w:rPr>
                <w:rFonts w:ascii="Arial Narrow" w:hAnsi="Arial Narrow"/>
                <w:b w:val="0"/>
                <w:noProof w:val="0"/>
                <w:lang w:val="en-US"/>
              </w:rPr>
              <w:t xml:space="preserve">as far as possible (see algorithm in </w:t>
            </w:r>
            <w:r w:rsidR="006501BD" w:rsidRPr="0086515D">
              <w:rPr>
                <w:rStyle w:val="BlueReplace"/>
                <w:rFonts w:ascii="Arial Narrow" w:hAnsi="Arial Narrow"/>
                <w:b w:val="0"/>
              </w:rPr>
              <w:fldChar w:fldCharType="begin"/>
            </w:r>
            <w:r w:rsidR="006501BD" w:rsidRPr="0086515D">
              <w:rPr>
                <w:rStyle w:val="BlueReplace"/>
                <w:rFonts w:ascii="Arial Narrow" w:hAnsi="Arial Narrow"/>
                <w:b w:val="0"/>
              </w:rPr>
              <w:instrText xml:space="preserve"> REF _Ref434492584 \h  \* MERGEFORMAT </w:instrText>
            </w:r>
            <w:r w:rsidR="006501BD" w:rsidRPr="0086515D">
              <w:rPr>
                <w:rStyle w:val="BlueReplace"/>
                <w:rFonts w:ascii="Arial Narrow" w:hAnsi="Arial Narrow"/>
                <w:b w:val="0"/>
              </w:rPr>
            </w:r>
            <w:r w:rsidR="006501BD" w:rsidRPr="0086515D">
              <w:rPr>
                <w:rStyle w:val="BlueReplace"/>
                <w:rFonts w:ascii="Arial Narrow" w:hAnsi="Arial Narrow"/>
                <w:b w:val="0"/>
              </w:rPr>
              <w:fldChar w:fldCharType="separate"/>
            </w:r>
            <w:r w:rsidR="005A26F6" w:rsidRPr="005A26F6">
              <w:rPr>
                <w:rStyle w:val="BlueReplace"/>
                <w:rFonts w:ascii="Arial Narrow" w:hAnsi="Arial Narrow"/>
                <w:b w:val="0"/>
              </w:rPr>
              <w:t>Table 1</w:t>
            </w:r>
            <w:r w:rsidR="006501BD" w:rsidRPr="0086515D">
              <w:rPr>
                <w:rStyle w:val="BlueReplace"/>
                <w:rFonts w:ascii="Arial Narrow" w:hAnsi="Arial Narrow"/>
                <w:b w:val="0"/>
              </w:rPr>
              <w:fldChar w:fldCharType="end"/>
            </w:r>
            <w:r w:rsidR="006501BD" w:rsidRPr="0086515D">
              <w:rPr>
                <w:rFonts w:ascii="Arial Narrow" w:hAnsi="Arial Narrow"/>
                <w:b w:val="0"/>
                <w:noProof w:val="0"/>
                <w:lang w:val="en-US"/>
              </w:rPr>
              <w:t>.</w:t>
            </w:r>
          </w:p>
          <w:p w:rsidR="00B353A3" w:rsidRPr="009C467D" w:rsidRDefault="00B353A3" w:rsidP="00B353A3">
            <w:pPr>
              <w:pStyle w:val="TblHeadingLeft"/>
              <w:rPr>
                <w:rFonts w:ascii="Arial Narrow" w:hAnsi="Arial Narrow"/>
                <w:b w:val="0"/>
                <w:noProof w:val="0"/>
                <w:lang w:val="en-US"/>
              </w:rPr>
            </w:pPr>
            <w:r w:rsidRPr="009C467D">
              <w:rPr>
                <w:rFonts w:ascii="Arial Narrow" w:hAnsi="Arial Narrow"/>
                <w:b w:val="0"/>
                <w:noProof w:val="0"/>
                <w:lang w:val="en-US"/>
              </w:rPr>
              <w:t>below) based on the insulin glargine dose, until the patient reaches a target fasting SMPG of 80 to 100 mg/dL (4.4 to 5.6 mmol/L) while avoiding hypoglycemia episodes. Titration will be done at the scheduled weekly visits (V5, V7, V9, V11, V13, V15, V17, V19) plus at one additional weekly titration phone call visit to be scheduled between the weekly visits (V4, V6, V8, V10, V12, V14, V16, V18). The additional titration phone call visit should be scheduled to allow for at least two days in between successive visits (example: weekly visits to occur on Mondays and titration phone calls to occur on Thursdays or Fridays). In case the additional phone call is missed during the week, the titration should continue as per the originally planned schedule. Thereafter from V19 (</w:t>
            </w:r>
            <w:r w:rsidR="0007161F">
              <w:rPr>
                <w:rFonts w:ascii="Arial Narrow" w:hAnsi="Arial Narrow"/>
                <w:b w:val="0"/>
                <w:noProof w:val="0"/>
                <w:lang w:val="en-US"/>
              </w:rPr>
              <w:t xml:space="preserve">Week </w:t>
            </w:r>
            <w:r w:rsidRPr="009C467D">
              <w:rPr>
                <w:rFonts w:ascii="Arial Narrow" w:hAnsi="Arial Narrow"/>
                <w:b w:val="0"/>
                <w:noProof w:val="0"/>
                <w:lang w:val="en-US"/>
              </w:rPr>
              <w:t>8) until V28 (</w:t>
            </w:r>
            <w:r w:rsidR="0007161F">
              <w:rPr>
                <w:rFonts w:ascii="Arial Narrow" w:hAnsi="Arial Narrow"/>
                <w:b w:val="0"/>
                <w:noProof w:val="0"/>
                <w:lang w:val="en-US"/>
              </w:rPr>
              <w:t xml:space="preserve">Week </w:t>
            </w:r>
            <w:r w:rsidRPr="009C467D">
              <w:rPr>
                <w:rFonts w:ascii="Arial Narrow" w:hAnsi="Arial Narrow"/>
                <w:b w:val="0"/>
                <w:noProof w:val="0"/>
                <w:lang w:val="en-US"/>
              </w:rPr>
              <w:t>26), the dose will be adjusted as necessary to maintain this fasting SMPG target, with recommendation to evaluate the dose at least once a week.</w:t>
            </w:r>
          </w:p>
          <w:p w:rsidR="00B353A3" w:rsidRPr="009C467D" w:rsidRDefault="00B353A3" w:rsidP="00B353A3">
            <w:pPr>
              <w:pStyle w:val="TblHeadingLeft"/>
              <w:rPr>
                <w:rFonts w:ascii="Arial Narrow" w:hAnsi="Arial Narrow"/>
                <w:b w:val="0"/>
                <w:noProof w:val="0"/>
                <w:lang w:val="en-US"/>
              </w:rPr>
            </w:pPr>
            <w:r w:rsidRPr="009C467D">
              <w:rPr>
                <w:rFonts w:ascii="Arial Narrow" w:hAnsi="Arial Narrow"/>
                <w:b w:val="0"/>
                <w:noProof w:val="0"/>
                <w:lang w:val="en-US"/>
              </w:rPr>
              <w:t>Dose changes are based on the lowest fas</w:t>
            </w:r>
            <w:r w:rsidR="008D55CC">
              <w:rPr>
                <w:rFonts w:ascii="Arial Narrow" w:hAnsi="Arial Narrow"/>
                <w:b w:val="0"/>
                <w:noProof w:val="0"/>
                <w:lang w:val="en-US"/>
              </w:rPr>
              <w:t>ting SMPG value from the last 3 </w:t>
            </w:r>
            <w:r w:rsidRPr="009C467D">
              <w:rPr>
                <w:rFonts w:ascii="Arial Narrow" w:hAnsi="Arial Narrow"/>
                <w:b w:val="0"/>
                <w:noProof w:val="0"/>
                <w:lang w:val="en-US"/>
              </w:rPr>
              <w:t>measurements, which may include the value measured on the day of titration, measured by the patient using glucometers and accessories supplied by the sponsor.</w:t>
            </w:r>
          </w:p>
          <w:p w:rsidR="00B353A3" w:rsidRPr="009C467D" w:rsidRDefault="00B353A3" w:rsidP="00B353A3">
            <w:pPr>
              <w:pStyle w:val="TblHeadingLeft"/>
              <w:rPr>
                <w:rFonts w:ascii="Arial Narrow" w:hAnsi="Arial Narrow"/>
                <w:b w:val="0"/>
                <w:noProof w:val="0"/>
                <w:lang w:val="en-US"/>
              </w:rPr>
            </w:pPr>
            <w:r w:rsidRPr="009C467D">
              <w:rPr>
                <w:rFonts w:ascii="Arial Narrow" w:hAnsi="Arial Narrow"/>
                <w:b w:val="0"/>
                <w:noProof w:val="0"/>
                <w:lang w:val="en-US"/>
              </w:rPr>
              <w:t>Sound clinical judgment is to be exercised during titration. Investigators may adjust or stop titration, or temporarily reduce dose if they believe further titration would be hazardous at that time.</w:t>
            </w:r>
          </w:p>
          <w:p w:rsidR="00B353A3" w:rsidRPr="009C467D" w:rsidRDefault="00B353A3" w:rsidP="00B353A3">
            <w:pPr>
              <w:pStyle w:val="TblHeadingLeft"/>
              <w:rPr>
                <w:rFonts w:ascii="Arial Narrow" w:hAnsi="Arial Narrow"/>
                <w:b w:val="0"/>
                <w:noProof w:val="0"/>
                <w:lang w:val="en-US"/>
              </w:rPr>
            </w:pPr>
            <w:r w:rsidRPr="009C467D">
              <w:rPr>
                <w:rFonts w:ascii="Arial Narrow" w:hAnsi="Arial Narrow"/>
                <w:b w:val="0"/>
                <w:noProof w:val="0"/>
                <w:lang w:val="en-US"/>
              </w:rPr>
              <w:t xml:space="preserve">The total daily dose will be capped at 60 </w:t>
            </w:r>
            <w:r w:rsidRPr="00C93F9B">
              <w:rPr>
                <w:rFonts w:ascii="Arial Narrow" w:hAnsi="Arial Narrow"/>
                <w:b w:val="0"/>
                <w:noProof w:val="0"/>
                <w:lang w:val="en-US"/>
              </w:rPr>
              <w:t>U</w:t>
            </w:r>
            <w:r w:rsidRPr="009C467D">
              <w:rPr>
                <w:rFonts w:ascii="Arial Narrow" w:hAnsi="Arial Narrow"/>
                <w:b w:val="0"/>
                <w:noProof w:val="0"/>
                <w:lang w:val="en-US"/>
              </w:rPr>
              <w:t xml:space="preserve">. In case a dose &gt;60 </w:t>
            </w:r>
            <w:r w:rsidRPr="00C93F9B">
              <w:rPr>
                <w:rFonts w:ascii="Arial Narrow" w:hAnsi="Arial Narrow"/>
                <w:b w:val="0"/>
                <w:noProof w:val="0"/>
                <w:lang w:val="en-US"/>
              </w:rPr>
              <w:t>U</w:t>
            </w:r>
            <w:r w:rsidRPr="009C467D">
              <w:rPr>
                <w:rFonts w:ascii="Arial Narrow" w:hAnsi="Arial Narrow"/>
                <w:b w:val="0"/>
                <w:noProof w:val="0"/>
                <w:lang w:val="en-US"/>
              </w:rPr>
              <w:t xml:space="preserve"> is needed to maintain glucose parameters below </w:t>
            </w:r>
            <w:r w:rsidR="006475A0">
              <w:rPr>
                <w:rFonts w:ascii="Arial Narrow" w:hAnsi="Arial Narrow"/>
                <w:b w:val="0"/>
                <w:noProof w:val="0"/>
                <w:lang w:val="en-US"/>
              </w:rPr>
              <w:t xml:space="preserve">the </w:t>
            </w:r>
            <w:r w:rsidRPr="009C467D">
              <w:rPr>
                <w:rFonts w:ascii="Arial Narrow" w:hAnsi="Arial Narrow"/>
                <w:b w:val="0"/>
                <w:noProof w:val="0"/>
                <w:lang w:val="en-US"/>
              </w:rPr>
              <w:t xml:space="preserve">threshold value defined for rescue therapy, the dose should be kept at 60 </w:t>
            </w:r>
            <w:r w:rsidRPr="00C93F9B">
              <w:rPr>
                <w:rFonts w:ascii="Arial Narrow" w:hAnsi="Arial Narrow"/>
                <w:b w:val="0"/>
                <w:noProof w:val="0"/>
                <w:lang w:val="en-US"/>
              </w:rPr>
              <w:t>U</w:t>
            </w:r>
            <w:r w:rsidRPr="009C467D">
              <w:rPr>
                <w:rFonts w:ascii="Arial Narrow" w:hAnsi="Arial Narrow"/>
                <w:b w:val="0"/>
                <w:noProof w:val="0"/>
                <w:lang w:val="en-US"/>
              </w:rPr>
              <w:t xml:space="preserve"> and a rescue therapy should be introduced (see section on rescue therapy).</w:t>
            </w:r>
          </w:p>
          <w:p w:rsidR="0051645D" w:rsidRDefault="00B353A3" w:rsidP="00B353A3">
            <w:pPr>
              <w:pStyle w:val="TblHeadingLeft"/>
              <w:rPr>
                <w:rFonts w:ascii="Arial Narrow" w:hAnsi="Arial Narrow"/>
                <w:b w:val="0"/>
                <w:noProof w:val="0"/>
                <w:lang w:val="en-US"/>
              </w:rPr>
            </w:pPr>
            <w:r w:rsidRPr="009C467D">
              <w:rPr>
                <w:rFonts w:ascii="Arial Narrow" w:hAnsi="Arial Narrow"/>
                <w:b w:val="0"/>
                <w:noProof w:val="0"/>
                <w:lang w:val="en-US"/>
              </w:rPr>
              <w:t>All assessments planned at the end of treatment visit (V28) are to be performed before initiating rescue therapy.</w:t>
            </w:r>
          </w:p>
          <w:p w:rsidR="0086515D" w:rsidRDefault="0086515D" w:rsidP="00B353A3">
            <w:pPr>
              <w:pStyle w:val="TblHeadingLeft"/>
              <w:rPr>
                <w:rFonts w:ascii="Arial Narrow" w:hAnsi="Arial Narrow"/>
                <w:b w:val="0"/>
                <w:noProof w:val="0"/>
                <w:lang w:val="en-US"/>
              </w:rPr>
            </w:pPr>
          </w:p>
          <w:p w:rsidR="00C24D12" w:rsidRPr="009C467D" w:rsidRDefault="00C24D12" w:rsidP="00B353A3">
            <w:pPr>
              <w:pStyle w:val="TblHeadingLeft"/>
              <w:rPr>
                <w:rFonts w:ascii="Arial Narrow" w:hAnsi="Arial Narrow"/>
                <w:b w:val="0"/>
                <w:noProof w:val="0"/>
                <w:lang w:val="en-US"/>
              </w:rPr>
            </w:pPr>
          </w:p>
          <w:p w:rsidR="00E735BC" w:rsidRPr="00E735BC" w:rsidRDefault="00E735BC" w:rsidP="00C24D12">
            <w:pPr>
              <w:pStyle w:val="TblTextCenter"/>
              <w:keepNext/>
              <w:keepLines/>
              <w:rPr>
                <w:b/>
                <w:sz w:val="18"/>
                <w:szCs w:val="18"/>
              </w:rPr>
            </w:pPr>
            <w:r w:rsidRPr="001B6C83">
              <w:rPr>
                <w:b/>
                <w:sz w:val="18"/>
                <w:szCs w:val="18"/>
              </w:rPr>
              <w:lastRenderedPageBreak/>
              <w:t>Table 1</w:t>
            </w:r>
            <w:r w:rsidRPr="001B6C83">
              <w:rPr>
                <w:b/>
              </w:rPr>
              <w:t xml:space="preserve"> - </w:t>
            </w:r>
            <w:r w:rsidRPr="001B6C83">
              <w:rPr>
                <w:b/>
                <w:sz w:val="18"/>
                <w:szCs w:val="18"/>
                <w:lang w:eastAsia="ja-JP"/>
              </w:rPr>
              <w:t xml:space="preserve">Dose adjustment algorithm for </w:t>
            </w:r>
            <w:r w:rsidRPr="001B6C83">
              <w:rPr>
                <w:b/>
                <w:sz w:val="18"/>
                <w:szCs w:val="18"/>
                <w:lang w:eastAsia="ja-JP"/>
              </w:rPr>
              <w:br/>
            </w:r>
            <w:r w:rsidRPr="001B6C83">
              <w:rPr>
                <w:b/>
                <w:sz w:val="18"/>
                <w:szCs w:val="18"/>
              </w:rPr>
              <w:t>Insulin glargine/ lixisenatide fixed ratio combination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4207"/>
              <w:gridCol w:w="1448"/>
            </w:tblGrid>
            <w:tr w:rsidR="00E735BC" w:rsidRPr="001B6C83" w:rsidTr="00D75740">
              <w:trPr>
                <w:trHeight w:val="410"/>
                <w:tblHeader/>
              </w:trPr>
              <w:tc>
                <w:tcPr>
                  <w:tcW w:w="3720" w:type="pct"/>
                  <w:tcMar>
                    <w:top w:w="0" w:type="dxa"/>
                    <w:left w:w="108" w:type="dxa"/>
                    <w:bottom w:w="0" w:type="dxa"/>
                    <w:right w:w="108" w:type="dxa"/>
                  </w:tcMar>
                  <w:hideMark/>
                </w:tcPr>
                <w:p w:rsidR="00E735BC" w:rsidRDefault="00E735BC" w:rsidP="00C24D12">
                  <w:pPr>
                    <w:pStyle w:val="TblTextCenter"/>
                    <w:keepLines/>
                    <w:spacing w:before="0" w:after="0"/>
                    <w:rPr>
                      <w:b/>
                      <w:sz w:val="18"/>
                      <w:szCs w:val="18"/>
                      <w:lang w:eastAsia="ja-JP"/>
                    </w:rPr>
                  </w:pPr>
                  <w:r w:rsidRPr="00EF74E8">
                    <w:rPr>
                      <w:b/>
                      <w:sz w:val="18"/>
                      <w:szCs w:val="18"/>
                      <w:lang w:eastAsia="ja-JP"/>
                    </w:rPr>
                    <w:t>The lowest</w:t>
                  </w:r>
                  <w:r w:rsidRPr="001B6C83">
                    <w:rPr>
                      <w:b/>
                      <w:sz w:val="18"/>
                      <w:szCs w:val="18"/>
                      <w:lang w:eastAsia="ja-JP"/>
                    </w:rPr>
                    <w:t xml:space="preserve"> fasting SMPG value </w:t>
                  </w:r>
                  <w:r w:rsidRPr="00654746">
                    <w:rPr>
                      <w:b/>
                      <w:sz w:val="18"/>
                      <w:szCs w:val="18"/>
                      <w:lang w:eastAsia="ja-JP"/>
                    </w:rPr>
                    <w:t>from the last 3</w:t>
                  </w:r>
                  <w:r>
                    <w:rPr>
                      <w:b/>
                      <w:sz w:val="18"/>
                      <w:szCs w:val="18"/>
                      <w:lang w:eastAsia="ja-JP"/>
                    </w:rPr>
                    <w:t> </w:t>
                  </w:r>
                  <w:r w:rsidRPr="00654746">
                    <w:rPr>
                      <w:b/>
                      <w:sz w:val="18"/>
                      <w:szCs w:val="18"/>
                      <w:lang w:eastAsia="ja-JP"/>
                    </w:rPr>
                    <w:t>measurements,</w:t>
                  </w:r>
                </w:p>
                <w:p w:rsidR="00E735BC" w:rsidRPr="001B6C83" w:rsidRDefault="00E735BC" w:rsidP="00C24D12">
                  <w:pPr>
                    <w:pStyle w:val="TblTextCenter"/>
                    <w:keepLines/>
                    <w:spacing w:before="0" w:after="0"/>
                    <w:rPr>
                      <w:b/>
                      <w:sz w:val="18"/>
                      <w:szCs w:val="18"/>
                      <w:lang w:eastAsia="ja-JP"/>
                    </w:rPr>
                  </w:pPr>
                  <w:r w:rsidRPr="00C21406">
                    <w:rPr>
                      <w:b/>
                      <w:sz w:val="18"/>
                      <w:szCs w:val="18"/>
                      <w:lang w:eastAsia="ja-JP"/>
                    </w:rPr>
                    <w:t>which may include the value measured on the day of titration</w:t>
                  </w:r>
                </w:p>
              </w:tc>
              <w:tc>
                <w:tcPr>
                  <w:tcW w:w="1280" w:type="pct"/>
                  <w:tcMar>
                    <w:top w:w="0" w:type="dxa"/>
                    <w:left w:w="108" w:type="dxa"/>
                    <w:bottom w:w="0" w:type="dxa"/>
                    <w:right w:w="108" w:type="dxa"/>
                  </w:tcMar>
                  <w:hideMark/>
                </w:tcPr>
                <w:p w:rsidR="00E735BC" w:rsidRPr="001B6C83" w:rsidRDefault="00CA36EA" w:rsidP="00C24D12">
                  <w:pPr>
                    <w:pStyle w:val="TblTextCenter"/>
                    <w:keepLines/>
                    <w:spacing w:before="0" w:after="0"/>
                    <w:rPr>
                      <w:b/>
                      <w:sz w:val="18"/>
                      <w:szCs w:val="18"/>
                      <w:lang w:eastAsia="ja-JP"/>
                    </w:rPr>
                  </w:pPr>
                  <w:r w:rsidRPr="001153D4">
                    <w:rPr>
                      <w:b/>
                      <w:sz w:val="18"/>
                      <w:szCs w:val="18"/>
                      <w:lang w:eastAsia="ja-JP"/>
                    </w:rPr>
                    <w:t>FRC</w:t>
                  </w:r>
                  <w:r>
                    <w:rPr>
                      <w:b/>
                      <w:sz w:val="18"/>
                      <w:szCs w:val="18"/>
                      <w:lang w:eastAsia="ja-JP"/>
                    </w:rPr>
                    <w:t xml:space="preserve"> d</w:t>
                  </w:r>
                  <w:r w:rsidR="00E735BC" w:rsidRPr="001B6C83">
                    <w:rPr>
                      <w:b/>
                      <w:sz w:val="18"/>
                      <w:szCs w:val="18"/>
                      <w:lang w:eastAsia="ja-JP"/>
                    </w:rPr>
                    <w:t>ose adjustments (</w:t>
                  </w:r>
                  <w:r w:rsidR="00E735BC" w:rsidRPr="00C93F9B">
                    <w:rPr>
                      <w:b/>
                      <w:sz w:val="18"/>
                      <w:szCs w:val="18"/>
                      <w:lang w:eastAsia="ja-JP"/>
                    </w:rPr>
                    <w:t>U</w:t>
                  </w:r>
                  <w:r w:rsidR="00E735BC" w:rsidRPr="001B6C83">
                    <w:rPr>
                      <w:b/>
                      <w:sz w:val="18"/>
                      <w:szCs w:val="18"/>
                      <w:lang w:eastAsia="ja-JP"/>
                    </w:rPr>
                    <w:t>/day)</w:t>
                  </w:r>
                </w:p>
              </w:tc>
            </w:tr>
            <w:tr w:rsidR="00E735BC" w:rsidRPr="001B6C83" w:rsidTr="00D75740">
              <w:tc>
                <w:tcPr>
                  <w:tcW w:w="3720" w:type="pct"/>
                  <w:tcMar>
                    <w:top w:w="0" w:type="dxa"/>
                    <w:left w:w="108" w:type="dxa"/>
                    <w:bottom w:w="0" w:type="dxa"/>
                    <w:right w:w="108" w:type="dxa"/>
                  </w:tcMar>
                  <w:hideMark/>
                </w:tcPr>
                <w:p w:rsidR="00E735BC" w:rsidRPr="001B6C83" w:rsidRDefault="00E735BC" w:rsidP="00D75740">
                  <w:pPr>
                    <w:pStyle w:val="TblTextLeft"/>
                    <w:spacing w:before="0" w:after="0"/>
                    <w:rPr>
                      <w:sz w:val="18"/>
                      <w:szCs w:val="18"/>
                      <w:lang w:eastAsia="zh-CN"/>
                    </w:rPr>
                  </w:pPr>
                  <w:r w:rsidRPr="001B6C83">
                    <w:rPr>
                      <w:sz w:val="18"/>
                      <w:szCs w:val="18"/>
                      <w:lang w:eastAsia="zh-CN"/>
                    </w:rPr>
                    <w:t>&gt;140</w:t>
                  </w:r>
                  <w:r>
                    <w:rPr>
                      <w:sz w:val="18"/>
                      <w:szCs w:val="18"/>
                      <w:lang w:eastAsia="zh-CN"/>
                    </w:rPr>
                    <w:t> </w:t>
                  </w:r>
                  <w:r w:rsidRPr="001B6C83">
                    <w:rPr>
                      <w:sz w:val="18"/>
                      <w:szCs w:val="18"/>
                      <w:lang w:eastAsia="zh-CN"/>
                    </w:rPr>
                    <w:t>mg/dL (&gt;7.8</w:t>
                  </w:r>
                  <w:r>
                    <w:rPr>
                      <w:sz w:val="18"/>
                      <w:szCs w:val="18"/>
                      <w:lang w:eastAsia="zh-CN"/>
                    </w:rPr>
                    <w:t> </w:t>
                  </w:r>
                  <w:r w:rsidRPr="001B6C83">
                    <w:rPr>
                      <w:sz w:val="18"/>
                      <w:szCs w:val="18"/>
                      <w:lang w:eastAsia="zh-CN"/>
                    </w:rPr>
                    <w:t>mmol/L)</w:t>
                  </w:r>
                </w:p>
              </w:tc>
              <w:tc>
                <w:tcPr>
                  <w:tcW w:w="1280" w:type="pct"/>
                  <w:tcMar>
                    <w:top w:w="0" w:type="dxa"/>
                    <w:left w:w="108" w:type="dxa"/>
                    <w:bottom w:w="0" w:type="dxa"/>
                    <w:right w:w="108" w:type="dxa"/>
                  </w:tcMar>
                  <w:hideMark/>
                </w:tcPr>
                <w:p w:rsidR="00E735BC" w:rsidRPr="001B6C83" w:rsidRDefault="00E735BC" w:rsidP="00D75740">
                  <w:pPr>
                    <w:pStyle w:val="TblTextLeft"/>
                    <w:spacing w:before="0" w:after="0"/>
                    <w:rPr>
                      <w:sz w:val="18"/>
                      <w:szCs w:val="18"/>
                      <w:lang w:eastAsia="zh-CN"/>
                    </w:rPr>
                  </w:pPr>
                  <w:r w:rsidRPr="001B6C83">
                    <w:rPr>
                      <w:sz w:val="18"/>
                      <w:szCs w:val="18"/>
                      <w:lang w:eastAsia="zh-CN"/>
                    </w:rPr>
                    <w:t>+4</w:t>
                  </w:r>
                </w:p>
              </w:tc>
            </w:tr>
            <w:tr w:rsidR="00E735BC" w:rsidRPr="001B6C83" w:rsidTr="00D75740">
              <w:tc>
                <w:tcPr>
                  <w:tcW w:w="3720" w:type="pct"/>
                  <w:tcMar>
                    <w:top w:w="0" w:type="dxa"/>
                    <w:left w:w="108" w:type="dxa"/>
                    <w:bottom w:w="0" w:type="dxa"/>
                    <w:right w:w="108" w:type="dxa"/>
                  </w:tcMar>
                  <w:hideMark/>
                </w:tcPr>
                <w:p w:rsidR="00E735BC" w:rsidRPr="001B6C83" w:rsidRDefault="00E735BC" w:rsidP="00D75740">
                  <w:pPr>
                    <w:pStyle w:val="TblTextLeft"/>
                    <w:spacing w:before="0" w:after="0"/>
                    <w:rPr>
                      <w:sz w:val="18"/>
                      <w:szCs w:val="18"/>
                      <w:lang w:eastAsia="zh-CN"/>
                    </w:rPr>
                  </w:pPr>
                  <w:r w:rsidRPr="001B6C83">
                    <w:rPr>
                      <w:sz w:val="18"/>
                      <w:szCs w:val="18"/>
                      <w:lang w:eastAsia="zh-CN"/>
                    </w:rPr>
                    <w:t>&gt;100 and ≤140</w:t>
                  </w:r>
                  <w:r>
                    <w:rPr>
                      <w:sz w:val="18"/>
                      <w:szCs w:val="18"/>
                      <w:lang w:eastAsia="zh-CN"/>
                    </w:rPr>
                    <w:t> </w:t>
                  </w:r>
                  <w:r w:rsidRPr="001B6C83">
                    <w:rPr>
                      <w:sz w:val="18"/>
                      <w:szCs w:val="18"/>
                      <w:lang w:eastAsia="zh-CN"/>
                    </w:rPr>
                    <w:t>mg/dL (&gt;5.6 and ≤7.8</w:t>
                  </w:r>
                  <w:r>
                    <w:rPr>
                      <w:sz w:val="18"/>
                      <w:szCs w:val="18"/>
                      <w:lang w:eastAsia="zh-CN"/>
                    </w:rPr>
                    <w:t> </w:t>
                  </w:r>
                  <w:r w:rsidRPr="001B6C83">
                    <w:rPr>
                      <w:sz w:val="18"/>
                      <w:szCs w:val="18"/>
                      <w:lang w:eastAsia="zh-CN"/>
                    </w:rPr>
                    <w:t>mmol/L)</w:t>
                  </w:r>
                </w:p>
              </w:tc>
              <w:tc>
                <w:tcPr>
                  <w:tcW w:w="1280" w:type="pct"/>
                  <w:tcMar>
                    <w:top w:w="0" w:type="dxa"/>
                    <w:left w:w="108" w:type="dxa"/>
                    <w:bottom w:w="0" w:type="dxa"/>
                    <w:right w:w="108" w:type="dxa"/>
                  </w:tcMar>
                  <w:hideMark/>
                </w:tcPr>
                <w:p w:rsidR="00E735BC" w:rsidRPr="001B6C83" w:rsidRDefault="00E735BC" w:rsidP="00D75740">
                  <w:pPr>
                    <w:pStyle w:val="TblTextLeft"/>
                    <w:spacing w:before="0" w:after="0"/>
                    <w:rPr>
                      <w:sz w:val="18"/>
                      <w:szCs w:val="18"/>
                      <w:lang w:eastAsia="zh-CN"/>
                    </w:rPr>
                  </w:pPr>
                  <w:r w:rsidRPr="001B6C83">
                    <w:rPr>
                      <w:sz w:val="18"/>
                      <w:szCs w:val="18"/>
                      <w:lang w:eastAsia="zh-CN"/>
                    </w:rPr>
                    <w:t>+2</w:t>
                  </w:r>
                </w:p>
              </w:tc>
            </w:tr>
            <w:tr w:rsidR="00E735BC" w:rsidRPr="00836C47" w:rsidTr="00D75740">
              <w:tc>
                <w:tcPr>
                  <w:tcW w:w="3720" w:type="pct"/>
                  <w:tcMar>
                    <w:top w:w="0" w:type="dxa"/>
                    <w:left w:w="108" w:type="dxa"/>
                    <w:bottom w:w="0" w:type="dxa"/>
                    <w:right w:w="108" w:type="dxa"/>
                  </w:tcMar>
                  <w:hideMark/>
                </w:tcPr>
                <w:p w:rsidR="00E735BC" w:rsidRPr="001B6C83" w:rsidRDefault="00E735BC" w:rsidP="00D75740">
                  <w:pPr>
                    <w:pStyle w:val="TblTextLeft"/>
                    <w:spacing w:before="0" w:after="0"/>
                    <w:rPr>
                      <w:sz w:val="18"/>
                      <w:szCs w:val="18"/>
                      <w:lang w:eastAsia="zh-CN"/>
                    </w:rPr>
                  </w:pPr>
                  <w:r w:rsidRPr="001B6C83">
                    <w:rPr>
                      <w:b/>
                      <w:sz w:val="18"/>
                      <w:szCs w:val="18"/>
                      <w:lang w:eastAsia="zh-CN"/>
                    </w:rPr>
                    <w:t>Glycemic target</w:t>
                  </w:r>
                  <w:r>
                    <w:rPr>
                      <w:sz w:val="18"/>
                      <w:szCs w:val="18"/>
                      <w:lang w:eastAsia="zh-CN"/>
                    </w:rPr>
                    <w:t>: 80 to</w:t>
                  </w:r>
                  <w:r w:rsidRPr="001B6C83">
                    <w:rPr>
                      <w:sz w:val="18"/>
                      <w:szCs w:val="18"/>
                      <w:lang w:eastAsia="zh-CN"/>
                    </w:rPr>
                    <w:t xml:space="preserve"> 100</w:t>
                  </w:r>
                  <w:r>
                    <w:rPr>
                      <w:sz w:val="18"/>
                      <w:szCs w:val="18"/>
                      <w:lang w:eastAsia="zh-CN"/>
                    </w:rPr>
                    <w:t> </w:t>
                  </w:r>
                  <w:r w:rsidRPr="001B6C83">
                    <w:rPr>
                      <w:sz w:val="18"/>
                      <w:szCs w:val="18"/>
                      <w:lang w:eastAsia="zh-CN"/>
                    </w:rPr>
                    <w:t>mg/dL (4.4 and 5.6 mmol/L), inclusive</w:t>
                  </w:r>
                </w:p>
              </w:tc>
              <w:tc>
                <w:tcPr>
                  <w:tcW w:w="1280" w:type="pct"/>
                  <w:tcMar>
                    <w:top w:w="0" w:type="dxa"/>
                    <w:left w:w="108" w:type="dxa"/>
                    <w:bottom w:w="0" w:type="dxa"/>
                    <w:right w:w="108" w:type="dxa"/>
                  </w:tcMar>
                  <w:hideMark/>
                </w:tcPr>
                <w:p w:rsidR="00E735BC" w:rsidRPr="00F06E93" w:rsidRDefault="00E735BC" w:rsidP="00D75740">
                  <w:pPr>
                    <w:pStyle w:val="TblTextLeft"/>
                    <w:spacing w:before="0" w:after="0"/>
                    <w:rPr>
                      <w:sz w:val="18"/>
                      <w:szCs w:val="18"/>
                      <w:lang w:eastAsia="zh-CN"/>
                    </w:rPr>
                  </w:pPr>
                  <w:r w:rsidRPr="001B6C83">
                    <w:rPr>
                      <w:sz w:val="18"/>
                      <w:szCs w:val="18"/>
                      <w:lang w:eastAsia="zh-CN"/>
                    </w:rPr>
                    <w:t>No change</w:t>
                  </w:r>
                </w:p>
              </w:tc>
            </w:tr>
            <w:tr w:rsidR="00E735BC" w:rsidRPr="00836C47" w:rsidTr="00D75740">
              <w:tc>
                <w:tcPr>
                  <w:tcW w:w="3720" w:type="pct"/>
                  <w:tcMar>
                    <w:top w:w="0" w:type="dxa"/>
                    <w:left w:w="108" w:type="dxa"/>
                    <w:bottom w:w="0" w:type="dxa"/>
                    <w:right w:w="108" w:type="dxa"/>
                  </w:tcMar>
                  <w:hideMark/>
                </w:tcPr>
                <w:p w:rsidR="00E735BC" w:rsidRPr="00F06E93" w:rsidRDefault="00E735BC" w:rsidP="00D75740">
                  <w:pPr>
                    <w:pStyle w:val="TblTextLeft"/>
                    <w:spacing w:before="0" w:after="0"/>
                    <w:rPr>
                      <w:sz w:val="18"/>
                      <w:szCs w:val="18"/>
                      <w:lang w:eastAsia="zh-CN"/>
                    </w:rPr>
                  </w:pPr>
                  <w:r w:rsidRPr="00F06E93">
                    <w:rPr>
                      <w:sz w:val="18"/>
                      <w:szCs w:val="18"/>
                      <w:lang w:eastAsia="zh-CN"/>
                    </w:rPr>
                    <w:t>≥60 and &lt;80</w:t>
                  </w:r>
                  <w:r>
                    <w:rPr>
                      <w:sz w:val="18"/>
                      <w:szCs w:val="18"/>
                      <w:lang w:eastAsia="zh-CN"/>
                    </w:rPr>
                    <w:t> </w:t>
                  </w:r>
                  <w:r w:rsidRPr="00F06E93">
                    <w:rPr>
                      <w:sz w:val="18"/>
                      <w:szCs w:val="18"/>
                      <w:lang w:eastAsia="zh-CN"/>
                    </w:rPr>
                    <w:t>mg/dL (≥3.3 and &lt;4.4</w:t>
                  </w:r>
                  <w:r>
                    <w:rPr>
                      <w:sz w:val="18"/>
                      <w:szCs w:val="18"/>
                      <w:lang w:eastAsia="zh-CN"/>
                    </w:rPr>
                    <w:t> </w:t>
                  </w:r>
                  <w:r w:rsidRPr="00F06E93">
                    <w:rPr>
                      <w:sz w:val="18"/>
                      <w:szCs w:val="18"/>
                      <w:lang w:eastAsia="zh-CN"/>
                    </w:rPr>
                    <w:t>mmol/L)</w:t>
                  </w:r>
                </w:p>
              </w:tc>
              <w:tc>
                <w:tcPr>
                  <w:tcW w:w="1280" w:type="pct"/>
                  <w:tcMar>
                    <w:top w:w="0" w:type="dxa"/>
                    <w:left w:w="108" w:type="dxa"/>
                    <w:bottom w:w="0" w:type="dxa"/>
                    <w:right w:w="108" w:type="dxa"/>
                  </w:tcMar>
                  <w:hideMark/>
                </w:tcPr>
                <w:p w:rsidR="00E735BC" w:rsidRPr="00F06E93" w:rsidRDefault="00E735BC" w:rsidP="00D75740">
                  <w:pPr>
                    <w:pStyle w:val="TblTextLeft"/>
                    <w:spacing w:before="0" w:after="0"/>
                    <w:rPr>
                      <w:sz w:val="18"/>
                      <w:szCs w:val="18"/>
                      <w:lang w:eastAsia="zh-CN"/>
                    </w:rPr>
                  </w:pPr>
                  <w:r w:rsidRPr="00F06E93">
                    <w:rPr>
                      <w:sz w:val="18"/>
                      <w:szCs w:val="18"/>
                      <w:lang w:eastAsia="zh-CN"/>
                    </w:rPr>
                    <w:t>-2</w:t>
                  </w:r>
                </w:p>
              </w:tc>
            </w:tr>
            <w:tr w:rsidR="00E735BC" w:rsidRPr="00836C47" w:rsidTr="00D75740">
              <w:tc>
                <w:tcPr>
                  <w:tcW w:w="3720" w:type="pct"/>
                  <w:tcMar>
                    <w:top w:w="0" w:type="dxa"/>
                    <w:left w:w="108" w:type="dxa"/>
                    <w:bottom w:w="0" w:type="dxa"/>
                    <w:right w:w="108" w:type="dxa"/>
                  </w:tcMar>
                  <w:hideMark/>
                </w:tcPr>
                <w:p w:rsidR="00E735BC" w:rsidRPr="00F06E93" w:rsidRDefault="00E735BC" w:rsidP="00D75740">
                  <w:pPr>
                    <w:pStyle w:val="TblTextLeft"/>
                    <w:spacing w:before="0" w:after="0"/>
                    <w:rPr>
                      <w:sz w:val="18"/>
                      <w:szCs w:val="18"/>
                      <w:lang w:eastAsia="zh-CN"/>
                    </w:rPr>
                  </w:pPr>
                  <w:r w:rsidRPr="00F06E93">
                    <w:rPr>
                      <w:sz w:val="18"/>
                      <w:szCs w:val="18"/>
                      <w:lang w:eastAsia="zh-CN"/>
                    </w:rPr>
                    <w:t>&lt;60</w:t>
                  </w:r>
                  <w:r>
                    <w:rPr>
                      <w:sz w:val="18"/>
                      <w:szCs w:val="18"/>
                      <w:lang w:eastAsia="zh-CN"/>
                    </w:rPr>
                    <w:t> </w:t>
                  </w:r>
                  <w:r w:rsidRPr="00F06E93">
                    <w:rPr>
                      <w:sz w:val="18"/>
                      <w:szCs w:val="18"/>
                      <w:lang w:eastAsia="zh-CN"/>
                    </w:rPr>
                    <w:t>mg/dL (&lt;3.3</w:t>
                  </w:r>
                  <w:r>
                    <w:rPr>
                      <w:sz w:val="18"/>
                      <w:szCs w:val="18"/>
                      <w:lang w:eastAsia="zh-CN"/>
                    </w:rPr>
                    <w:t> </w:t>
                  </w:r>
                  <w:r w:rsidRPr="00F06E93">
                    <w:rPr>
                      <w:sz w:val="18"/>
                      <w:szCs w:val="18"/>
                      <w:lang w:eastAsia="zh-CN"/>
                    </w:rPr>
                    <w:t>mmol/L) or occurrence of 2 (or more) symptomatic hypoglycemic episodes or one severe hypoglycemic episode (requiring assistance) documented in the preceding week.</w:t>
                  </w:r>
                </w:p>
              </w:tc>
              <w:tc>
                <w:tcPr>
                  <w:tcW w:w="1280" w:type="pct"/>
                  <w:tcMar>
                    <w:top w:w="0" w:type="dxa"/>
                    <w:left w:w="108" w:type="dxa"/>
                    <w:bottom w:w="0" w:type="dxa"/>
                    <w:right w:w="108" w:type="dxa"/>
                  </w:tcMar>
                  <w:hideMark/>
                </w:tcPr>
                <w:p w:rsidR="00E735BC" w:rsidRPr="00F06E93" w:rsidRDefault="00E735BC" w:rsidP="00D75740">
                  <w:pPr>
                    <w:pStyle w:val="TblTextLeft"/>
                    <w:spacing w:before="0" w:after="0"/>
                    <w:rPr>
                      <w:sz w:val="18"/>
                      <w:szCs w:val="18"/>
                      <w:lang w:eastAsia="zh-CN"/>
                    </w:rPr>
                  </w:pPr>
                  <w:r w:rsidRPr="00F06E93">
                    <w:rPr>
                      <w:sz w:val="18"/>
                      <w:szCs w:val="18"/>
                      <w:lang w:eastAsia="zh-CN"/>
                    </w:rPr>
                    <w:t xml:space="preserve">-2 to -4 or at the discretion of the </w:t>
                  </w:r>
                  <w:r w:rsidRPr="0074346A">
                    <w:rPr>
                      <w:sz w:val="18"/>
                      <w:szCs w:val="18"/>
                      <w:lang w:eastAsia="zh-CN"/>
                    </w:rPr>
                    <w:t>Investigator</w:t>
                  </w:r>
                  <w:r w:rsidRPr="00F06E93">
                    <w:rPr>
                      <w:sz w:val="18"/>
                      <w:szCs w:val="18"/>
                      <w:lang w:eastAsia="zh-CN"/>
                    </w:rPr>
                    <w:t xml:space="preserve"> or designee</w:t>
                  </w:r>
                </w:p>
              </w:tc>
            </w:tr>
          </w:tbl>
          <w:p w:rsidR="00B353A3" w:rsidRPr="00DE359D" w:rsidRDefault="006501BD" w:rsidP="00B353A3">
            <w:pPr>
              <w:pStyle w:val="TblHeadingLeft"/>
              <w:rPr>
                <w:noProof w:val="0"/>
                <w:lang w:val="en-US"/>
              </w:rPr>
            </w:pPr>
            <w:r>
              <w:rPr>
                <w:noProof w:val="0"/>
                <w:lang w:val="en-US"/>
              </w:rPr>
              <w:br/>
            </w:r>
            <w:r w:rsidR="00B353A3" w:rsidRPr="00DE359D">
              <w:rPr>
                <w:noProof w:val="0"/>
                <w:lang w:val="en-US"/>
              </w:rPr>
              <w:t xml:space="preserve">Choice of </w:t>
            </w:r>
            <w:r w:rsidR="002B4D03" w:rsidRPr="006A3BDF">
              <w:rPr>
                <w:noProof w:val="0"/>
                <w:lang w:val="en-US"/>
              </w:rPr>
              <w:t>P</w:t>
            </w:r>
            <w:r w:rsidR="00B353A3" w:rsidRPr="00DE359D">
              <w:rPr>
                <w:noProof w:val="0"/>
                <w:lang w:val="en-US"/>
              </w:rPr>
              <w:t xml:space="preserve">each </w:t>
            </w:r>
            <w:r w:rsidR="006A3BDF">
              <w:rPr>
                <w:noProof w:val="0"/>
                <w:lang w:val="en-US"/>
              </w:rPr>
              <w:t>P</w:t>
            </w:r>
            <w:r w:rsidR="00B353A3" w:rsidRPr="00DE359D">
              <w:rPr>
                <w:noProof w:val="0"/>
                <w:lang w:val="en-US"/>
              </w:rPr>
              <w:t xml:space="preserve">en or </w:t>
            </w:r>
            <w:r w:rsidR="002B4D03" w:rsidRPr="006A3BDF">
              <w:rPr>
                <w:noProof w:val="0"/>
                <w:lang w:val="en-US"/>
              </w:rPr>
              <w:t>O</w:t>
            </w:r>
            <w:r w:rsidR="00B353A3" w:rsidRPr="00DE359D">
              <w:rPr>
                <w:noProof w:val="0"/>
                <w:lang w:val="en-US"/>
              </w:rPr>
              <w:t xml:space="preserve">live </w:t>
            </w:r>
            <w:r w:rsidR="006A3BDF">
              <w:rPr>
                <w:noProof w:val="0"/>
                <w:lang w:val="en-US"/>
              </w:rPr>
              <w:t>P</w:t>
            </w:r>
            <w:r w:rsidR="00B353A3" w:rsidRPr="00DE359D">
              <w:rPr>
                <w:noProof w:val="0"/>
                <w:lang w:val="en-US"/>
              </w:rPr>
              <w:t>en for use during the randomized treatment period</w:t>
            </w:r>
          </w:p>
          <w:p w:rsidR="00A10DBA" w:rsidRPr="001153D4" w:rsidRDefault="00A10DBA" w:rsidP="00CC67B4">
            <w:pPr>
              <w:pStyle w:val="ListBulletLevel1Synospis"/>
              <w:numPr>
                <w:ilvl w:val="0"/>
                <w:numId w:val="30"/>
              </w:numPr>
            </w:pPr>
            <w:r w:rsidRPr="001153D4">
              <w:t xml:space="preserve">The FRC 10 to 40 Peach Pen has a fixed ratio of 2 units insulin glargine to 1 </w:t>
            </w:r>
            <w:r w:rsidRPr="001153D4">
              <w:rPr>
                <w:rFonts w:ascii="Times New Roman" w:hAnsi="Times New Roman"/>
              </w:rPr>
              <w:t>μ</w:t>
            </w:r>
            <w:r w:rsidRPr="001153D4">
              <w:t xml:space="preserve">g lixisenatide. The FRC 10 to 40 pen allows administration of daily combination doses between 10 </w:t>
            </w:r>
            <w:r w:rsidR="00E342DB" w:rsidRPr="001153D4">
              <w:t>U</w:t>
            </w:r>
            <w:r w:rsidRPr="001153D4">
              <w:t xml:space="preserve"> of FRC (10</w:t>
            </w:r>
            <w:r w:rsidR="008D55CC">
              <w:t> </w:t>
            </w:r>
            <w:r w:rsidRPr="001153D4">
              <w:t xml:space="preserve">units of insulin glargine/5 </w:t>
            </w:r>
            <w:r w:rsidRPr="001153D4">
              <w:rPr>
                <w:rFonts w:ascii="Times New Roman" w:hAnsi="Times New Roman"/>
              </w:rPr>
              <w:t>μ</w:t>
            </w:r>
            <w:r w:rsidRPr="001153D4">
              <w:t xml:space="preserve">g lixisenatide) and 40 </w:t>
            </w:r>
            <w:r w:rsidR="00E342DB" w:rsidRPr="001153D4">
              <w:t>U</w:t>
            </w:r>
            <w:r w:rsidRPr="001153D4">
              <w:t xml:space="preserve"> of FRC (40</w:t>
            </w:r>
            <w:r w:rsidR="008D55CC">
              <w:t> </w:t>
            </w:r>
            <w:r w:rsidRPr="001153D4">
              <w:t xml:space="preserve">units of insulin glargine/20 </w:t>
            </w:r>
            <w:r w:rsidRPr="001153D4">
              <w:rPr>
                <w:rFonts w:ascii="Times New Roman" w:hAnsi="Times New Roman"/>
              </w:rPr>
              <w:t>μ</w:t>
            </w:r>
            <w:r w:rsidRPr="001153D4">
              <w:t xml:space="preserve">g lixisenatide). </w:t>
            </w:r>
          </w:p>
          <w:p w:rsidR="00A10DBA" w:rsidRPr="001153D4" w:rsidRDefault="00A10DBA" w:rsidP="00CC67B4">
            <w:pPr>
              <w:pStyle w:val="ListBulletLevel1Synospis"/>
              <w:numPr>
                <w:ilvl w:val="0"/>
                <w:numId w:val="30"/>
              </w:numPr>
            </w:pPr>
            <w:r w:rsidRPr="001153D4">
              <w:t xml:space="preserve">The FRC 30 to 60 Olive Pen has a fixed ratio of 3 units insulin glargine to 1 </w:t>
            </w:r>
            <w:r w:rsidRPr="001153D4">
              <w:rPr>
                <w:rFonts w:ascii="Times New Roman" w:hAnsi="Times New Roman"/>
              </w:rPr>
              <w:t>μ</w:t>
            </w:r>
            <w:r w:rsidRPr="001153D4">
              <w:t xml:space="preserve">g lixisenatide. The FRC 30 to 60 pen allows administration of daily combination doses between 30 </w:t>
            </w:r>
            <w:r w:rsidR="00E342DB" w:rsidRPr="001153D4">
              <w:t>U</w:t>
            </w:r>
            <w:r w:rsidRPr="001153D4">
              <w:t xml:space="preserve"> of FRC (30</w:t>
            </w:r>
            <w:r w:rsidR="008D55CC">
              <w:t> </w:t>
            </w:r>
            <w:r w:rsidRPr="001153D4">
              <w:t>units insulin glargine/10</w:t>
            </w:r>
            <w:r w:rsidR="002B6B5B" w:rsidRPr="001153D4">
              <w:t xml:space="preserve"> </w:t>
            </w:r>
            <w:r w:rsidRPr="001153D4">
              <w:rPr>
                <w:rFonts w:ascii="Times New Roman" w:hAnsi="Times New Roman"/>
              </w:rPr>
              <w:t>μ</w:t>
            </w:r>
            <w:r w:rsidRPr="001153D4">
              <w:t xml:space="preserve">g lixisenatide) and 60 </w:t>
            </w:r>
            <w:r w:rsidR="00E342DB" w:rsidRPr="001153D4">
              <w:t>U</w:t>
            </w:r>
            <w:r w:rsidRPr="001153D4">
              <w:t xml:space="preserve"> of </w:t>
            </w:r>
            <w:r w:rsidR="0086515D" w:rsidRPr="001153D4">
              <w:t>FRC (</w:t>
            </w:r>
            <w:r w:rsidRPr="001153D4">
              <w:t>60</w:t>
            </w:r>
            <w:r w:rsidR="008D55CC">
              <w:t> </w:t>
            </w:r>
            <w:r w:rsidRPr="001153D4">
              <w:t xml:space="preserve">units insulin glargine/20 </w:t>
            </w:r>
            <w:r w:rsidR="002B6B5B" w:rsidRPr="001153D4">
              <w:rPr>
                <w:rFonts w:ascii="Times New Roman" w:hAnsi="Times New Roman"/>
              </w:rPr>
              <w:t>μ</w:t>
            </w:r>
            <w:r w:rsidRPr="001153D4">
              <w:t>g lixisenatide).</w:t>
            </w:r>
          </w:p>
          <w:p w:rsidR="00B353A3" w:rsidRPr="001153D4" w:rsidRDefault="00B353A3" w:rsidP="00CC67B4">
            <w:pPr>
              <w:pStyle w:val="ListBulletLevel1Synospis"/>
              <w:numPr>
                <w:ilvl w:val="0"/>
                <w:numId w:val="30"/>
              </w:numPr>
            </w:pPr>
            <w:r w:rsidRPr="001153D4">
              <w:t xml:space="preserve">If the patient needs a dose of 10 to 40 U, use the </w:t>
            </w:r>
            <w:r w:rsidR="00434EB2" w:rsidRPr="001153D4">
              <w:t>P</w:t>
            </w:r>
            <w:r w:rsidRPr="001153D4">
              <w:t xml:space="preserve">each </w:t>
            </w:r>
            <w:r w:rsidR="00434EB2" w:rsidRPr="001153D4">
              <w:t>P</w:t>
            </w:r>
            <w:r w:rsidRPr="001153D4">
              <w:t>en</w:t>
            </w:r>
            <w:r w:rsidR="006540A0" w:rsidRPr="001153D4">
              <w:t xml:space="preserve"> (insulin glargine/lixisenatide 2:1)</w:t>
            </w:r>
            <w:r w:rsidRPr="001153D4">
              <w:t>. If</w:t>
            </w:r>
            <w:r w:rsidR="008D55CC">
              <w:t xml:space="preserve"> the patient needs a dose of 41 </w:t>
            </w:r>
            <w:r w:rsidRPr="001153D4">
              <w:t xml:space="preserve">to 60 U, use the </w:t>
            </w:r>
            <w:r w:rsidR="00434EB2" w:rsidRPr="001153D4">
              <w:t>O</w:t>
            </w:r>
            <w:r w:rsidRPr="001153D4">
              <w:t xml:space="preserve">live </w:t>
            </w:r>
            <w:r w:rsidR="00434EB2" w:rsidRPr="001153D4">
              <w:t>P</w:t>
            </w:r>
            <w:r w:rsidRPr="001153D4">
              <w:t>en</w:t>
            </w:r>
            <w:r w:rsidR="00813DC6" w:rsidRPr="001153D4">
              <w:t xml:space="preserve"> only</w:t>
            </w:r>
            <w:r w:rsidR="006540A0" w:rsidRPr="001153D4">
              <w:t xml:space="preserve"> (insulin glargine/lixisenatide 3:1)</w:t>
            </w:r>
            <w:r w:rsidRPr="001153D4">
              <w:t>.</w:t>
            </w:r>
            <w:r w:rsidR="00A62B45" w:rsidRPr="001153D4">
              <w:t xml:space="preserve"> </w:t>
            </w:r>
            <w:r w:rsidR="006540A0" w:rsidRPr="001153D4">
              <w:t xml:space="preserve">For doses between 30-40 units where it is possible to use either the </w:t>
            </w:r>
            <w:r w:rsidR="002B4D03" w:rsidRPr="001153D4">
              <w:t>P</w:t>
            </w:r>
            <w:r w:rsidR="006540A0" w:rsidRPr="001153D4">
              <w:t xml:space="preserve">each (2:1) or </w:t>
            </w:r>
            <w:r w:rsidR="002B4D03" w:rsidRPr="001153D4">
              <w:t>O</w:t>
            </w:r>
            <w:r w:rsidR="006540A0" w:rsidRPr="001153D4">
              <w:t xml:space="preserve">live (3:1) </w:t>
            </w:r>
            <w:r w:rsidR="002B4D03" w:rsidRPr="001153D4">
              <w:t>P</w:t>
            </w:r>
            <w:r w:rsidR="006540A0" w:rsidRPr="001153D4">
              <w:t xml:space="preserve">en, use the </w:t>
            </w:r>
            <w:r w:rsidR="002B4D03" w:rsidRPr="001153D4">
              <w:t>P</w:t>
            </w:r>
            <w:r w:rsidR="006540A0" w:rsidRPr="001153D4">
              <w:t xml:space="preserve">each </w:t>
            </w:r>
            <w:r w:rsidR="002B4D03" w:rsidRPr="001153D4">
              <w:t>P</w:t>
            </w:r>
            <w:r w:rsidR="006540A0" w:rsidRPr="001153D4">
              <w:t xml:space="preserve">en (2:1) as long as it is well tolerated, as this pen provides a higher dose of lixisenatide at the same dose of insulin glargine. </w:t>
            </w:r>
            <w:r w:rsidR="00895DE9" w:rsidRPr="001153D4">
              <w:t xml:space="preserve">For patients not tolerating the </w:t>
            </w:r>
            <w:r w:rsidR="002B4D03" w:rsidRPr="001153D4">
              <w:t>P</w:t>
            </w:r>
            <w:r w:rsidR="00895DE9" w:rsidRPr="001153D4">
              <w:t xml:space="preserve">each (2:1) </w:t>
            </w:r>
            <w:r w:rsidR="002B4D03" w:rsidRPr="001153D4">
              <w:t>P</w:t>
            </w:r>
            <w:r w:rsidR="00895DE9" w:rsidRPr="001153D4">
              <w:t xml:space="preserve">en (eg, experiencing persistent nausea and/or vomiting), then use the </w:t>
            </w:r>
            <w:r w:rsidR="002B4D03" w:rsidRPr="001153D4">
              <w:t>O</w:t>
            </w:r>
            <w:r w:rsidR="00895DE9" w:rsidRPr="001153D4">
              <w:t xml:space="preserve">live (3:1) </w:t>
            </w:r>
            <w:r w:rsidR="002B4D03" w:rsidRPr="001153D4">
              <w:t>P</w:t>
            </w:r>
            <w:r w:rsidR="00895DE9" w:rsidRPr="001153D4">
              <w:t>en.</w:t>
            </w:r>
          </w:p>
          <w:p w:rsidR="00C24D12" w:rsidRDefault="002533CC" w:rsidP="00CC67B4">
            <w:pPr>
              <w:pStyle w:val="ListBulletLevel1Synospis"/>
              <w:numPr>
                <w:ilvl w:val="0"/>
                <w:numId w:val="180"/>
              </w:numPr>
            </w:pPr>
            <w:r w:rsidRPr="001153D4">
              <w:t>Dose</w:t>
            </w:r>
            <w:r w:rsidR="006D2E18" w:rsidRPr="001153D4">
              <w:t>s</w:t>
            </w:r>
            <w:r w:rsidRPr="001153D4">
              <w:t xml:space="preserve"> of FRC higher than 60 </w:t>
            </w:r>
            <w:r w:rsidR="006D2E18" w:rsidRPr="001153D4">
              <w:t xml:space="preserve">U </w:t>
            </w:r>
            <w:r w:rsidRPr="001153D4">
              <w:t>must not be administrated</w:t>
            </w:r>
            <w:r w:rsidR="00C24D12">
              <w:t>.</w:t>
            </w:r>
          </w:p>
          <w:p w:rsidR="00C24D12" w:rsidRPr="001153D4" w:rsidRDefault="00C24D12" w:rsidP="00C24D12">
            <w:pPr>
              <w:pStyle w:val="ListBulletLevel1Synospis"/>
              <w:numPr>
                <w:ilvl w:val="0"/>
                <w:numId w:val="0"/>
              </w:numPr>
              <w:ind w:left="720" w:hanging="357"/>
            </w:pPr>
          </w:p>
          <w:p w:rsidR="00B353A3" w:rsidRPr="00DE359D" w:rsidRDefault="00B353A3" w:rsidP="00B353A3">
            <w:pPr>
              <w:pStyle w:val="TblHeadingLeft"/>
              <w:rPr>
                <w:noProof w:val="0"/>
                <w:lang w:val="en-US"/>
              </w:rPr>
            </w:pPr>
            <w:r w:rsidRPr="00DE359D">
              <w:rPr>
                <w:noProof w:val="0"/>
                <w:lang w:val="en-US"/>
              </w:rPr>
              <w:t xml:space="preserve">Liraglutide (Victoza®) or Exenatide (Byetta®) </w:t>
            </w:r>
            <w:r w:rsidRPr="001153D4">
              <w:rPr>
                <w:noProof w:val="0"/>
                <w:lang w:val="en-US"/>
              </w:rPr>
              <w:t>or Exenatide extended-release (Bydureon®) or Albiglutide (Tanzeum®,Eperzan®) or Dulaglutide (Trulicity®)</w:t>
            </w:r>
          </w:p>
          <w:p w:rsidR="00B353A3" w:rsidRPr="00DE359D" w:rsidRDefault="00B353A3" w:rsidP="00B353A3">
            <w:pPr>
              <w:pStyle w:val="TblHeadingLeft"/>
              <w:rPr>
                <w:noProof w:val="0"/>
                <w:lang w:val="en-US"/>
              </w:rPr>
            </w:pPr>
            <w:r w:rsidRPr="00DE359D">
              <w:rPr>
                <w:noProof w:val="0"/>
                <w:lang w:val="en-US"/>
              </w:rPr>
              <w:t>Injection time</w:t>
            </w:r>
          </w:p>
          <w:p w:rsidR="00B353A3" w:rsidRPr="00DE359D" w:rsidRDefault="00B353A3" w:rsidP="00B353A3">
            <w:pPr>
              <w:pStyle w:val="TblHeadingLeft"/>
              <w:rPr>
                <w:rFonts w:ascii="Arial Narrow" w:hAnsi="Arial Narrow"/>
                <w:b w:val="0"/>
                <w:noProof w:val="0"/>
                <w:lang w:val="en-US"/>
              </w:rPr>
            </w:pPr>
            <w:r w:rsidRPr="00DE359D">
              <w:rPr>
                <w:rFonts w:ascii="Arial Narrow" w:hAnsi="Arial Narrow"/>
                <w:b w:val="0"/>
                <w:noProof w:val="0"/>
                <w:lang w:val="en-US"/>
              </w:rPr>
              <w:t>Victoza® can be administered once daily at any time of day, independently of meals.</w:t>
            </w:r>
          </w:p>
          <w:p w:rsidR="00B353A3" w:rsidRPr="00DE359D" w:rsidRDefault="00B353A3" w:rsidP="00B353A3">
            <w:pPr>
              <w:pStyle w:val="TblHeadingLeft"/>
              <w:rPr>
                <w:rFonts w:ascii="Arial Narrow" w:hAnsi="Arial Narrow"/>
                <w:b w:val="0"/>
                <w:noProof w:val="0"/>
                <w:lang w:val="en-US"/>
              </w:rPr>
            </w:pPr>
            <w:r w:rsidRPr="00DE359D">
              <w:rPr>
                <w:rFonts w:ascii="Arial Narrow" w:hAnsi="Arial Narrow"/>
                <w:b w:val="0"/>
                <w:noProof w:val="0"/>
                <w:lang w:val="en-US"/>
              </w:rPr>
              <w:t>Byetta® can be</w:t>
            </w:r>
            <w:r w:rsidR="00A25E51">
              <w:rPr>
                <w:rFonts w:ascii="Arial Narrow" w:hAnsi="Arial Narrow"/>
                <w:b w:val="0"/>
                <w:noProof w:val="0"/>
                <w:lang w:val="en-US"/>
              </w:rPr>
              <w:t xml:space="preserve"> administrated twice daily</w:t>
            </w:r>
            <w:r w:rsidRPr="00DE359D">
              <w:rPr>
                <w:rFonts w:ascii="Arial Narrow" w:hAnsi="Arial Narrow"/>
                <w:b w:val="0"/>
                <w:noProof w:val="0"/>
                <w:lang w:val="en-US"/>
              </w:rPr>
              <w:t xml:space="preserve"> at any time within the 60 minute period before the morning and evening meal (or two main meals of the day, approximately 6 hours or more apart). Byetta® should not be administered after a meal.</w:t>
            </w:r>
          </w:p>
          <w:p w:rsidR="00B353A3" w:rsidRPr="00DE359D" w:rsidRDefault="00B353A3" w:rsidP="00B353A3">
            <w:pPr>
              <w:pStyle w:val="TblHeadingLeft"/>
              <w:rPr>
                <w:rFonts w:ascii="Arial Narrow" w:hAnsi="Arial Narrow"/>
                <w:b w:val="0"/>
                <w:noProof w:val="0"/>
                <w:lang w:val="en-US"/>
              </w:rPr>
            </w:pPr>
            <w:r w:rsidRPr="001153D4">
              <w:rPr>
                <w:rFonts w:ascii="Arial Narrow" w:hAnsi="Arial Narrow"/>
                <w:b w:val="0"/>
                <w:noProof w:val="0"/>
                <w:lang w:val="en-US"/>
              </w:rPr>
              <w:t>Bydureon®, Tanzeum® /Eperzan®, Trulicity® can be administered once a week at any time of day, independently of meals.</w:t>
            </w:r>
          </w:p>
          <w:p w:rsidR="00B353A3" w:rsidRPr="00DE359D" w:rsidRDefault="00B353A3" w:rsidP="00B353A3">
            <w:pPr>
              <w:pStyle w:val="TblHeadingLeft"/>
              <w:rPr>
                <w:noProof w:val="0"/>
                <w:lang w:val="en-US"/>
              </w:rPr>
            </w:pPr>
            <w:r w:rsidRPr="00DE359D">
              <w:rPr>
                <w:noProof w:val="0"/>
                <w:lang w:val="en-US"/>
              </w:rPr>
              <w:lastRenderedPageBreak/>
              <w:t>Dosing</w:t>
            </w:r>
          </w:p>
          <w:p w:rsidR="00B353A3" w:rsidRPr="00DE359D" w:rsidRDefault="00B353A3" w:rsidP="00B353A3">
            <w:pPr>
              <w:pStyle w:val="TblHeadingLeft"/>
              <w:rPr>
                <w:rFonts w:ascii="Arial Narrow" w:hAnsi="Arial Narrow"/>
                <w:b w:val="0"/>
                <w:noProof w:val="0"/>
                <w:lang w:val="en-US"/>
              </w:rPr>
            </w:pPr>
            <w:r w:rsidRPr="00DE359D">
              <w:rPr>
                <w:rFonts w:ascii="Arial Narrow" w:hAnsi="Arial Narrow"/>
                <w:b w:val="0"/>
                <w:noProof w:val="0"/>
                <w:lang w:val="en-US"/>
              </w:rPr>
              <w:t>Patients randomized to the GLP-1 receptor agonist group will continue the same daily dose and regimen of GLP-1 receptor agonist as prior to randomization.</w:t>
            </w:r>
          </w:p>
        </w:tc>
      </w:tr>
      <w:tr w:rsidR="0051645D" w:rsidTr="00472D23">
        <w:tblPrEx>
          <w:tblCellMar>
            <w:top w:w="0" w:type="dxa"/>
            <w:bottom w:w="0" w:type="dxa"/>
          </w:tblCellMar>
        </w:tblPrEx>
        <w:tc>
          <w:tcPr>
            <w:tcW w:w="3528" w:type="dxa"/>
            <w:tcBorders>
              <w:top w:val="single" w:sz="6" w:space="0" w:color="000000"/>
              <w:left w:val="single" w:sz="6" w:space="0" w:color="000000"/>
              <w:bottom w:val="single" w:sz="4" w:space="0" w:color="auto"/>
              <w:right w:val="single" w:sz="6" w:space="0" w:color="000000"/>
            </w:tcBorders>
          </w:tcPr>
          <w:p w:rsidR="0051645D" w:rsidRDefault="0051645D">
            <w:pPr>
              <w:pStyle w:val="TblFigFootnote"/>
              <w:rPr>
                <w:rFonts w:ascii="Arial" w:hAnsi="Arial"/>
                <w:b/>
                <w:sz w:val="20"/>
              </w:rPr>
            </w:pPr>
            <w:r>
              <w:rPr>
                <w:rFonts w:ascii="Arial" w:hAnsi="Arial"/>
                <w:b/>
                <w:sz w:val="20"/>
              </w:rPr>
              <w:lastRenderedPageBreak/>
              <w:t>Noninvestigational medicinal product(s) (if applicable)</w:t>
            </w:r>
          </w:p>
          <w:p w:rsidR="0051645D" w:rsidRDefault="0051645D">
            <w:pPr>
              <w:pStyle w:val="TblFigFootnote"/>
              <w:rPr>
                <w:rFonts w:ascii="Arial" w:hAnsi="Arial"/>
                <w:b/>
                <w:sz w:val="20"/>
              </w:rPr>
            </w:pPr>
          </w:p>
          <w:p w:rsidR="0051645D" w:rsidRDefault="0051645D">
            <w:pPr>
              <w:pStyle w:val="TblFigFootnote"/>
              <w:rPr>
                <w:rFonts w:ascii="Arial" w:hAnsi="Arial"/>
                <w:b/>
                <w:sz w:val="20"/>
              </w:rPr>
            </w:pPr>
            <w:r>
              <w:rPr>
                <w:rFonts w:ascii="Arial" w:hAnsi="Arial"/>
                <w:b/>
                <w:sz w:val="20"/>
              </w:rPr>
              <w:t>Formulation</w:t>
            </w:r>
            <w:r w:rsidR="000C2D66">
              <w:rPr>
                <w:rFonts w:ascii="Arial" w:hAnsi="Arial"/>
                <w:b/>
                <w:sz w:val="20"/>
              </w:rPr>
              <w:t>:</w:t>
            </w:r>
          </w:p>
        </w:tc>
        <w:tc>
          <w:tcPr>
            <w:tcW w:w="5805" w:type="dxa"/>
            <w:tcBorders>
              <w:top w:val="single" w:sz="6" w:space="0" w:color="000000"/>
              <w:left w:val="single" w:sz="6" w:space="0" w:color="000000"/>
              <w:bottom w:val="single" w:sz="4" w:space="0" w:color="auto"/>
              <w:right w:val="single" w:sz="6" w:space="0" w:color="000000"/>
            </w:tcBorders>
          </w:tcPr>
          <w:p w:rsidR="0051645D" w:rsidRPr="00A95DD0" w:rsidRDefault="00472D23" w:rsidP="00A95DD0">
            <w:r w:rsidRPr="00A95DD0">
              <w:rPr>
                <w:rFonts w:ascii="Arial Narrow" w:eastAsia="MS Gothic" w:hAnsi="Arial Narrow" w:cs="Arial"/>
                <w:color w:val="auto"/>
                <w:sz w:val="20"/>
                <w:szCs w:val="20"/>
              </w:rPr>
              <w:t xml:space="preserve">Background therapy: OAD therapy (commercial metformin tablet ± pioglitazone tablet) and rescue therapy will be considered as </w:t>
            </w:r>
            <w:r w:rsidR="00A25E51" w:rsidRPr="00A95DD0">
              <w:rPr>
                <w:rFonts w:ascii="Arial Narrow" w:eastAsia="MS Gothic" w:hAnsi="Arial Narrow" w:cs="Arial"/>
                <w:color w:val="auto"/>
                <w:sz w:val="20"/>
                <w:szCs w:val="20"/>
              </w:rPr>
              <w:t>noninvestigational medicinal products (</w:t>
            </w:r>
            <w:r w:rsidRPr="00A95DD0">
              <w:rPr>
                <w:rFonts w:ascii="Arial Narrow" w:eastAsia="MS Gothic" w:hAnsi="Arial Narrow" w:cs="Arial"/>
                <w:color w:val="auto"/>
                <w:sz w:val="20"/>
                <w:szCs w:val="20"/>
              </w:rPr>
              <w:t>NIMP</w:t>
            </w:r>
            <w:r w:rsidR="00A25E51" w:rsidRPr="00A95DD0">
              <w:fldChar w:fldCharType="begin"/>
            </w:r>
            <w:r w:rsidR="00A25E51" w:rsidRPr="00A95DD0">
              <w:instrText xml:space="preserve"> X</w:instrText>
            </w:r>
            <w:r w:rsidR="009A6873">
              <w:instrText>E " NIMP " \f Abbreviation \t "n</w:instrText>
            </w:r>
            <w:r w:rsidR="00A25E51" w:rsidRPr="00A95DD0">
              <w:instrText xml:space="preserve">oninvestigational medicinal product" </w:instrText>
            </w:r>
            <w:r w:rsidR="00A25E51" w:rsidRPr="00A95DD0">
              <w:fldChar w:fldCharType="end"/>
            </w:r>
            <w:r w:rsidRPr="00A95DD0">
              <w:rPr>
                <w:rFonts w:ascii="Arial Narrow" w:eastAsia="MS Gothic" w:hAnsi="Arial Narrow" w:cs="Arial"/>
                <w:color w:val="auto"/>
                <w:sz w:val="20"/>
                <w:szCs w:val="20"/>
              </w:rPr>
              <w:t>(s)</w:t>
            </w:r>
            <w:r w:rsidR="00A25E51" w:rsidRPr="00A95DD0">
              <w:rPr>
                <w:rFonts w:ascii="Arial Narrow" w:eastAsia="MS Gothic" w:hAnsi="Arial Narrow" w:cs="Arial"/>
                <w:color w:val="auto"/>
                <w:sz w:val="20"/>
                <w:szCs w:val="20"/>
              </w:rPr>
              <w:t>)</w:t>
            </w:r>
            <w:r w:rsidRPr="00A95DD0">
              <w:rPr>
                <w:rFonts w:ascii="Arial Narrow" w:eastAsia="MS Gothic" w:hAnsi="Arial Narrow" w:cs="Arial"/>
                <w:color w:val="auto"/>
                <w:sz w:val="20"/>
                <w:szCs w:val="20"/>
              </w:rPr>
              <w:t>.</w:t>
            </w:r>
          </w:p>
        </w:tc>
      </w:tr>
      <w:tr w:rsidR="0051645D" w:rsidTr="00472D23">
        <w:tblPrEx>
          <w:tblCellMar>
            <w:top w:w="0" w:type="dxa"/>
            <w:bottom w:w="0" w:type="dxa"/>
          </w:tblCellMar>
        </w:tblPrEx>
        <w:tc>
          <w:tcPr>
            <w:tcW w:w="3528" w:type="dxa"/>
            <w:tcBorders>
              <w:top w:val="single" w:sz="4" w:space="0" w:color="auto"/>
              <w:left w:val="single" w:sz="6" w:space="0" w:color="000000"/>
              <w:bottom w:val="single" w:sz="4" w:space="0" w:color="auto"/>
              <w:right w:val="single" w:sz="6" w:space="0" w:color="000000"/>
            </w:tcBorders>
          </w:tcPr>
          <w:p w:rsidR="0051645D" w:rsidRDefault="0051645D">
            <w:pPr>
              <w:pStyle w:val="TblFigFootnote"/>
              <w:keepNext/>
              <w:rPr>
                <w:rFonts w:ascii="Arial" w:hAnsi="Arial"/>
                <w:b/>
                <w:sz w:val="20"/>
              </w:rPr>
            </w:pPr>
            <w:r>
              <w:rPr>
                <w:rFonts w:ascii="Arial" w:hAnsi="Arial"/>
                <w:b/>
                <w:sz w:val="20"/>
              </w:rPr>
              <w:t>Route(s) of administration</w:t>
            </w:r>
            <w:r w:rsidR="000C2D66">
              <w:rPr>
                <w:rFonts w:ascii="Arial" w:hAnsi="Arial"/>
                <w:b/>
                <w:sz w:val="20"/>
              </w:rPr>
              <w:t>:</w:t>
            </w:r>
          </w:p>
        </w:tc>
        <w:tc>
          <w:tcPr>
            <w:tcW w:w="5805" w:type="dxa"/>
            <w:tcBorders>
              <w:top w:val="single" w:sz="4" w:space="0" w:color="auto"/>
              <w:left w:val="single" w:sz="6" w:space="0" w:color="000000"/>
              <w:bottom w:val="single" w:sz="4" w:space="0" w:color="auto"/>
              <w:right w:val="single" w:sz="6" w:space="0" w:color="000000"/>
            </w:tcBorders>
          </w:tcPr>
          <w:p w:rsidR="0051645D" w:rsidRPr="00472D23" w:rsidRDefault="00472D23">
            <w:pPr>
              <w:pStyle w:val="TblHeadingLeft"/>
              <w:keepNext/>
              <w:keepLines/>
              <w:rPr>
                <w:rFonts w:ascii="Arial Narrow" w:hAnsi="Arial Narrow"/>
                <w:b w:val="0"/>
                <w:noProof w:val="0"/>
                <w:lang w:val="en-US"/>
              </w:rPr>
            </w:pPr>
            <w:r w:rsidRPr="00472D23">
              <w:rPr>
                <w:rFonts w:ascii="Arial Narrow" w:hAnsi="Arial Narrow"/>
                <w:b w:val="0"/>
                <w:noProof w:val="0"/>
                <w:lang w:val="en-US"/>
              </w:rPr>
              <w:t>Oral administration for (metformin ± pioglitazone);</w:t>
            </w:r>
          </w:p>
        </w:tc>
      </w:tr>
      <w:tr w:rsidR="0051645D" w:rsidTr="00472D23">
        <w:tblPrEx>
          <w:tblCellMar>
            <w:top w:w="0" w:type="dxa"/>
            <w:bottom w:w="0" w:type="dxa"/>
          </w:tblCellMar>
        </w:tblPrEx>
        <w:tc>
          <w:tcPr>
            <w:tcW w:w="3528" w:type="dxa"/>
            <w:tcBorders>
              <w:top w:val="single" w:sz="4" w:space="0" w:color="auto"/>
              <w:left w:val="single" w:sz="6" w:space="0" w:color="000000"/>
              <w:bottom w:val="single" w:sz="6" w:space="0" w:color="000000"/>
              <w:right w:val="single" w:sz="6" w:space="0" w:color="000000"/>
            </w:tcBorders>
          </w:tcPr>
          <w:p w:rsidR="0051645D" w:rsidRDefault="0051645D">
            <w:pPr>
              <w:pStyle w:val="TblHeadingLeft"/>
              <w:rPr>
                <w:noProof w:val="0"/>
                <w:lang w:val="en-US"/>
              </w:rPr>
            </w:pPr>
            <w:r>
              <w:rPr>
                <w:noProof w:val="0"/>
                <w:lang w:val="en-US"/>
              </w:rPr>
              <w:t>Dose regimen</w:t>
            </w:r>
            <w:r w:rsidR="000C2D66">
              <w:rPr>
                <w:noProof w:val="0"/>
                <w:lang w:val="en-US"/>
              </w:rPr>
              <w:t>:</w:t>
            </w:r>
          </w:p>
          <w:p w:rsidR="0051645D" w:rsidRDefault="0051645D">
            <w:pPr>
              <w:pStyle w:val="TblFigFootnote"/>
            </w:pPr>
          </w:p>
        </w:tc>
        <w:tc>
          <w:tcPr>
            <w:tcW w:w="5805" w:type="dxa"/>
            <w:tcBorders>
              <w:top w:val="single" w:sz="4" w:space="0" w:color="auto"/>
              <w:left w:val="single" w:sz="6" w:space="0" w:color="000000"/>
              <w:bottom w:val="single" w:sz="6" w:space="0" w:color="000000"/>
              <w:right w:val="single" w:sz="6" w:space="0" w:color="000000"/>
            </w:tcBorders>
          </w:tcPr>
          <w:p w:rsidR="00472D23" w:rsidRPr="00472D23" w:rsidRDefault="00472D23" w:rsidP="00472D23">
            <w:pPr>
              <w:pStyle w:val="TblHeadingLeft"/>
              <w:rPr>
                <w:noProof w:val="0"/>
                <w:lang w:val="en-US"/>
              </w:rPr>
            </w:pPr>
            <w:r w:rsidRPr="00472D23">
              <w:rPr>
                <w:noProof w:val="0"/>
                <w:lang w:val="en-US"/>
              </w:rPr>
              <w:t xml:space="preserve">Background therapy </w:t>
            </w:r>
          </w:p>
          <w:p w:rsidR="0051645D" w:rsidRPr="00472D23" w:rsidRDefault="00472D23" w:rsidP="00472D23">
            <w:pPr>
              <w:pStyle w:val="TblHeadingLeft"/>
              <w:rPr>
                <w:rFonts w:ascii="Arial Narrow" w:hAnsi="Arial Narrow"/>
                <w:b w:val="0"/>
                <w:noProof w:val="0"/>
                <w:lang w:val="en-US"/>
              </w:rPr>
            </w:pPr>
            <w:r w:rsidRPr="00472D23">
              <w:rPr>
                <w:rFonts w:ascii="Arial Narrow" w:hAnsi="Arial Narrow"/>
                <w:b w:val="0"/>
                <w:noProof w:val="0"/>
                <w:lang w:val="en-US"/>
              </w:rPr>
              <w:t>Metformin ± pioglitazone should be administered according to local product labeling. For metformin, it should be at a stable dose of at least 1500 mg/day or maximal tolerated dose for at least 3 months prior to screening visit (V1). This should be continued and the dose should remain stable for metformin and pioglitazone throughout the study unless there is a specific safety issue related to this treatment.</w:t>
            </w:r>
          </w:p>
        </w:tc>
      </w:tr>
      <w:tr w:rsidR="00472D23" w:rsidTr="00472D23">
        <w:tblPrEx>
          <w:tblCellMar>
            <w:top w:w="0" w:type="dxa"/>
            <w:bottom w:w="0" w:type="dxa"/>
          </w:tblCellMar>
        </w:tblPrEx>
        <w:tc>
          <w:tcPr>
            <w:tcW w:w="3528" w:type="dxa"/>
            <w:tcBorders>
              <w:top w:val="single" w:sz="4" w:space="0" w:color="auto"/>
              <w:left w:val="single" w:sz="6" w:space="0" w:color="000000"/>
              <w:bottom w:val="single" w:sz="6" w:space="0" w:color="000000"/>
              <w:right w:val="single" w:sz="6" w:space="0" w:color="000000"/>
            </w:tcBorders>
          </w:tcPr>
          <w:p w:rsidR="00472D23" w:rsidRDefault="00472D23">
            <w:pPr>
              <w:pStyle w:val="TblHeadingLeft"/>
              <w:rPr>
                <w:noProof w:val="0"/>
                <w:lang w:val="en-US"/>
              </w:rPr>
            </w:pPr>
            <w:r>
              <w:rPr>
                <w:noProof w:val="0"/>
                <w:lang w:val="en-US"/>
              </w:rPr>
              <w:t>Rescue therapy:</w:t>
            </w:r>
          </w:p>
        </w:tc>
        <w:tc>
          <w:tcPr>
            <w:tcW w:w="5805" w:type="dxa"/>
            <w:tcBorders>
              <w:top w:val="single" w:sz="4" w:space="0" w:color="auto"/>
              <w:left w:val="single" w:sz="6" w:space="0" w:color="000000"/>
              <w:bottom w:val="single" w:sz="6" w:space="0" w:color="000000"/>
              <w:right w:val="single" w:sz="6" w:space="0" w:color="000000"/>
            </w:tcBorders>
          </w:tcPr>
          <w:p w:rsidR="00060FAB" w:rsidRPr="00872E34" w:rsidRDefault="00060FAB" w:rsidP="00060FAB">
            <w:pPr>
              <w:pStyle w:val="TblHeadingLeft"/>
              <w:rPr>
                <w:rFonts w:ascii="Arial Narrow" w:hAnsi="Arial Narrow"/>
                <w:b w:val="0"/>
                <w:noProof w:val="0"/>
                <w:lang w:val="en-US"/>
              </w:rPr>
            </w:pPr>
            <w:r w:rsidRPr="00872E34">
              <w:rPr>
                <w:rFonts w:ascii="Arial Narrow" w:hAnsi="Arial Narrow"/>
                <w:b w:val="0"/>
                <w:noProof w:val="0"/>
                <w:lang w:val="en-US"/>
              </w:rPr>
              <w:t>Central laboratory alerts on HbA</w:t>
            </w:r>
            <w:r w:rsidRPr="00950DEA">
              <w:rPr>
                <w:rFonts w:ascii="Arial Narrow" w:hAnsi="Arial Narrow"/>
                <w:b w:val="0"/>
                <w:noProof w:val="0"/>
                <w:vertAlign w:val="subscript"/>
                <w:lang w:val="en-US"/>
              </w:rPr>
              <w:t>1c</w:t>
            </w:r>
            <w:r w:rsidRPr="00872E34">
              <w:rPr>
                <w:rFonts w:ascii="Arial Narrow" w:hAnsi="Arial Narrow"/>
                <w:b w:val="0"/>
                <w:noProof w:val="0"/>
                <w:lang w:val="en-US"/>
              </w:rPr>
              <w:t xml:space="preserve"> are set-up to ensure that glycemic parameter results remain within predefined thresholds. </w:t>
            </w:r>
          </w:p>
          <w:p w:rsidR="00060FAB" w:rsidRPr="00872E34" w:rsidRDefault="00060FAB" w:rsidP="00060FAB">
            <w:pPr>
              <w:pStyle w:val="TblHeadingLeft"/>
              <w:rPr>
                <w:rFonts w:ascii="Arial Narrow" w:hAnsi="Arial Narrow"/>
                <w:b w:val="0"/>
                <w:noProof w:val="0"/>
                <w:lang w:val="en-US"/>
              </w:rPr>
            </w:pPr>
            <w:r w:rsidRPr="00872E34">
              <w:rPr>
                <w:rFonts w:ascii="Arial Narrow" w:hAnsi="Arial Narrow"/>
                <w:b w:val="0"/>
                <w:noProof w:val="0"/>
                <w:lang w:val="en-US"/>
              </w:rPr>
              <w:t>In the event that HbA</w:t>
            </w:r>
            <w:r w:rsidRPr="00950DEA">
              <w:rPr>
                <w:rFonts w:ascii="Arial Narrow" w:hAnsi="Arial Narrow"/>
                <w:b w:val="0"/>
                <w:noProof w:val="0"/>
                <w:vertAlign w:val="subscript"/>
                <w:lang w:val="en-US"/>
              </w:rPr>
              <w:t>1c</w:t>
            </w:r>
            <w:r w:rsidRPr="00872E34">
              <w:rPr>
                <w:rFonts w:ascii="Arial Narrow" w:hAnsi="Arial Narrow"/>
                <w:b w:val="0"/>
                <w:noProof w:val="0"/>
                <w:lang w:val="en-US"/>
              </w:rPr>
              <w:t xml:space="preserve"> is more than 8% at or after V21 (</w:t>
            </w:r>
            <w:r w:rsidR="0007161F">
              <w:rPr>
                <w:rFonts w:ascii="Arial Narrow" w:hAnsi="Arial Narrow"/>
                <w:b w:val="0"/>
                <w:noProof w:val="0"/>
                <w:lang w:val="en-US"/>
              </w:rPr>
              <w:t xml:space="preserve">Week </w:t>
            </w:r>
            <w:r w:rsidRPr="00872E34">
              <w:rPr>
                <w:rFonts w:ascii="Arial Narrow" w:hAnsi="Arial Narrow"/>
                <w:b w:val="0"/>
                <w:noProof w:val="0"/>
                <w:lang w:val="en-US"/>
              </w:rPr>
              <w:t xml:space="preserve">12), if no reason can be found for insufficient glucose control, rescue therapy should be considered according to the Investigator’s judgment. In the </w:t>
            </w:r>
            <w:r w:rsidR="00434EB2" w:rsidRPr="001153D4">
              <w:rPr>
                <w:rFonts w:ascii="Arial Narrow" w:hAnsi="Arial Narrow"/>
                <w:b w:val="0"/>
                <w:noProof w:val="0"/>
                <w:lang w:val="en-US"/>
              </w:rPr>
              <w:t>FRC</w:t>
            </w:r>
            <w:r w:rsidRPr="00872E34">
              <w:rPr>
                <w:rFonts w:ascii="Arial Narrow" w:hAnsi="Arial Narrow"/>
                <w:b w:val="0"/>
                <w:noProof w:val="0"/>
                <w:lang w:val="en-US"/>
              </w:rPr>
              <w:t xml:space="preserve"> arm(s), rescue therapy is recommended only if further dose titration is not possible, ie, the patient is already at the maximum daily dose of 60 units. </w:t>
            </w:r>
          </w:p>
          <w:p w:rsidR="00060FAB" w:rsidRPr="00872E34" w:rsidRDefault="00060FAB" w:rsidP="00060FAB">
            <w:pPr>
              <w:pStyle w:val="TblHeadingLeft"/>
              <w:rPr>
                <w:rFonts w:ascii="Arial Narrow" w:hAnsi="Arial Narrow"/>
                <w:b w:val="0"/>
                <w:noProof w:val="0"/>
                <w:lang w:val="en-US"/>
              </w:rPr>
            </w:pPr>
            <w:r w:rsidRPr="00872E34">
              <w:rPr>
                <w:rFonts w:ascii="Arial Narrow" w:hAnsi="Arial Narrow"/>
                <w:b w:val="0"/>
                <w:noProof w:val="0"/>
                <w:lang w:val="en-US"/>
              </w:rPr>
              <w:t>One single rescue therapy for both randomized arms is proposed: rapid acting insulin (insulin- glulisine when available); this rescue therapy should be started as a single daily administration to be given as follows:</w:t>
            </w:r>
          </w:p>
          <w:p w:rsidR="00060FAB" w:rsidRPr="00060FAB" w:rsidRDefault="00060FAB" w:rsidP="00CC67B4">
            <w:pPr>
              <w:pStyle w:val="ListBulletLevel1Synospis"/>
              <w:numPr>
                <w:ilvl w:val="0"/>
                <w:numId w:val="31"/>
              </w:numPr>
            </w:pPr>
            <w:r w:rsidRPr="00060FAB">
              <w:t xml:space="preserve">In the </w:t>
            </w:r>
            <w:r w:rsidR="004662D9" w:rsidRPr="001153D4">
              <w:t>FRC</w:t>
            </w:r>
            <w:r w:rsidR="004662D9">
              <w:t xml:space="preserve"> </w:t>
            </w:r>
            <w:r w:rsidR="00830A7D">
              <w:t>arm</w:t>
            </w:r>
            <w:r w:rsidRPr="00060FAB">
              <w:t xml:space="preserve"> at the main meal of the day (excluding breakfast)</w:t>
            </w:r>
            <w:r w:rsidR="0086515D">
              <w:t>;</w:t>
            </w:r>
          </w:p>
          <w:p w:rsidR="00060FAB" w:rsidRPr="00060FAB" w:rsidRDefault="00060FAB" w:rsidP="00CC67B4">
            <w:pPr>
              <w:pStyle w:val="ListBulletLevel1Synospis"/>
              <w:numPr>
                <w:ilvl w:val="0"/>
                <w:numId w:val="31"/>
              </w:numPr>
            </w:pPr>
            <w:r w:rsidRPr="00060FAB">
              <w:t>In the GLP-1 RA arm:</w:t>
            </w:r>
          </w:p>
          <w:p w:rsidR="00060FAB" w:rsidRPr="00060FAB" w:rsidRDefault="00060FAB" w:rsidP="00CC67B4">
            <w:pPr>
              <w:pStyle w:val="ListBulletLevel2Synospis"/>
              <w:numPr>
                <w:ilvl w:val="0"/>
                <w:numId w:val="32"/>
              </w:numPr>
            </w:pPr>
            <w:r w:rsidRPr="00060FAB">
              <w:t>In Byetta® treated patients at the meal where Byetta® is not given;</w:t>
            </w:r>
          </w:p>
          <w:p w:rsidR="00060FAB" w:rsidRPr="00060FAB" w:rsidRDefault="00060FAB" w:rsidP="00CC67B4">
            <w:pPr>
              <w:pStyle w:val="ListBulletLevel2Synospis"/>
              <w:numPr>
                <w:ilvl w:val="0"/>
                <w:numId w:val="32"/>
              </w:numPr>
            </w:pPr>
            <w:r w:rsidRPr="00060FAB">
              <w:t xml:space="preserve">In Victoza®, </w:t>
            </w:r>
            <w:r w:rsidRPr="001153D4">
              <w:t>Bydureon®, Tanzeum®/Eperzan®, Trulicity®</w:t>
            </w:r>
            <w:r w:rsidRPr="00060FAB">
              <w:t xml:space="preserve"> treated patients at the main meal of the day.</w:t>
            </w:r>
          </w:p>
          <w:p w:rsidR="00060FAB" w:rsidRPr="00872E34" w:rsidRDefault="00060FAB" w:rsidP="00060FAB">
            <w:pPr>
              <w:pStyle w:val="TblHeadingLeft"/>
              <w:rPr>
                <w:rFonts w:ascii="Arial Narrow" w:hAnsi="Arial Narrow"/>
                <w:b w:val="0"/>
                <w:noProof w:val="0"/>
                <w:lang w:val="en-US"/>
              </w:rPr>
            </w:pPr>
            <w:r w:rsidRPr="00872E34">
              <w:rPr>
                <w:rFonts w:ascii="Arial Narrow" w:hAnsi="Arial Narrow"/>
                <w:b w:val="0"/>
                <w:noProof w:val="0"/>
                <w:lang w:val="en-US"/>
              </w:rPr>
              <w:t>In all treatment groups basal insulin is not allowed as a rescue therapy.</w:t>
            </w:r>
          </w:p>
          <w:p w:rsidR="00472D23" w:rsidRDefault="00060FAB" w:rsidP="00060FAB">
            <w:pPr>
              <w:pStyle w:val="TblHeadingLeft"/>
              <w:rPr>
                <w:b w:val="0"/>
                <w:noProof w:val="0"/>
                <w:lang w:val="en-US"/>
              </w:rPr>
            </w:pPr>
            <w:r w:rsidRPr="00872E34">
              <w:rPr>
                <w:rFonts w:ascii="Arial Narrow" w:hAnsi="Arial Narrow"/>
                <w:b w:val="0"/>
                <w:noProof w:val="0"/>
                <w:lang w:val="en-US"/>
              </w:rPr>
              <w:t>All assessments planned at the end of treatment visit (V28) are to be performed before initiating rescue therapy. After these assessments are completed and rescue therapy initiated, the patient will remain in the study and continue to administer the study treatment (including background therapy). The planned visits and assessments should be performed until the last scheduled visit.</w:t>
            </w:r>
          </w:p>
        </w:tc>
      </w:tr>
      <w:tr w:rsidR="0051645D" w:rsidTr="00AD529F">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pPr>
              <w:pStyle w:val="TblHeadingLeft"/>
              <w:rPr>
                <w:noProof w:val="0"/>
                <w:lang w:val="en-US"/>
              </w:rPr>
            </w:pPr>
            <w:r>
              <w:rPr>
                <w:noProof w:val="0"/>
                <w:lang w:val="en-US"/>
              </w:rPr>
              <w:t>ENDPOINT(S)</w:t>
            </w:r>
          </w:p>
          <w:p w:rsidR="0051645D" w:rsidRDefault="0051645D">
            <w:pPr>
              <w:pStyle w:val="TblHeadingLeft"/>
              <w:rPr>
                <w:noProof w:val="0"/>
                <w:lang w:val="en-US"/>
              </w:rPr>
            </w:pPr>
          </w:p>
        </w:tc>
        <w:tc>
          <w:tcPr>
            <w:tcW w:w="5805" w:type="dxa"/>
            <w:tcBorders>
              <w:top w:val="single" w:sz="6" w:space="0" w:color="000000"/>
              <w:left w:val="single" w:sz="6" w:space="0" w:color="000000"/>
              <w:bottom w:val="single" w:sz="6" w:space="0" w:color="000000"/>
              <w:right w:val="single" w:sz="6" w:space="0" w:color="000000"/>
            </w:tcBorders>
          </w:tcPr>
          <w:p w:rsidR="0051645D" w:rsidRDefault="0051645D">
            <w:pPr>
              <w:pStyle w:val="TblTextLeft"/>
              <w:rPr>
                <w:rFonts w:ascii="Arial" w:hAnsi="Arial"/>
                <w:b/>
              </w:rPr>
            </w:pPr>
            <w:r>
              <w:rPr>
                <w:rFonts w:ascii="Arial" w:hAnsi="Arial"/>
                <w:b/>
              </w:rPr>
              <w:t>Primary endpoint</w:t>
            </w:r>
            <w:r w:rsidR="000C2D66">
              <w:rPr>
                <w:rFonts w:ascii="Arial" w:hAnsi="Arial"/>
                <w:b/>
              </w:rPr>
              <w:t>:</w:t>
            </w:r>
          </w:p>
          <w:p w:rsidR="00651FB1" w:rsidRPr="00651FB1" w:rsidRDefault="00651FB1" w:rsidP="00CC67B4">
            <w:pPr>
              <w:pStyle w:val="ListBulletLevel1Synospis"/>
              <w:numPr>
                <w:ilvl w:val="0"/>
                <w:numId w:val="33"/>
              </w:numPr>
              <w:rPr>
                <w:b/>
              </w:rPr>
            </w:pPr>
            <w:r w:rsidRPr="00651FB1">
              <w:t>Change in HbA</w:t>
            </w:r>
            <w:r w:rsidRPr="00950DEA">
              <w:rPr>
                <w:vertAlign w:val="subscript"/>
              </w:rPr>
              <w:t>1c</w:t>
            </w:r>
            <w:r w:rsidRPr="00651FB1">
              <w:t xml:space="preserve"> from baseline to </w:t>
            </w:r>
            <w:r w:rsidR="0007161F">
              <w:t xml:space="preserve">Week </w:t>
            </w:r>
            <w:r w:rsidRPr="00651FB1">
              <w:t>26.</w:t>
            </w:r>
          </w:p>
          <w:p w:rsidR="0051645D" w:rsidRDefault="000C2D66">
            <w:pPr>
              <w:pStyle w:val="TblTextLeft"/>
              <w:rPr>
                <w:rFonts w:ascii="Arial" w:hAnsi="Arial"/>
                <w:b/>
              </w:rPr>
            </w:pPr>
            <w:r>
              <w:rPr>
                <w:rFonts w:ascii="Arial" w:hAnsi="Arial"/>
                <w:b/>
              </w:rPr>
              <w:t>Secondary endpoint(s):</w:t>
            </w:r>
          </w:p>
          <w:p w:rsidR="00651FB1" w:rsidRPr="00651FB1" w:rsidRDefault="00651FB1" w:rsidP="00651FB1">
            <w:pPr>
              <w:pStyle w:val="TblTextLeft"/>
              <w:rPr>
                <w:rFonts w:ascii="Arial" w:hAnsi="Arial"/>
                <w:b/>
              </w:rPr>
            </w:pPr>
            <w:r w:rsidRPr="00651FB1">
              <w:rPr>
                <w:rFonts w:ascii="Arial" w:hAnsi="Arial"/>
                <w:b/>
              </w:rPr>
              <w:t>Efficacy</w:t>
            </w:r>
          </w:p>
          <w:p w:rsidR="00651FB1" w:rsidRPr="00651FB1" w:rsidRDefault="00651FB1" w:rsidP="00CC67B4">
            <w:pPr>
              <w:pStyle w:val="ListBulletLevel1Synospis"/>
              <w:numPr>
                <w:ilvl w:val="0"/>
                <w:numId w:val="34"/>
              </w:numPr>
            </w:pPr>
            <w:r w:rsidRPr="00651FB1">
              <w:t>Percentage of patients reaching HbA</w:t>
            </w:r>
            <w:r w:rsidRPr="00950DEA">
              <w:rPr>
                <w:vertAlign w:val="subscript"/>
              </w:rPr>
              <w:t>1c</w:t>
            </w:r>
            <w:r w:rsidRPr="00651FB1">
              <w:t xml:space="preserve"> &lt;7 % (53 mmol/mol) or  ≤6.5% (4</w:t>
            </w:r>
            <w:r w:rsidR="00EC6ED8">
              <w:t>8</w:t>
            </w:r>
            <w:r w:rsidRPr="00651FB1">
              <w:t xml:space="preserve"> mmol/mol) at </w:t>
            </w:r>
            <w:r w:rsidR="0007161F">
              <w:t xml:space="preserve">Week </w:t>
            </w:r>
            <w:r w:rsidRPr="00651FB1">
              <w:t>26;</w:t>
            </w:r>
          </w:p>
          <w:p w:rsidR="00651FB1" w:rsidRPr="00651FB1" w:rsidRDefault="00651FB1" w:rsidP="00CC67B4">
            <w:pPr>
              <w:pStyle w:val="ListBulletLevel1Synospis"/>
              <w:numPr>
                <w:ilvl w:val="0"/>
                <w:numId w:val="34"/>
              </w:numPr>
            </w:pPr>
            <w:r w:rsidRPr="00651FB1">
              <w:t xml:space="preserve">Change in FPG from baseline to </w:t>
            </w:r>
            <w:r w:rsidR="0007161F">
              <w:t xml:space="preserve">Week </w:t>
            </w:r>
            <w:r w:rsidRPr="00651FB1">
              <w:t>26;</w:t>
            </w:r>
          </w:p>
          <w:p w:rsidR="00651FB1" w:rsidRPr="00651FB1" w:rsidRDefault="00651FB1" w:rsidP="00CC67B4">
            <w:pPr>
              <w:pStyle w:val="ListBulletLevel1Synospis"/>
              <w:numPr>
                <w:ilvl w:val="0"/>
                <w:numId w:val="34"/>
              </w:numPr>
            </w:pPr>
            <w:r w:rsidRPr="00651FB1">
              <w:lastRenderedPageBreak/>
              <w:t xml:space="preserve">Change in 7-point SMPG profiles from baseline to </w:t>
            </w:r>
            <w:r w:rsidR="0007161F">
              <w:t xml:space="preserve">Week </w:t>
            </w:r>
            <w:r w:rsidRPr="00651FB1">
              <w:t>26 (each time point and average daily value);</w:t>
            </w:r>
          </w:p>
          <w:p w:rsidR="00651FB1" w:rsidRPr="00651FB1" w:rsidRDefault="00651FB1" w:rsidP="00CC67B4">
            <w:pPr>
              <w:pStyle w:val="ListBulletLevel1Synospis"/>
              <w:numPr>
                <w:ilvl w:val="0"/>
                <w:numId w:val="34"/>
              </w:numPr>
            </w:pPr>
            <w:r w:rsidRPr="00651FB1">
              <w:t xml:space="preserve">Change in 2-hour PPG and in blood glucose excursion during standardized meal test from baseline to </w:t>
            </w:r>
            <w:r w:rsidR="0007161F">
              <w:t xml:space="preserve">Week </w:t>
            </w:r>
            <w:r w:rsidRPr="00651FB1">
              <w:t>26;</w:t>
            </w:r>
          </w:p>
          <w:p w:rsidR="00651FB1" w:rsidRPr="00651FB1" w:rsidRDefault="00651FB1" w:rsidP="00CC67B4">
            <w:pPr>
              <w:pStyle w:val="ListBulletLevel1Synospis"/>
              <w:numPr>
                <w:ilvl w:val="0"/>
                <w:numId w:val="34"/>
              </w:numPr>
            </w:pPr>
            <w:r w:rsidRPr="00651FB1">
              <w:t xml:space="preserve">Change in body weight from baseline to </w:t>
            </w:r>
            <w:r w:rsidR="0007161F">
              <w:t xml:space="preserve">Week </w:t>
            </w:r>
            <w:r w:rsidRPr="00651FB1">
              <w:t>26.</w:t>
            </w:r>
          </w:p>
          <w:p w:rsidR="0051645D" w:rsidRDefault="0023220D">
            <w:pPr>
              <w:pStyle w:val="TblTextLeft"/>
            </w:pPr>
            <w:r>
              <w:rPr>
                <w:rFonts w:ascii="Arial" w:hAnsi="Arial"/>
                <w:b/>
              </w:rPr>
              <w:t>Other endpoints</w:t>
            </w:r>
            <w:r w:rsidR="000C2D66">
              <w:rPr>
                <w:rFonts w:ascii="Arial" w:hAnsi="Arial"/>
                <w:b/>
              </w:rPr>
              <w:t>:</w:t>
            </w:r>
          </w:p>
          <w:p w:rsidR="0023220D" w:rsidRDefault="0023220D" w:rsidP="00CC67B4">
            <w:pPr>
              <w:pStyle w:val="ListBulletLevel1Synospis"/>
              <w:numPr>
                <w:ilvl w:val="0"/>
                <w:numId w:val="35"/>
              </w:numPr>
            </w:pPr>
            <w:r>
              <w:t xml:space="preserve">Insulin glargine </w:t>
            </w:r>
            <w:r w:rsidR="009753A3" w:rsidRPr="001153D4">
              <w:t>and lixisenatide</w:t>
            </w:r>
            <w:r w:rsidR="009753A3">
              <w:t xml:space="preserve"> </w:t>
            </w:r>
            <w:r>
              <w:t>dose</w:t>
            </w:r>
            <w:r w:rsidR="009753A3">
              <w:t>s</w:t>
            </w:r>
            <w:r>
              <w:t xml:space="preserve"> at </w:t>
            </w:r>
            <w:r w:rsidR="0007161F">
              <w:t xml:space="preserve">Week </w:t>
            </w:r>
            <w:r>
              <w:t>26 in the combination group;</w:t>
            </w:r>
          </w:p>
          <w:p w:rsidR="0023220D" w:rsidRDefault="0023220D" w:rsidP="00CC67B4">
            <w:pPr>
              <w:pStyle w:val="ListBulletLevel1Synospis"/>
              <w:numPr>
                <w:ilvl w:val="0"/>
                <w:numId w:val="35"/>
              </w:numPr>
            </w:pPr>
            <w:r>
              <w:t>Percentage of patients requiring rescue therapy during the 26 week treatment period;</w:t>
            </w:r>
          </w:p>
          <w:p w:rsidR="0023220D" w:rsidRDefault="0023220D" w:rsidP="00CC67B4">
            <w:pPr>
              <w:pStyle w:val="ListBulletLevel1Synospis"/>
              <w:numPr>
                <w:ilvl w:val="0"/>
                <w:numId w:val="35"/>
              </w:numPr>
            </w:pPr>
            <w:r>
              <w:t xml:space="preserve">C-peptide evaluation during standardized meal test from baseline to </w:t>
            </w:r>
            <w:r w:rsidR="0007161F">
              <w:t xml:space="preserve">Week </w:t>
            </w:r>
            <w:r>
              <w:t>26</w:t>
            </w:r>
            <w:r w:rsidR="0086515D">
              <w:t>;</w:t>
            </w:r>
          </w:p>
          <w:p w:rsidR="00C24D12" w:rsidRPr="00C24D12" w:rsidRDefault="0023220D" w:rsidP="00CC67B4">
            <w:pPr>
              <w:pStyle w:val="ListBulletLevel1Synospis"/>
              <w:numPr>
                <w:ilvl w:val="0"/>
                <w:numId w:val="35"/>
              </w:numPr>
              <w:rPr>
                <w:rFonts w:ascii="Arial" w:eastAsia="MS Gothic" w:hAnsi="Arial"/>
                <w:b/>
                <w:color w:val="auto"/>
                <w:szCs w:val="20"/>
              </w:rPr>
            </w:pPr>
            <w:r>
              <w:t>Percentage of patients reaching HbA</w:t>
            </w:r>
            <w:r w:rsidRPr="00C24D12">
              <w:rPr>
                <w:vertAlign w:val="subscript"/>
              </w:rPr>
              <w:t>1c</w:t>
            </w:r>
            <w:r>
              <w:t xml:space="preserve"> &lt;7% (53 mmol/mol) with no body weight gain from baseline to </w:t>
            </w:r>
            <w:r w:rsidR="0007161F">
              <w:t xml:space="preserve">Week </w:t>
            </w:r>
            <w:r>
              <w:t>26.</w:t>
            </w:r>
          </w:p>
          <w:p w:rsidR="0023220D" w:rsidRPr="00C24D12" w:rsidRDefault="009753A3" w:rsidP="00C24D12">
            <w:pPr>
              <w:pStyle w:val="TblTextLeft"/>
              <w:rPr>
                <w:rFonts w:ascii="Arial" w:hAnsi="Arial"/>
                <w:b/>
              </w:rPr>
            </w:pPr>
            <w:r w:rsidRPr="00C24D12">
              <w:rPr>
                <w:rFonts w:ascii="Arial" w:hAnsi="Arial"/>
                <w:b/>
              </w:rPr>
              <w:t>Safety endpoints:</w:t>
            </w:r>
          </w:p>
          <w:p w:rsidR="0023220D" w:rsidRDefault="0023220D" w:rsidP="00CC67B4">
            <w:pPr>
              <w:pStyle w:val="ListBulletLevel1Synospis"/>
              <w:numPr>
                <w:ilvl w:val="0"/>
                <w:numId w:val="36"/>
              </w:numPr>
            </w:pPr>
            <w:r>
              <w:t>Symptomatic hypoglycemia (documented, probable, severe symptomatic hypoglycemia);</w:t>
            </w:r>
          </w:p>
          <w:p w:rsidR="00EC6ED8" w:rsidRDefault="0023220D" w:rsidP="00CC67B4">
            <w:pPr>
              <w:pStyle w:val="ListBulletLevel1Synospis"/>
              <w:numPr>
                <w:ilvl w:val="0"/>
                <w:numId w:val="36"/>
              </w:numPr>
            </w:pPr>
            <w:r>
              <w:t>Adverse events (</w:t>
            </w:r>
            <w:r w:rsidRPr="000019B6">
              <w:t>AE</w:t>
            </w:r>
            <w:r w:rsidR="000019B6" w:rsidRPr="00A34592">
              <w:rPr>
                <w:rFonts w:ascii="Times New Roman" w:eastAsia="MS Gothic" w:hAnsi="Times New Roman"/>
                <w:noProof/>
                <w:color w:val="auto"/>
                <w:sz w:val="22"/>
                <w:szCs w:val="22"/>
              </w:rPr>
              <w:fldChar w:fldCharType="begin"/>
            </w:r>
            <w:r w:rsidR="009A6873">
              <w:rPr>
                <w:rFonts w:ascii="Times New Roman" w:eastAsia="MS Gothic" w:hAnsi="Times New Roman"/>
                <w:noProof/>
                <w:color w:val="auto"/>
                <w:sz w:val="22"/>
                <w:szCs w:val="22"/>
              </w:rPr>
              <w:instrText xml:space="preserve"> XE " AE " \f Abbreviation \t "a</w:instrText>
            </w:r>
            <w:r w:rsidR="000019B6" w:rsidRPr="00A34592">
              <w:rPr>
                <w:rFonts w:ascii="Times New Roman" w:eastAsia="MS Gothic" w:hAnsi="Times New Roman"/>
                <w:noProof/>
                <w:color w:val="auto"/>
                <w:sz w:val="22"/>
                <w:szCs w:val="22"/>
              </w:rPr>
              <w:instrText xml:space="preserve">dverse event" </w:instrText>
            </w:r>
            <w:r w:rsidR="000019B6" w:rsidRPr="00A34592">
              <w:rPr>
                <w:rFonts w:ascii="Times New Roman" w:eastAsia="MS Gothic" w:hAnsi="Times New Roman"/>
                <w:noProof/>
                <w:color w:val="auto"/>
                <w:sz w:val="22"/>
                <w:szCs w:val="22"/>
              </w:rPr>
              <w:fldChar w:fldCharType="end"/>
            </w:r>
            <w:r w:rsidRPr="00A34592">
              <w:rPr>
                <w:rFonts w:ascii="Times New Roman" w:eastAsia="MS Gothic" w:hAnsi="Times New Roman"/>
                <w:noProof/>
                <w:color w:val="auto"/>
                <w:sz w:val="22"/>
                <w:szCs w:val="22"/>
              </w:rPr>
              <w:t xml:space="preserve">), </w:t>
            </w:r>
            <w:r w:rsidRPr="008D55CC">
              <w:t>serious adverse events (SAE</w:t>
            </w:r>
            <w:r w:rsidR="000019B6" w:rsidRPr="008D55CC">
              <w:fldChar w:fldCharType="begin"/>
            </w:r>
            <w:r w:rsidR="000019B6" w:rsidRPr="008D55CC">
              <w:instrText xml:space="preserve"> </w:instrText>
            </w:r>
            <w:r w:rsidR="009A6873">
              <w:instrText>XE " SAE " \f Abbreviation \t "s</w:instrText>
            </w:r>
            <w:r w:rsidR="000019B6" w:rsidRPr="008D55CC">
              <w:instrText xml:space="preserve">erious adverse event" </w:instrText>
            </w:r>
            <w:r w:rsidR="000019B6" w:rsidRPr="008D55CC">
              <w:fldChar w:fldCharType="end"/>
            </w:r>
            <w:r>
              <w:t>), adverse event of special interest (</w:t>
            </w:r>
            <w:r w:rsidRPr="000019B6">
              <w:t>AESI</w:t>
            </w:r>
            <w:r w:rsidR="004555E7" w:rsidRPr="00A34592">
              <w:rPr>
                <w:rFonts w:ascii="Times New Roman" w:eastAsia="MS Gothic" w:hAnsi="Times New Roman"/>
                <w:noProof/>
                <w:color w:val="auto"/>
                <w:sz w:val="22"/>
                <w:szCs w:val="22"/>
              </w:rPr>
              <w:fldChar w:fldCharType="begin"/>
            </w:r>
            <w:r w:rsidR="004555E7" w:rsidRPr="00A34592">
              <w:rPr>
                <w:rFonts w:ascii="Times New Roman" w:eastAsia="MS Gothic" w:hAnsi="Times New Roman"/>
                <w:noProof/>
                <w:color w:val="auto"/>
                <w:sz w:val="22"/>
                <w:szCs w:val="22"/>
              </w:rPr>
              <w:instrText xml:space="preserve"> XE " AESI " </w:instrText>
            </w:r>
            <w:r w:rsidR="009A6873">
              <w:rPr>
                <w:rFonts w:ascii="Times New Roman" w:eastAsia="MS Gothic" w:hAnsi="Times New Roman"/>
                <w:noProof/>
                <w:color w:val="auto"/>
                <w:sz w:val="22"/>
                <w:szCs w:val="22"/>
              </w:rPr>
              <w:instrText>\f Abbreviation \t "a</w:instrText>
            </w:r>
            <w:r w:rsidR="004555E7" w:rsidRPr="00A34592">
              <w:rPr>
                <w:rFonts w:ascii="Times New Roman" w:eastAsia="MS Gothic" w:hAnsi="Times New Roman"/>
                <w:noProof/>
                <w:color w:val="auto"/>
                <w:sz w:val="22"/>
                <w:szCs w:val="22"/>
              </w:rPr>
              <w:instrText xml:space="preserve">dverse event of special interest" </w:instrText>
            </w:r>
            <w:r w:rsidR="004555E7" w:rsidRPr="00A34592">
              <w:rPr>
                <w:rFonts w:ascii="Times New Roman" w:eastAsia="MS Gothic" w:hAnsi="Times New Roman"/>
                <w:noProof/>
                <w:color w:val="auto"/>
                <w:sz w:val="22"/>
                <w:szCs w:val="22"/>
              </w:rPr>
              <w:fldChar w:fldCharType="end"/>
            </w:r>
            <w:r>
              <w:t xml:space="preserve">), AEs requiring specific monitoring and reporting on specific </w:t>
            </w:r>
            <w:r w:rsidR="000019B6">
              <w:t>electronic case report forms (</w:t>
            </w:r>
            <w:r>
              <w:t>e-CRF</w:t>
            </w:r>
            <w:r w:rsidR="000019B6">
              <w:t>s</w:t>
            </w:r>
            <w:r w:rsidR="00D43E72" w:rsidRPr="00A34592">
              <w:rPr>
                <w:rFonts w:ascii="Times New Roman" w:eastAsia="MS Gothic" w:hAnsi="Times New Roman"/>
                <w:noProof/>
                <w:color w:val="auto"/>
                <w:sz w:val="22"/>
                <w:szCs w:val="22"/>
              </w:rPr>
              <w:fldChar w:fldCharType="begin"/>
            </w:r>
            <w:r w:rsidR="004F4E6C" w:rsidRPr="00A34592">
              <w:rPr>
                <w:rFonts w:ascii="Times New Roman" w:eastAsia="MS Gothic" w:hAnsi="Times New Roman"/>
                <w:noProof/>
                <w:color w:val="auto"/>
                <w:sz w:val="22"/>
                <w:szCs w:val="22"/>
              </w:rPr>
              <w:instrText xml:space="preserve"> XE " e-CRF</w:instrText>
            </w:r>
            <w:r w:rsidR="009A6873">
              <w:rPr>
                <w:rFonts w:ascii="Times New Roman" w:eastAsia="MS Gothic" w:hAnsi="Times New Roman"/>
                <w:noProof/>
                <w:color w:val="auto"/>
                <w:sz w:val="22"/>
                <w:szCs w:val="22"/>
              </w:rPr>
              <w:instrText xml:space="preserve"> " \f Abbreviation \t "e</w:instrText>
            </w:r>
            <w:r w:rsidR="00D43E72" w:rsidRPr="00A34592">
              <w:rPr>
                <w:rFonts w:ascii="Times New Roman" w:eastAsia="MS Gothic" w:hAnsi="Times New Roman"/>
                <w:noProof/>
                <w:color w:val="auto"/>
                <w:sz w:val="22"/>
                <w:szCs w:val="22"/>
              </w:rPr>
              <w:instrText xml:space="preserve">lectronic case report form" </w:instrText>
            </w:r>
            <w:r w:rsidR="00D43E72" w:rsidRPr="00A34592">
              <w:rPr>
                <w:rFonts w:ascii="Times New Roman" w:eastAsia="MS Gothic" w:hAnsi="Times New Roman"/>
                <w:noProof/>
                <w:color w:val="auto"/>
                <w:sz w:val="22"/>
                <w:szCs w:val="22"/>
              </w:rPr>
              <w:fldChar w:fldCharType="end"/>
            </w:r>
            <w:r w:rsidR="000019B6">
              <w:t xml:space="preserve">) </w:t>
            </w:r>
            <w:r>
              <w:t>(suspected allergic reactions, patients with increased pancreatic enzymes &gt;2 ULN/suspected pancreatitis, patients with increased calcitonin ≥20 pg/mL, pen-related events</w:t>
            </w:r>
            <w:r w:rsidR="00D43E72">
              <w:t xml:space="preserve"> (PRE</w:t>
            </w:r>
            <w:r w:rsidR="00D43E72" w:rsidRPr="00A34592">
              <w:rPr>
                <w:rFonts w:ascii="Times New Roman" w:eastAsia="MS Gothic" w:hAnsi="Times New Roman"/>
                <w:noProof/>
                <w:color w:val="auto"/>
                <w:sz w:val="22"/>
                <w:szCs w:val="22"/>
              </w:rPr>
              <w:fldChar w:fldCharType="begin"/>
            </w:r>
            <w:r w:rsidR="00D43E72" w:rsidRPr="00A34592">
              <w:rPr>
                <w:rFonts w:ascii="Times New Roman" w:eastAsia="MS Gothic" w:hAnsi="Times New Roman"/>
                <w:noProof/>
                <w:color w:val="auto"/>
                <w:sz w:val="22"/>
                <w:szCs w:val="22"/>
              </w:rPr>
              <w:instrText xml:space="preserve"> XE " PRE " \f Abb</w:instrText>
            </w:r>
            <w:r w:rsidR="009A6873">
              <w:rPr>
                <w:rFonts w:ascii="Times New Roman" w:eastAsia="MS Gothic" w:hAnsi="Times New Roman"/>
                <w:noProof/>
                <w:color w:val="auto"/>
                <w:sz w:val="22"/>
                <w:szCs w:val="22"/>
              </w:rPr>
              <w:instrText>reviation \t "p</w:instrText>
            </w:r>
            <w:r w:rsidR="004F4E6C" w:rsidRPr="00A34592">
              <w:rPr>
                <w:rFonts w:ascii="Times New Roman" w:eastAsia="MS Gothic" w:hAnsi="Times New Roman"/>
                <w:noProof/>
                <w:color w:val="auto"/>
                <w:sz w:val="22"/>
                <w:szCs w:val="22"/>
              </w:rPr>
              <w:instrText>en-related event</w:instrText>
            </w:r>
            <w:r w:rsidR="00D43E72" w:rsidRPr="00A34592">
              <w:rPr>
                <w:rFonts w:ascii="Times New Roman" w:eastAsia="MS Gothic" w:hAnsi="Times New Roman"/>
                <w:noProof/>
                <w:color w:val="auto"/>
                <w:sz w:val="22"/>
                <w:szCs w:val="22"/>
              </w:rPr>
              <w:instrText xml:space="preserve">" </w:instrText>
            </w:r>
            <w:r w:rsidR="00D43E72" w:rsidRPr="00A34592">
              <w:rPr>
                <w:rFonts w:ascii="Times New Roman" w:eastAsia="MS Gothic" w:hAnsi="Times New Roman"/>
                <w:noProof/>
                <w:color w:val="auto"/>
                <w:sz w:val="22"/>
                <w:szCs w:val="22"/>
              </w:rPr>
              <w:fldChar w:fldCharType="end"/>
            </w:r>
            <w:r w:rsidR="00D43E72">
              <w:t>)</w:t>
            </w:r>
            <w:r w:rsidR="00EC6ED8">
              <w:t>)</w:t>
            </w:r>
            <w:r w:rsidR="0086515D">
              <w:t>;</w:t>
            </w:r>
          </w:p>
          <w:p w:rsidR="00EC6ED8" w:rsidRDefault="00EC6ED8" w:rsidP="00CC67B4">
            <w:pPr>
              <w:pStyle w:val="ListBulletLevel1Synospis"/>
              <w:numPr>
                <w:ilvl w:val="0"/>
                <w:numId w:val="36"/>
              </w:numPr>
            </w:pPr>
            <w:r>
              <w:t>Safety laboratory values</w:t>
            </w:r>
            <w:r w:rsidR="0086515D">
              <w:t>;</w:t>
            </w:r>
          </w:p>
          <w:p w:rsidR="00EC6ED8" w:rsidRDefault="00EC6ED8" w:rsidP="00CC67B4">
            <w:pPr>
              <w:pStyle w:val="ListBulletLevel1Synospis"/>
              <w:numPr>
                <w:ilvl w:val="0"/>
                <w:numId w:val="36"/>
              </w:numPr>
            </w:pPr>
            <w:r>
              <w:t>Vital signs</w:t>
            </w:r>
            <w:r w:rsidR="0086515D">
              <w:t>;</w:t>
            </w:r>
          </w:p>
          <w:p w:rsidR="0023220D" w:rsidRDefault="0023220D" w:rsidP="00CC67B4">
            <w:pPr>
              <w:pStyle w:val="ListBulletLevel1Synospis"/>
              <w:numPr>
                <w:ilvl w:val="0"/>
                <w:numId w:val="36"/>
              </w:numPr>
            </w:pPr>
            <w:r>
              <w:t>Electrocardiogram (</w:t>
            </w:r>
            <w:r w:rsidRPr="000019B6">
              <w:t>ECG</w:t>
            </w:r>
            <w:r w:rsidR="00D43E72" w:rsidRPr="00A34592">
              <w:rPr>
                <w:rFonts w:ascii="Times New Roman" w:eastAsia="MS Gothic" w:hAnsi="Times New Roman"/>
                <w:noProof/>
                <w:color w:val="auto"/>
                <w:sz w:val="22"/>
                <w:szCs w:val="22"/>
              </w:rPr>
              <w:fldChar w:fldCharType="begin"/>
            </w:r>
            <w:r w:rsidR="00D43E72" w:rsidRPr="00A34592">
              <w:rPr>
                <w:rFonts w:ascii="Times New Roman" w:eastAsia="MS Gothic" w:hAnsi="Times New Roman"/>
                <w:noProof/>
                <w:color w:val="auto"/>
                <w:sz w:val="22"/>
                <w:szCs w:val="22"/>
              </w:rPr>
              <w:instrText xml:space="preserve"> </w:instrText>
            </w:r>
            <w:r w:rsidR="009A6873">
              <w:rPr>
                <w:rFonts w:ascii="Times New Roman" w:eastAsia="MS Gothic" w:hAnsi="Times New Roman"/>
                <w:noProof/>
                <w:color w:val="auto"/>
                <w:sz w:val="22"/>
                <w:szCs w:val="22"/>
              </w:rPr>
              <w:instrText>XE " ECG " \f Abbreviation \t "e</w:instrText>
            </w:r>
            <w:r w:rsidR="00D43E72" w:rsidRPr="00A34592">
              <w:rPr>
                <w:rFonts w:ascii="Times New Roman" w:eastAsia="MS Gothic" w:hAnsi="Times New Roman"/>
                <w:noProof/>
                <w:color w:val="auto"/>
                <w:sz w:val="22"/>
                <w:szCs w:val="22"/>
              </w:rPr>
              <w:instrText xml:space="preserve">lectrocardiogram" </w:instrText>
            </w:r>
            <w:r w:rsidR="00D43E72" w:rsidRPr="00A34592">
              <w:rPr>
                <w:rFonts w:ascii="Times New Roman" w:eastAsia="MS Gothic" w:hAnsi="Times New Roman"/>
                <w:noProof/>
                <w:color w:val="auto"/>
                <w:sz w:val="22"/>
                <w:szCs w:val="22"/>
              </w:rPr>
              <w:fldChar w:fldCharType="end"/>
            </w:r>
            <w:r w:rsidR="00EC6ED8">
              <w:t>)</w:t>
            </w:r>
            <w:r w:rsidR="0086515D">
              <w:t>.</w:t>
            </w:r>
          </w:p>
        </w:tc>
      </w:tr>
      <w:tr w:rsidR="0051645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rsidP="00C24D12">
            <w:pPr>
              <w:pStyle w:val="TblHeadingLeft"/>
              <w:rPr>
                <w:noProof w:val="0"/>
                <w:lang w:val="en-US"/>
              </w:rPr>
            </w:pPr>
            <w:r>
              <w:rPr>
                <w:noProof w:val="0"/>
                <w:lang w:val="en-US"/>
              </w:rPr>
              <w:lastRenderedPageBreak/>
              <w:t>ASSESSMENT SCHEDULE</w:t>
            </w:r>
          </w:p>
        </w:tc>
        <w:tc>
          <w:tcPr>
            <w:tcW w:w="5805" w:type="dxa"/>
            <w:tcBorders>
              <w:top w:val="single" w:sz="6" w:space="0" w:color="000000"/>
              <w:left w:val="single" w:sz="6" w:space="0" w:color="000000"/>
              <w:bottom w:val="single" w:sz="6" w:space="0" w:color="000000"/>
              <w:right w:val="single" w:sz="6" w:space="0" w:color="000000"/>
            </w:tcBorders>
          </w:tcPr>
          <w:p w:rsidR="00B51538" w:rsidRPr="00B51538" w:rsidRDefault="00B51538" w:rsidP="00B51538">
            <w:pPr>
              <w:pStyle w:val="TblTextLeft"/>
              <w:rPr>
                <w:rFonts w:ascii="Arial" w:hAnsi="Arial" w:cs="Arial"/>
                <w:b/>
              </w:rPr>
            </w:pPr>
            <w:r w:rsidRPr="00B51538">
              <w:rPr>
                <w:rFonts w:ascii="Arial" w:hAnsi="Arial" w:cs="Arial"/>
                <w:b/>
              </w:rPr>
              <w:t>Visit schedule</w:t>
            </w:r>
          </w:p>
          <w:p w:rsidR="00C24D12" w:rsidRPr="00B51538" w:rsidRDefault="00B51538" w:rsidP="00C24D12">
            <w:pPr>
              <w:pStyle w:val="TblTextLeft"/>
              <w:tabs>
                <w:tab w:val="left" w:pos="216"/>
              </w:tabs>
              <w:rPr>
                <w:rFonts w:cs="Arial"/>
                <w:color w:val="000000"/>
              </w:rPr>
            </w:pPr>
            <w:r w:rsidRPr="00C24D12">
              <w:rPr>
                <w:rFonts w:cs="Arial"/>
                <w:color w:val="000000"/>
              </w:rPr>
              <w:t>The schedule of study-related procedures/assessments is detailed in the Study Flowchart (</w:t>
            </w:r>
            <w:hyperlink w:anchor="_Ref434487258" w:history="1">
              <w:r w:rsidR="00A25E51" w:rsidRPr="00C24D12">
                <w:rPr>
                  <w:rFonts w:cs="Arial"/>
                  <w:color w:val="000000"/>
                </w:rPr>
                <w:t>Section</w:t>
              </w:r>
            </w:hyperlink>
            <w:r w:rsidR="00A25E51" w:rsidRPr="00C24D12">
              <w:rPr>
                <w:rFonts w:cs="Arial"/>
                <w:color w:val="000000"/>
              </w:rPr>
              <w:t xml:space="preserve"> </w:t>
            </w:r>
            <w:r w:rsidR="00A25E51" w:rsidRPr="0086515D">
              <w:rPr>
                <w:rStyle w:val="BlueReplace"/>
              </w:rPr>
              <w:fldChar w:fldCharType="begin"/>
            </w:r>
            <w:r w:rsidR="00A25E51" w:rsidRPr="0086515D">
              <w:rPr>
                <w:rStyle w:val="BlueReplace"/>
              </w:rPr>
              <w:instrText xml:space="preserve"> REF _Ref434487258 \r \h </w:instrText>
            </w:r>
            <w:r w:rsidR="00A25E51" w:rsidRPr="0086515D">
              <w:rPr>
                <w:rStyle w:val="BlueReplace"/>
              </w:rPr>
            </w:r>
            <w:r w:rsidR="00C24D12" w:rsidRPr="0086515D">
              <w:rPr>
                <w:rStyle w:val="BlueReplace"/>
              </w:rPr>
              <w:instrText xml:space="preserve"> \* MERGEFORMAT </w:instrText>
            </w:r>
            <w:r w:rsidR="00A25E51" w:rsidRPr="0086515D">
              <w:rPr>
                <w:rStyle w:val="BlueReplace"/>
              </w:rPr>
              <w:fldChar w:fldCharType="separate"/>
            </w:r>
            <w:r w:rsidR="005A26F6">
              <w:rPr>
                <w:rStyle w:val="BlueReplace"/>
              </w:rPr>
              <w:t>1.2</w:t>
            </w:r>
            <w:r w:rsidR="00A25E51" w:rsidRPr="0086515D">
              <w:rPr>
                <w:rStyle w:val="BlueReplace"/>
              </w:rPr>
              <w:fldChar w:fldCharType="end"/>
            </w:r>
            <w:r w:rsidRPr="00C24D12">
              <w:rPr>
                <w:rFonts w:cs="Arial"/>
                <w:color w:val="000000"/>
              </w:rPr>
              <w:t>)</w:t>
            </w:r>
            <w:r w:rsidR="00C24D12">
              <w:rPr>
                <w:rFonts w:cs="Arial"/>
                <w:color w:val="000000"/>
              </w:rPr>
              <w:t>.</w:t>
            </w:r>
            <w:r w:rsidR="00C24D12" w:rsidRPr="00B51538">
              <w:rPr>
                <w:rFonts w:cs="Arial"/>
                <w:color w:val="000000"/>
              </w:rPr>
              <w:t xml:space="preserve"> </w:t>
            </w:r>
          </w:p>
          <w:p w:rsidR="00B51538" w:rsidRPr="00B51538" w:rsidRDefault="00B51538" w:rsidP="00B51538">
            <w:pPr>
              <w:pStyle w:val="TblTextLeft"/>
              <w:rPr>
                <w:rFonts w:ascii="Arial" w:hAnsi="Arial" w:cs="Arial"/>
                <w:b/>
              </w:rPr>
            </w:pPr>
            <w:r w:rsidRPr="00B51538">
              <w:rPr>
                <w:rFonts w:ascii="Arial" w:hAnsi="Arial" w:cs="Arial"/>
                <w:b/>
              </w:rPr>
              <w:t>Early termination</w:t>
            </w:r>
          </w:p>
          <w:p w:rsidR="0051645D" w:rsidRDefault="00B51538" w:rsidP="00B51538">
            <w:pPr>
              <w:pStyle w:val="TblTextLeft"/>
            </w:pPr>
            <w:r>
              <w:t>Patients who prematurely and permanently discontinue IMP administration for any reason should have a visit as soon as possible with the assessments normally planned for the last dosing day with the IMP, ie, the "final on-treatment assessment”. Afterward, these patients should continue in the study up to the scheduled date of study completion. They should be followed up according to the study procedures as specified in the protocol (except for the 3 day safety post-treatment follow-up).</w:t>
            </w:r>
          </w:p>
        </w:tc>
      </w:tr>
      <w:tr w:rsidR="0051645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pPr>
              <w:pStyle w:val="TblHeadingLeft"/>
              <w:rPr>
                <w:noProof w:val="0"/>
                <w:lang w:val="en-US"/>
              </w:rPr>
            </w:pPr>
            <w:r>
              <w:rPr>
                <w:noProof w:val="0"/>
                <w:lang w:val="en-US"/>
              </w:rPr>
              <w:t>STATISTICAL CONSIDERATIONS</w:t>
            </w:r>
          </w:p>
          <w:p w:rsidR="0051645D" w:rsidRDefault="0051645D">
            <w:pPr>
              <w:pStyle w:val="TblHeadingLeft"/>
              <w:rPr>
                <w:noProof w:val="0"/>
                <w:lang w:val="en-US"/>
              </w:rPr>
            </w:pPr>
          </w:p>
        </w:tc>
        <w:tc>
          <w:tcPr>
            <w:tcW w:w="5805" w:type="dxa"/>
            <w:tcBorders>
              <w:top w:val="single" w:sz="6" w:space="0" w:color="000000"/>
              <w:left w:val="single" w:sz="6" w:space="0" w:color="000000"/>
              <w:bottom w:val="single" w:sz="6" w:space="0" w:color="000000"/>
              <w:right w:val="single" w:sz="6" w:space="0" w:color="000000"/>
            </w:tcBorders>
          </w:tcPr>
          <w:p w:rsidR="0051645D" w:rsidRDefault="0051645D">
            <w:pPr>
              <w:pStyle w:val="TblTextLeft"/>
              <w:tabs>
                <w:tab w:val="left" w:pos="216"/>
              </w:tabs>
              <w:rPr>
                <w:rStyle w:val="ReplaceText"/>
                <w:rFonts w:ascii="Arial" w:hAnsi="Arial" w:cs="Arial"/>
                <w:b/>
                <w:color w:val="000000"/>
              </w:rPr>
            </w:pPr>
            <w:r w:rsidRPr="00AD529F">
              <w:rPr>
                <w:rStyle w:val="ReplaceText"/>
                <w:rFonts w:ascii="Arial" w:hAnsi="Arial" w:cs="Arial"/>
                <w:b/>
                <w:color w:val="000000"/>
              </w:rPr>
              <w:t>Sample size determination:</w:t>
            </w:r>
          </w:p>
          <w:p w:rsidR="00B51538" w:rsidRPr="00B51538" w:rsidRDefault="00B51538" w:rsidP="00B51538">
            <w:pPr>
              <w:pStyle w:val="TblTextLeft"/>
              <w:tabs>
                <w:tab w:val="left" w:pos="216"/>
              </w:tabs>
              <w:rPr>
                <w:rFonts w:cs="Arial"/>
                <w:color w:val="000000"/>
              </w:rPr>
            </w:pPr>
            <w:r w:rsidRPr="00B51538">
              <w:rPr>
                <w:rFonts w:cs="Arial"/>
                <w:color w:val="000000"/>
              </w:rPr>
              <w:t xml:space="preserve">A sample size of </w:t>
            </w:r>
            <w:r w:rsidRPr="001153D4">
              <w:rPr>
                <w:rFonts w:cs="Arial"/>
                <w:color w:val="000000"/>
              </w:rPr>
              <w:t>250</w:t>
            </w:r>
            <w:r w:rsidRPr="00B51538">
              <w:rPr>
                <w:rFonts w:cs="Arial"/>
                <w:color w:val="000000"/>
              </w:rPr>
              <w:t xml:space="preserve"> patients per group will provide 90% power to detect a difference of </w:t>
            </w:r>
            <w:r w:rsidRPr="001153D4">
              <w:rPr>
                <w:rFonts w:cs="Arial"/>
                <w:color w:val="000000"/>
              </w:rPr>
              <w:t>0.4%</w:t>
            </w:r>
            <w:r w:rsidRPr="00B51538">
              <w:rPr>
                <w:rFonts w:cs="Arial"/>
                <w:color w:val="000000"/>
              </w:rPr>
              <w:t xml:space="preserve"> in the HbA</w:t>
            </w:r>
            <w:r w:rsidRPr="00950DEA">
              <w:rPr>
                <w:rFonts w:cs="Arial"/>
                <w:color w:val="000000"/>
                <w:vertAlign w:val="subscript"/>
              </w:rPr>
              <w:t>1c</w:t>
            </w:r>
            <w:r w:rsidRPr="00B51538">
              <w:rPr>
                <w:rFonts w:cs="Arial"/>
                <w:color w:val="000000"/>
              </w:rPr>
              <w:t xml:space="preserve"> change from baseline to </w:t>
            </w:r>
            <w:r w:rsidR="0007161F">
              <w:rPr>
                <w:rFonts w:cs="Arial"/>
                <w:color w:val="000000"/>
              </w:rPr>
              <w:t xml:space="preserve">Week </w:t>
            </w:r>
            <w:r w:rsidRPr="00B51538">
              <w:rPr>
                <w:rFonts w:cs="Arial"/>
                <w:color w:val="000000"/>
              </w:rPr>
              <w:t xml:space="preserve">26 between the </w:t>
            </w:r>
            <w:r w:rsidR="00926673" w:rsidRPr="001153D4">
              <w:rPr>
                <w:rFonts w:cs="Arial"/>
                <w:color w:val="000000"/>
              </w:rPr>
              <w:t>FRC</w:t>
            </w:r>
            <w:r w:rsidR="00926673">
              <w:rPr>
                <w:rFonts w:cs="Arial"/>
                <w:color w:val="000000"/>
              </w:rPr>
              <w:t xml:space="preserve"> </w:t>
            </w:r>
            <w:r w:rsidRPr="00B51538">
              <w:rPr>
                <w:rFonts w:cs="Arial"/>
                <w:color w:val="000000"/>
              </w:rPr>
              <w:t>and GLP-1 receptor agonist arm. This calculation assumes a common standard deviation of 1.1% at the 5% significance level (2-sided) and a common drop-out rate of 20% at 26 weeks. It is based on the intent-To-Treat (</w:t>
            </w:r>
            <w:r w:rsidRPr="00EE19C7">
              <w:rPr>
                <w:rFonts w:cs="Arial"/>
                <w:color w:val="000000"/>
              </w:rPr>
              <w:t>ITT</w:t>
            </w:r>
            <w:r w:rsidR="00EE19C7">
              <w:rPr>
                <w:rFonts w:cs="Arial"/>
                <w:color w:val="000000"/>
              </w:rPr>
              <w:fldChar w:fldCharType="begin"/>
            </w:r>
            <w:r w:rsidR="00EE19C7">
              <w:rPr>
                <w:rFonts w:cs="Arial"/>
                <w:color w:val="000000"/>
              </w:rPr>
              <w:instrText xml:space="preserve"> XE "</w:instrText>
            </w:r>
            <w:r w:rsidR="00EE19C7" w:rsidRPr="00EE19C7">
              <w:rPr>
                <w:rFonts w:cs="Arial"/>
                <w:color w:val="000000"/>
              </w:rPr>
              <w:instrText xml:space="preserve"> ITT</w:instrText>
            </w:r>
            <w:r w:rsidR="009A6873">
              <w:rPr>
                <w:rFonts w:cs="Arial"/>
                <w:color w:val="000000"/>
              </w:rPr>
              <w:instrText xml:space="preserve"> " \f Abbreviation \t "i</w:instrText>
            </w:r>
            <w:r w:rsidR="00EE19C7">
              <w:rPr>
                <w:rFonts w:cs="Arial"/>
                <w:color w:val="000000"/>
              </w:rPr>
              <w:instrText xml:space="preserve">ntent-to-treat" </w:instrText>
            </w:r>
            <w:r w:rsidR="00EE19C7">
              <w:rPr>
                <w:rFonts w:cs="Arial"/>
                <w:color w:val="000000"/>
              </w:rPr>
              <w:fldChar w:fldCharType="end"/>
            </w:r>
            <w:r w:rsidRPr="00B51538">
              <w:rPr>
                <w:rFonts w:cs="Arial"/>
                <w:color w:val="000000"/>
              </w:rPr>
              <w:t xml:space="preserve">) analysis and also assumes in the conservative manner that </w:t>
            </w:r>
            <w:r w:rsidRPr="00926673">
              <w:rPr>
                <w:rFonts w:cs="Arial"/>
                <w:color w:val="000000"/>
              </w:rPr>
              <w:t xml:space="preserve">the </w:t>
            </w:r>
            <w:r w:rsidR="00926673" w:rsidRPr="001153D4">
              <w:rPr>
                <w:rFonts w:cs="Arial"/>
                <w:color w:val="000000"/>
              </w:rPr>
              <w:t>FRC</w:t>
            </w:r>
            <w:r w:rsidR="00926673">
              <w:rPr>
                <w:rFonts w:cs="Arial"/>
                <w:color w:val="000000"/>
              </w:rPr>
              <w:t xml:space="preserve"> </w:t>
            </w:r>
            <w:r w:rsidRPr="00B51538">
              <w:rPr>
                <w:rFonts w:cs="Arial"/>
                <w:color w:val="000000"/>
              </w:rPr>
              <w:t xml:space="preserve">dropped patients will respond as the control patients, ie, no treatment difference between </w:t>
            </w:r>
            <w:r w:rsidR="00926673" w:rsidRPr="001153D4">
              <w:rPr>
                <w:rFonts w:cs="Arial"/>
                <w:color w:val="000000"/>
              </w:rPr>
              <w:t>FRC</w:t>
            </w:r>
            <w:r w:rsidR="00926673">
              <w:rPr>
                <w:rFonts w:cs="Arial"/>
                <w:color w:val="000000"/>
              </w:rPr>
              <w:t xml:space="preserve"> </w:t>
            </w:r>
            <w:r w:rsidRPr="00B51538">
              <w:rPr>
                <w:rFonts w:cs="Arial"/>
                <w:color w:val="000000"/>
              </w:rPr>
              <w:t>dropped patients and the control patients.</w:t>
            </w:r>
          </w:p>
          <w:p w:rsidR="00C24D12" w:rsidRDefault="00C24D12" w:rsidP="00C24D12">
            <w:pPr>
              <w:pStyle w:val="TblHeadingLeft"/>
              <w:rPr>
                <w:noProof w:val="0"/>
                <w:lang w:val="en-US"/>
              </w:rPr>
            </w:pPr>
          </w:p>
          <w:p w:rsidR="0051645D" w:rsidRPr="00C24D12" w:rsidRDefault="00C24D12" w:rsidP="00C24D12">
            <w:pPr>
              <w:pStyle w:val="TblHeadingLeft"/>
              <w:rPr>
                <w:noProof w:val="0"/>
                <w:lang w:val="en-US"/>
              </w:rPr>
            </w:pPr>
            <w:r>
              <w:rPr>
                <w:noProof w:val="0"/>
                <w:lang w:val="en-US"/>
              </w:rPr>
              <w:lastRenderedPageBreak/>
              <w:t>A</w:t>
            </w:r>
            <w:r w:rsidR="0051645D" w:rsidRPr="00C24D12">
              <w:rPr>
                <w:noProof w:val="0"/>
                <w:lang w:val="en-US"/>
              </w:rPr>
              <w:t>nalysis population:</w:t>
            </w:r>
          </w:p>
          <w:p w:rsidR="00A569CD" w:rsidRPr="00A569CD" w:rsidRDefault="00A569CD" w:rsidP="00A569CD">
            <w:pPr>
              <w:pStyle w:val="TblTextLeft"/>
              <w:tabs>
                <w:tab w:val="left" w:pos="216"/>
              </w:tabs>
              <w:rPr>
                <w:rFonts w:cs="Arial"/>
                <w:color w:val="000000"/>
              </w:rPr>
            </w:pPr>
            <w:r w:rsidRPr="00A569CD">
              <w:rPr>
                <w:rFonts w:cs="Arial"/>
                <w:color w:val="000000"/>
              </w:rPr>
              <w:t>The primary efficacy population will be the modified Intent-To-Treat (</w:t>
            </w:r>
            <w:r w:rsidRPr="00EE19C7">
              <w:rPr>
                <w:rFonts w:cs="Arial"/>
                <w:color w:val="000000"/>
              </w:rPr>
              <w:t>mITT</w:t>
            </w:r>
            <w:r w:rsidR="00EE19C7" w:rsidRPr="00A34592">
              <w:rPr>
                <w:rFonts w:ascii="Times New Roman" w:hAnsi="Times New Roman"/>
                <w:noProof/>
                <w:sz w:val="22"/>
                <w:szCs w:val="22"/>
              </w:rPr>
              <w:fldChar w:fldCharType="begin"/>
            </w:r>
            <w:r w:rsidR="00EE19C7" w:rsidRPr="00A34592">
              <w:rPr>
                <w:rFonts w:ascii="Times New Roman" w:hAnsi="Times New Roman"/>
                <w:noProof/>
                <w:sz w:val="22"/>
                <w:szCs w:val="22"/>
              </w:rPr>
              <w:instrText xml:space="preserve"> X</w:instrText>
            </w:r>
            <w:r w:rsidR="009A6873">
              <w:rPr>
                <w:rFonts w:ascii="Times New Roman" w:hAnsi="Times New Roman"/>
                <w:noProof/>
                <w:sz w:val="22"/>
                <w:szCs w:val="22"/>
              </w:rPr>
              <w:instrText>E " mITT " \f Abbreviation \t "m</w:instrText>
            </w:r>
            <w:r w:rsidR="00EE19C7" w:rsidRPr="00A34592">
              <w:rPr>
                <w:rFonts w:ascii="Times New Roman" w:hAnsi="Times New Roman"/>
                <w:noProof/>
                <w:sz w:val="22"/>
                <w:szCs w:val="22"/>
              </w:rPr>
              <w:instrText xml:space="preserve">odified intent-to-treat" </w:instrText>
            </w:r>
            <w:r w:rsidR="00EE19C7" w:rsidRPr="00A34592">
              <w:rPr>
                <w:rFonts w:ascii="Times New Roman" w:hAnsi="Times New Roman"/>
                <w:noProof/>
                <w:sz w:val="22"/>
                <w:szCs w:val="22"/>
              </w:rPr>
              <w:fldChar w:fldCharType="end"/>
            </w:r>
            <w:r w:rsidRPr="00A569CD">
              <w:rPr>
                <w:rFonts w:cs="Arial"/>
                <w:color w:val="000000"/>
              </w:rPr>
              <w:t xml:space="preserve">) population, which includes all randomized patients who received at least one dose of IMP, and have both a baseline assessment and at least one post-baseline assessment of any primary or secondary efficacy endpoints, irrespective of compliance with the study protocol and procedures. Patients will be analyzed in efficacy analyses by the treatment regimen allocated by the </w:t>
            </w:r>
            <w:r w:rsidR="00617832">
              <w:rPr>
                <w:rFonts w:cs="Arial"/>
                <w:color w:val="000000"/>
              </w:rPr>
              <w:t>interactive voice/web response system (</w:t>
            </w:r>
            <w:r w:rsidRPr="00A569CD">
              <w:rPr>
                <w:rFonts w:cs="Arial"/>
                <w:color w:val="000000"/>
              </w:rPr>
              <w:t>IVRS/IWRS</w:t>
            </w:r>
            <w:r w:rsidR="00617832" w:rsidRPr="00A34592">
              <w:rPr>
                <w:rFonts w:ascii="Times New Roman" w:hAnsi="Times New Roman"/>
                <w:noProof/>
                <w:sz w:val="22"/>
                <w:szCs w:val="22"/>
              </w:rPr>
              <w:fldChar w:fldCharType="begin"/>
            </w:r>
            <w:r w:rsidR="00617832" w:rsidRPr="00A34592">
              <w:rPr>
                <w:rFonts w:ascii="Times New Roman" w:hAnsi="Times New Roman"/>
                <w:noProof/>
                <w:sz w:val="22"/>
                <w:szCs w:val="22"/>
              </w:rPr>
              <w:instrText xml:space="preserve"> XE " IVRS/IWRS " \f Abbreviation \t "</w:instrText>
            </w:r>
            <w:r w:rsidR="009A6873">
              <w:rPr>
                <w:rFonts w:ascii="Times New Roman" w:hAnsi="Times New Roman"/>
                <w:noProof/>
                <w:sz w:val="22"/>
                <w:szCs w:val="22"/>
              </w:rPr>
              <w:instrText>i</w:instrText>
            </w:r>
            <w:r w:rsidR="00617832" w:rsidRPr="00A34592">
              <w:rPr>
                <w:rFonts w:ascii="Times New Roman" w:hAnsi="Times New Roman"/>
                <w:noProof/>
                <w:sz w:val="22"/>
                <w:szCs w:val="22"/>
              </w:rPr>
              <w:instrText xml:space="preserve">nteractive voice/web response system" </w:instrText>
            </w:r>
            <w:r w:rsidR="00617832" w:rsidRPr="00A34592">
              <w:rPr>
                <w:rFonts w:ascii="Times New Roman" w:hAnsi="Times New Roman"/>
                <w:noProof/>
                <w:sz w:val="22"/>
                <w:szCs w:val="22"/>
              </w:rPr>
              <w:fldChar w:fldCharType="end"/>
            </w:r>
            <w:r w:rsidR="00617832">
              <w:rPr>
                <w:rFonts w:cs="Arial"/>
                <w:color w:val="000000"/>
              </w:rPr>
              <w:t>)</w:t>
            </w:r>
            <w:r w:rsidRPr="00A569CD">
              <w:rPr>
                <w:rFonts w:cs="Arial"/>
                <w:color w:val="000000"/>
              </w:rPr>
              <w:t xml:space="preserve"> according to the randomization schedule at randomization visit (as randomized).</w:t>
            </w:r>
          </w:p>
          <w:p w:rsidR="00A569CD" w:rsidRPr="00A569CD" w:rsidRDefault="00A569CD" w:rsidP="00A569CD">
            <w:pPr>
              <w:pStyle w:val="TblTextLeft"/>
              <w:tabs>
                <w:tab w:val="left" w:pos="216"/>
              </w:tabs>
              <w:rPr>
                <w:rFonts w:cs="Arial"/>
                <w:color w:val="000000"/>
              </w:rPr>
            </w:pPr>
            <w:r w:rsidRPr="00A569CD">
              <w:rPr>
                <w:rFonts w:cs="Arial"/>
                <w:color w:val="000000"/>
              </w:rPr>
              <w:t>The safety analysis will be conducted on the safety population, defined as all randomized patients exposed to at least one dose of investigational medicinal product, regardless of the amount of treatment administered. Patients will be analyzed according to the treatment regimen actually received.</w:t>
            </w:r>
          </w:p>
          <w:p w:rsidR="0051645D" w:rsidRDefault="0051645D">
            <w:pPr>
              <w:pStyle w:val="TblTextLeft"/>
              <w:tabs>
                <w:tab w:val="left" w:pos="216"/>
              </w:tabs>
              <w:rPr>
                <w:rStyle w:val="ReplaceText"/>
                <w:rFonts w:ascii="Arial" w:hAnsi="Arial" w:cs="Arial"/>
                <w:b/>
                <w:color w:val="000000"/>
              </w:rPr>
            </w:pPr>
            <w:r w:rsidRPr="00AD529F">
              <w:rPr>
                <w:rStyle w:val="ReplaceText"/>
                <w:rFonts w:ascii="Arial" w:hAnsi="Arial" w:cs="Arial"/>
                <w:b/>
                <w:color w:val="000000"/>
              </w:rPr>
              <w:t xml:space="preserve">Primary </w:t>
            </w:r>
            <w:r w:rsidR="00A569CD">
              <w:rPr>
                <w:rStyle w:val="ReplaceText"/>
                <w:rFonts w:ascii="Arial" w:hAnsi="Arial" w:cs="Arial"/>
                <w:b/>
                <w:color w:val="000000"/>
              </w:rPr>
              <w:t xml:space="preserve">efficacy endpoint </w:t>
            </w:r>
            <w:r w:rsidRPr="00AD529F">
              <w:rPr>
                <w:rStyle w:val="ReplaceText"/>
                <w:rFonts w:ascii="Arial" w:hAnsi="Arial" w:cs="Arial"/>
                <w:b/>
                <w:color w:val="000000"/>
              </w:rPr>
              <w:t>analysis:</w:t>
            </w:r>
          </w:p>
          <w:p w:rsidR="00A569CD" w:rsidRPr="00A569CD" w:rsidRDefault="00A569CD" w:rsidP="00A569CD">
            <w:pPr>
              <w:pStyle w:val="TblTextLeft"/>
              <w:tabs>
                <w:tab w:val="left" w:pos="216"/>
              </w:tabs>
              <w:rPr>
                <w:rFonts w:cs="Arial"/>
                <w:color w:val="000000"/>
              </w:rPr>
            </w:pPr>
            <w:r w:rsidRPr="00A569CD">
              <w:rPr>
                <w:rFonts w:cs="Arial"/>
                <w:color w:val="000000"/>
              </w:rPr>
              <w:t xml:space="preserve">Analyses of the primary efficacy endpoint (change from baseline to </w:t>
            </w:r>
            <w:r w:rsidR="0007161F">
              <w:rPr>
                <w:rFonts w:cs="Arial"/>
                <w:color w:val="000000"/>
              </w:rPr>
              <w:t xml:space="preserve">Week </w:t>
            </w:r>
            <w:r w:rsidRPr="00A569CD">
              <w:rPr>
                <w:rFonts w:cs="Arial"/>
                <w:color w:val="000000"/>
              </w:rPr>
              <w:t>26 in HbA</w:t>
            </w:r>
            <w:r w:rsidRPr="00950DEA">
              <w:rPr>
                <w:rFonts w:cs="Arial"/>
                <w:color w:val="000000"/>
                <w:vertAlign w:val="subscript"/>
              </w:rPr>
              <w:t>1c</w:t>
            </w:r>
            <w:r w:rsidRPr="00A569CD">
              <w:rPr>
                <w:rFonts w:cs="Arial"/>
                <w:color w:val="000000"/>
              </w:rPr>
              <w:t>) will be performed using the mITT population, using HbA</w:t>
            </w:r>
            <w:r w:rsidRPr="00950DEA">
              <w:rPr>
                <w:rFonts w:cs="Arial"/>
                <w:color w:val="000000"/>
                <w:vertAlign w:val="subscript"/>
              </w:rPr>
              <w:t>1c</w:t>
            </w:r>
            <w:r w:rsidRPr="00A569CD">
              <w:rPr>
                <w:rFonts w:cs="Arial"/>
                <w:color w:val="000000"/>
              </w:rPr>
              <w:t xml:space="preserve"> values obtained from the scheduled visits during on treatment period. The on-treatment period for HbA</w:t>
            </w:r>
            <w:r w:rsidRPr="00950DEA">
              <w:rPr>
                <w:rFonts w:cs="Arial"/>
                <w:color w:val="000000"/>
                <w:vertAlign w:val="subscript"/>
              </w:rPr>
              <w:t>1c</w:t>
            </w:r>
            <w:r w:rsidRPr="00A569CD">
              <w:rPr>
                <w:rFonts w:cs="Arial"/>
                <w:color w:val="000000"/>
              </w:rPr>
              <w:t xml:space="preserve"> is defined as the time from the first dose of investigational medicinal product to 14 days after the last dose or up to the introduction of rescue therapy, whatever is the earliest. </w:t>
            </w:r>
          </w:p>
          <w:p w:rsidR="00A569CD" w:rsidRPr="00A569CD" w:rsidRDefault="00A569CD" w:rsidP="00A569CD">
            <w:pPr>
              <w:pStyle w:val="TblTextLeft"/>
              <w:tabs>
                <w:tab w:val="left" w:pos="216"/>
              </w:tabs>
              <w:rPr>
                <w:rFonts w:cs="Arial"/>
                <w:color w:val="000000"/>
              </w:rPr>
            </w:pPr>
            <w:r w:rsidRPr="00A569CD">
              <w:rPr>
                <w:rFonts w:cs="Arial"/>
                <w:color w:val="000000"/>
              </w:rPr>
              <w:t xml:space="preserve">The statistical test will be two-sided at the alpha level of 0.05. </w:t>
            </w:r>
          </w:p>
          <w:p w:rsidR="00A569CD" w:rsidRPr="00A569CD" w:rsidRDefault="00A569CD" w:rsidP="00A569CD">
            <w:pPr>
              <w:pStyle w:val="TblTextLeft"/>
              <w:tabs>
                <w:tab w:val="left" w:pos="216"/>
              </w:tabs>
              <w:rPr>
                <w:rFonts w:cs="Arial"/>
                <w:color w:val="000000"/>
              </w:rPr>
            </w:pPr>
            <w:r w:rsidRPr="00A569CD">
              <w:rPr>
                <w:rFonts w:cs="Arial"/>
                <w:color w:val="000000"/>
              </w:rPr>
              <w:t>The primary analysis method for the primary efficacy endpoint will be a mixed-effect model with repeated measures (</w:t>
            </w:r>
            <w:r w:rsidRPr="00617832">
              <w:rPr>
                <w:rFonts w:cs="Arial"/>
                <w:color w:val="000000"/>
              </w:rPr>
              <w:t>MMRM</w:t>
            </w:r>
            <w:r w:rsidR="00617832" w:rsidRPr="00A34592">
              <w:rPr>
                <w:rFonts w:ascii="Times New Roman" w:hAnsi="Times New Roman"/>
                <w:noProof/>
                <w:sz w:val="22"/>
                <w:szCs w:val="22"/>
              </w:rPr>
              <w:fldChar w:fldCharType="begin"/>
            </w:r>
            <w:r w:rsidR="00617832" w:rsidRPr="00A34592">
              <w:rPr>
                <w:rFonts w:ascii="Times New Roman" w:hAnsi="Times New Roman"/>
                <w:noProof/>
                <w:sz w:val="22"/>
                <w:szCs w:val="22"/>
              </w:rPr>
              <w:instrText xml:space="preserve"> X</w:instrText>
            </w:r>
            <w:r w:rsidR="009A6873">
              <w:rPr>
                <w:rFonts w:ascii="Times New Roman" w:hAnsi="Times New Roman"/>
                <w:noProof/>
                <w:sz w:val="22"/>
                <w:szCs w:val="22"/>
              </w:rPr>
              <w:instrText>E " MMRM " \f Abbreviation \t "m</w:instrText>
            </w:r>
            <w:r w:rsidR="00617832" w:rsidRPr="00A34592">
              <w:rPr>
                <w:rFonts w:ascii="Times New Roman" w:hAnsi="Times New Roman"/>
                <w:noProof/>
                <w:sz w:val="22"/>
                <w:szCs w:val="22"/>
              </w:rPr>
              <w:instrText xml:space="preserve">ixed-effect model with repeated measures" </w:instrText>
            </w:r>
            <w:r w:rsidR="00617832" w:rsidRPr="00A34592">
              <w:rPr>
                <w:rFonts w:ascii="Times New Roman" w:hAnsi="Times New Roman"/>
                <w:noProof/>
                <w:sz w:val="22"/>
                <w:szCs w:val="22"/>
              </w:rPr>
              <w:fldChar w:fldCharType="end"/>
            </w:r>
            <w:r w:rsidRPr="00A569CD">
              <w:rPr>
                <w:rFonts w:cs="Arial"/>
                <w:color w:val="000000"/>
              </w:rPr>
              <w:t xml:space="preserve">) under the missing at random framework. The MMRM model will include the treatment groups, randomization strata of screening (V 1) HbA1c (&lt;8%, ≥8%), randomization strata of </w:t>
            </w:r>
            <w:r w:rsidRPr="001153D4">
              <w:rPr>
                <w:rFonts w:cs="Arial"/>
                <w:color w:val="000000"/>
              </w:rPr>
              <w:t>GLP-1 receptor agonist subtype (once/twice daily formulations, once weekly formulations)</w:t>
            </w:r>
            <w:r w:rsidRPr="00A569CD">
              <w:rPr>
                <w:rFonts w:cs="Arial"/>
                <w:color w:val="000000"/>
              </w:rPr>
              <w:t xml:space="preserve"> at screening</w:t>
            </w:r>
            <w:r w:rsidR="00C177F4">
              <w:rPr>
                <w:rFonts w:cs="Arial"/>
                <w:color w:val="000000"/>
              </w:rPr>
              <w:t xml:space="preserve"> visit</w:t>
            </w:r>
            <w:r w:rsidRPr="00A569CD">
              <w:rPr>
                <w:rFonts w:cs="Arial"/>
                <w:color w:val="000000"/>
              </w:rPr>
              <w:t>, treatment-by-visit interaction, and world region as fixed-effect factors, and the baseline HbA</w:t>
            </w:r>
            <w:r w:rsidRPr="00950DEA">
              <w:rPr>
                <w:rFonts w:cs="Arial"/>
                <w:color w:val="000000"/>
                <w:vertAlign w:val="subscript"/>
              </w:rPr>
              <w:t>1c</w:t>
            </w:r>
            <w:r w:rsidRPr="00A569CD">
              <w:rPr>
                <w:rFonts w:cs="Arial"/>
                <w:color w:val="000000"/>
              </w:rPr>
              <w:t>-by-visit interaction as covariate. The baseline value is defined as the last available value prior to the first dose administration of investigational medicinal product. The adjusted mean change in HbA</w:t>
            </w:r>
            <w:r w:rsidRPr="00950DEA">
              <w:rPr>
                <w:rFonts w:cs="Arial"/>
                <w:color w:val="000000"/>
                <w:vertAlign w:val="subscript"/>
              </w:rPr>
              <w:t>1c</w:t>
            </w:r>
            <w:r w:rsidRPr="00A569CD">
              <w:rPr>
                <w:rFonts w:cs="Arial"/>
                <w:color w:val="000000"/>
              </w:rPr>
              <w:t xml:space="preserve"> from baseline to </w:t>
            </w:r>
            <w:r w:rsidR="0007161F">
              <w:rPr>
                <w:rFonts w:cs="Arial"/>
                <w:color w:val="000000"/>
              </w:rPr>
              <w:t xml:space="preserve">Week </w:t>
            </w:r>
            <w:r w:rsidRPr="00A569CD">
              <w:rPr>
                <w:rFonts w:cs="Arial"/>
                <w:color w:val="000000"/>
              </w:rPr>
              <w:t xml:space="preserve">26 for each treatment group will be estimated in the framework of this model, as well as the between-group difference and the 95% </w:t>
            </w:r>
            <w:r w:rsidR="00663B80">
              <w:rPr>
                <w:rFonts w:cs="Arial"/>
                <w:color w:val="000000"/>
              </w:rPr>
              <w:t>confidence interval (</w:t>
            </w:r>
            <w:r w:rsidRPr="00A569CD">
              <w:rPr>
                <w:rFonts w:cs="Arial"/>
                <w:color w:val="000000"/>
              </w:rPr>
              <w:t>CI</w:t>
            </w:r>
            <w:r w:rsidR="00663B80">
              <w:rPr>
                <w:rFonts w:cs="Arial"/>
                <w:color w:val="000000"/>
              </w:rPr>
              <w:t>)</w:t>
            </w:r>
            <w:r w:rsidRPr="00A569CD">
              <w:rPr>
                <w:rFonts w:cs="Arial"/>
                <w:color w:val="000000"/>
              </w:rPr>
              <w:t xml:space="preserve"> for the adjusted mean.</w:t>
            </w:r>
          </w:p>
          <w:p w:rsidR="00A569CD" w:rsidRPr="00A569CD" w:rsidRDefault="00A569CD" w:rsidP="00A569CD">
            <w:pPr>
              <w:pStyle w:val="TblTextLeft"/>
              <w:tabs>
                <w:tab w:val="left" w:pos="216"/>
              </w:tabs>
              <w:rPr>
                <w:rFonts w:cs="Arial"/>
                <w:color w:val="000000"/>
              </w:rPr>
            </w:pPr>
            <w:r w:rsidRPr="00A569CD">
              <w:rPr>
                <w:rFonts w:cs="Arial"/>
                <w:color w:val="000000"/>
              </w:rPr>
              <w:t>The MMRM model will be run using Statistical Analysis System (SAS</w:t>
            </w:r>
            <w:r w:rsidR="00617832" w:rsidRPr="00A34592">
              <w:rPr>
                <w:rFonts w:ascii="Times New Roman" w:hAnsi="Times New Roman"/>
                <w:noProof/>
                <w:sz w:val="22"/>
                <w:szCs w:val="22"/>
              </w:rPr>
              <w:fldChar w:fldCharType="begin"/>
            </w:r>
            <w:r w:rsidR="00617832" w:rsidRPr="00A34592">
              <w:rPr>
                <w:rFonts w:ascii="Times New Roman" w:hAnsi="Times New Roman"/>
                <w:noProof/>
                <w:sz w:val="22"/>
                <w:szCs w:val="22"/>
              </w:rPr>
              <w:instrText xml:space="preserve"> XE " SAS " \f Abbreviation \t "</w:instrText>
            </w:r>
            <w:r w:rsidR="009A6873">
              <w:rPr>
                <w:rFonts w:ascii="Times New Roman" w:hAnsi="Times New Roman"/>
                <w:noProof/>
                <w:sz w:val="22"/>
                <w:szCs w:val="22"/>
              </w:rPr>
              <w:instrText>s</w:instrText>
            </w:r>
            <w:r w:rsidR="00617832" w:rsidRPr="00A34592">
              <w:rPr>
                <w:rFonts w:ascii="Times New Roman" w:hAnsi="Times New Roman"/>
                <w:noProof/>
                <w:sz w:val="22"/>
                <w:szCs w:val="22"/>
              </w:rPr>
              <w:instrText xml:space="preserve">tatistical analysis system" </w:instrText>
            </w:r>
            <w:r w:rsidR="00617832" w:rsidRPr="00A34592">
              <w:rPr>
                <w:rFonts w:ascii="Times New Roman" w:hAnsi="Times New Roman"/>
                <w:noProof/>
                <w:sz w:val="22"/>
                <w:szCs w:val="22"/>
              </w:rPr>
              <w:fldChar w:fldCharType="end"/>
            </w:r>
            <w:r w:rsidRPr="00A569CD">
              <w:rPr>
                <w:rFonts w:cs="Arial"/>
                <w:color w:val="000000"/>
              </w:rPr>
              <w:t>®) (Version 9.</w:t>
            </w:r>
            <w:r w:rsidR="00663B80">
              <w:rPr>
                <w:rFonts w:cs="Arial"/>
                <w:color w:val="000000"/>
              </w:rPr>
              <w:t>4</w:t>
            </w:r>
            <w:r w:rsidRPr="00A569CD">
              <w:rPr>
                <w:rFonts w:cs="Arial"/>
                <w:color w:val="000000"/>
              </w:rPr>
              <w:t xml:space="preserve"> or higher) MIXED procedure (PROC MIXED) with an unstructured correlation matrix to model the within-patient errors. Parameters will be estimated using the restricted maximum likelihood method with the Newton-Raphson algorithm. Denominator degree of freedom will be estimated using the Kenward-Roger approximation by fitting values from post-randomization scheduled visits in the on-treatment period. This model will use only scheduled HbA</w:t>
            </w:r>
            <w:r w:rsidRPr="00950DEA">
              <w:rPr>
                <w:rFonts w:cs="Arial"/>
                <w:color w:val="000000"/>
                <w:vertAlign w:val="subscript"/>
              </w:rPr>
              <w:t xml:space="preserve">1c </w:t>
            </w:r>
            <w:r w:rsidRPr="00A569CD">
              <w:rPr>
                <w:rFonts w:cs="Arial"/>
                <w:color w:val="000000"/>
              </w:rPr>
              <w:t>measurements.</w:t>
            </w:r>
          </w:p>
          <w:p w:rsidR="00A569CD" w:rsidRDefault="00A569CD" w:rsidP="00A569CD">
            <w:pPr>
              <w:pStyle w:val="TblTextLeft"/>
              <w:tabs>
                <w:tab w:val="left" w:pos="216"/>
              </w:tabs>
              <w:rPr>
                <w:rFonts w:cs="Arial"/>
                <w:color w:val="000000"/>
              </w:rPr>
            </w:pPr>
            <w:r w:rsidRPr="00A569CD">
              <w:rPr>
                <w:rFonts w:cs="Arial"/>
                <w:color w:val="000000"/>
              </w:rPr>
              <w:t>For the primary efficacy endpoint, a similar MMRM method using HbA</w:t>
            </w:r>
            <w:r w:rsidRPr="00950DEA">
              <w:rPr>
                <w:rFonts w:cs="Arial"/>
                <w:color w:val="000000"/>
                <w:vertAlign w:val="subscript"/>
              </w:rPr>
              <w:t>1c</w:t>
            </w:r>
            <w:r w:rsidRPr="00A569CD">
              <w:rPr>
                <w:rFonts w:cs="Arial"/>
                <w:color w:val="000000"/>
              </w:rPr>
              <w:t xml:space="preserve"> values obtained from all scheduled visits during the study, including those obtained after IMP discontinuation or rescue medication use will be performed as a sensitivity analysis. Other sensitivity analyses will be performed as necessary to explore different methods for handling missing data.</w:t>
            </w:r>
          </w:p>
          <w:p w:rsidR="0051645D" w:rsidRDefault="00A569CD" w:rsidP="00A569CD">
            <w:pPr>
              <w:pStyle w:val="TblTextLeft"/>
              <w:tabs>
                <w:tab w:val="left" w:pos="216"/>
              </w:tabs>
              <w:rPr>
                <w:rStyle w:val="ReplaceText"/>
                <w:rFonts w:ascii="Arial" w:hAnsi="Arial" w:cs="Arial"/>
                <w:b/>
                <w:color w:val="000000"/>
              </w:rPr>
            </w:pPr>
            <w:r>
              <w:rPr>
                <w:rStyle w:val="ReplaceText"/>
                <w:rFonts w:ascii="Arial" w:hAnsi="Arial" w:cs="Arial"/>
                <w:b/>
                <w:color w:val="000000"/>
              </w:rPr>
              <w:t>Secondary efficacy endpoint analysis</w:t>
            </w:r>
            <w:r w:rsidR="0051645D" w:rsidRPr="00AD529F">
              <w:rPr>
                <w:rStyle w:val="ReplaceText"/>
                <w:rFonts w:ascii="Arial" w:hAnsi="Arial" w:cs="Arial"/>
                <w:b/>
                <w:color w:val="000000"/>
              </w:rPr>
              <w:t>:</w:t>
            </w:r>
          </w:p>
          <w:p w:rsidR="00A569CD" w:rsidRDefault="00A569CD" w:rsidP="00A569CD">
            <w:pPr>
              <w:pStyle w:val="TblTextLeft"/>
              <w:tabs>
                <w:tab w:val="left" w:pos="216"/>
              </w:tabs>
              <w:rPr>
                <w:rStyle w:val="ReplaceText"/>
                <w:rFonts w:cs="Arial"/>
                <w:color w:val="000000"/>
              </w:rPr>
            </w:pPr>
            <w:r w:rsidRPr="00A569CD">
              <w:rPr>
                <w:rStyle w:val="ReplaceText"/>
                <w:rFonts w:cs="Arial"/>
                <w:color w:val="000000"/>
              </w:rPr>
              <w:t>The continuous secondary efficacy endpoints will be analyzed using a similar MMRM method. Differences between treatment groups and CI</w:t>
            </w:r>
            <w:r w:rsidR="00617832">
              <w:rPr>
                <w:rStyle w:val="ReplaceText"/>
                <w:rFonts w:cs="Arial"/>
                <w:color w:val="000000"/>
              </w:rPr>
              <w:fldChar w:fldCharType="begin"/>
            </w:r>
            <w:r w:rsidR="00617832">
              <w:rPr>
                <w:rStyle w:val="ReplaceText"/>
                <w:rFonts w:cs="Arial"/>
                <w:color w:val="000000"/>
              </w:rPr>
              <w:instrText xml:space="preserve"> XE "</w:instrText>
            </w:r>
            <w:r w:rsidR="00617832" w:rsidRPr="00A569CD">
              <w:rPr>
                <w:rStyle w:val="ReplaceText"/>
                <w:rFonts w:cs="Arial"/>
                <w:color w:val="000000"/>
              </w:rPr>
              <w:instrText xml:space="preserve"> CI</w:instrText>
            </w:r>
            <w:r w:rsidR="009A6873">
              <w:rPr>
                <w:rStyle w:val="ReplaceText"/>
                <w:rFonts w:cs="Arial"/>
                <w:color w:val="000000"/>
              </w:rPr>
              <w:instrText xml:space="preserve"> " \f Abbreviation \t "c</w:instrText>
            </w:r>
            <w:r w:rsidR="00617832">
              <w:rPr>
                <w:rStyle w:val="ReplaceText"/>
                <w:rFonts w:cs="Arial"/>
                <w:color w:val="000000"/>
              </w:rPr>
              <w:instrText xml:space="preserve">onfidence interval" </w:instrText>
            </w:r>
            <w:r w:rsidR="00617832">
              <w:rPr>
                <w:rStyle w:val="ReplaceText"/>
                <w:rFonts w:cs="Arial"/>
                <w:color w:val="000000"/>
              </w:rPr>
              <w:fldChar w:fldCharType="end"/>
            </w:r>
            <w:r w:rsidRPr="00A569CD">
              <w:rPr>
                <w:rStyle w:val="ReplaceText"/>
                <w:rFonts w:cs="Arial"/>
                <w:color w:val="000000"/>
              </w:rPr>
              <w:t xml:space="preserve"> will be estimated within the framework of MMRM. Categorical efficacy endpoints will </w:t>
            </w:r>
            <w:r w:rsidRPr="00A569CD">
              <w:rPr>
                <w:rStyle w:val="ReplaceText"/>
                <w:rFonts w:cs="Arial"/>
                <w:color w:val="000000"/>
              </w:rPr>
              <w:lastRenderedPageBreak/>
              <w:t xml:space="preserve">be analyzed by Cochran Mantel Haenszel method stratified by the randomization strata.  </w:t>
            </w:r>
          </w:p>
          <w:p w:rsidR="00A569CD" w:rsidRPr="00A569CD" w:rsidRDefault="00A569CD" w:rsidP="00A569CD">
            <w:pPr>
              <w:pStyle w:val="TblTextLeft"/>
              <w:tabs>
                <w:tab w:val="left" w:pos="216"/>
              </w:tabs>
              <w:rPr>
                <w:rFonts w:ascii="Arial" w:hAnsi="Arial" w:cs="Arial"/>
                <w:b/>
              </w:rPr>
            </w:pPr>
            <w:r w:rsidRPr="00A569CD">
              <w:rPr>
                <w:rFonts w:ascii="Arial" w:hAnsi="Arial" w:cs="Arial"/>
                <w:b/>
              </w:rPr>
              <w:t>Safety analysis</w:t>
            </w:r>
          </w:p>
          <w:p w:rsidR="00A569CD" w:rsidRDefault="00A569CD" w:rsidP="00A569CD">
            <w:pPr>
              <w:pStyle w:val="TblTextLeft"/>
              <w:tabs>
                <w:tab w:val="left" w:pos="216"/>
              </w:tabs>
            </w:pPr>
            <w:r>
              <w:t>Safety analyses for the 26-week treatment period will be descriptive, based on the safety population (randomized and exposed). Treatment-emergent adverse events (</w:t>
            </w:r>
            <w:r w:rsidRPr="00617832">
              <w:t>TEAE</w:t>
            </w:r>
            <w:r w:rsidR="00617832">
              <w:fldChar w:fldCharType="begin"/>
            </w:r>
            <w:r w:rsidR="00617832">
              <w:instrText xml:space="preserve"> XE "</w:instrText>
            </w:r>
            <w:r w:rsidR="00617832" w:rsidRPr="00617832">
              <w:instrText>TEAE</w:instrText>
            </w:r>
            <w:r w:rsidR="009A6873">
              <w:instrText>" \f Abbreviation \t "t</w:instrText>
            </w:r>
            <w:r w:rsidR="00617832">
              <w:instrText xml:space="preserve">reatment-emergent adverse event" </w:instrText>
            </w:r>
            <w:r w:rsidR="00617832">
              <w:fldChar w:fldCharType="end"/>
            </w:r>
            <w:r w:rsidRPr="00617832">
              <w:t>s</w:t>
            </w:r>
            <w:r w:rsidR="00617832">
              <w:t>) are defined as AEs</w:t>
            </w:r>
            <w:r>
              <w:t xml:space="preserve"> that developed or worsened or became serious during the period from the administration of first dose of the study treatments up to 3 days after the last administration.</w:t>
            </w:r>
          </w:p>
          <w:p w:rsidR="00A569CD" w:rsidRPr="00A569CD" w:rsidRDefault="00A569CD" w:rsidP="00A569CD">
            <w:pPr>
              <w:pStyle w:val="TblTextLeft"/>
              <w:tabs>
                <w:tab w:val="left" w:pos="216"/>
              </w:tabs>
              <w:rPr>
                <w:rFonts w:ascii="Arial" w:hAnsi="Arial" w:cs="Arial"/>
                <w:b/>
              </w:rPr>
            </w:pPr>
            <w:r w:rsidRPr="00A569CD">
              <w:rPr>
                <w:rFonts w:ascii="Arial" w:hAnsi="Arial" w:cs="Arial"/>
                <w:b/>
              </w:rPr>
              <w:t>Other endpoint analysis</w:t>
            </w:r>
          </w:p>
          <w:p w:rsidR="00A569CD" w:rsidRPr="00A569CD" w:rsidRDefault="00A569CD" w:rsidP="006501BD">
            <w:pPr>
              <w:pStyle w:val="TblTextLeft"/>
              <w:tabs>
                <w:tab w:val="left" w:pos="216"/>
              </w:tabs>
            </w:pPr>
            <w:r>
              <w:t>Descriptive statistics will be summarized by treatment group.</w:t>
            </w:r>
          </w:p>
        </w:tc>
      </w:tr>
      <w:tr w:rsidR="0051645D">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51645D" w:rsidRDefault="0051645D">
            <w:pPr>
              <w:pStyle w:val="TblHeadingLeft"/>
              <w:rPr>
                <w:noProof w:val="0"/>
                <w:lang w:val="en-US"/>
              </w:rPr>
            </w:pPr>
            <w:r>
              <w:rPr>
                <w:noProof w:val="0"/>
                <w:lang w:val="en-US"/>
              </w:rPr>
              <w:lastRenderedPageBreak/>
              <w:t xml:space="preserve">DURATION OF STUDY PERIOD (per patient) </w:t>
            </w:r>
          </w:p>
        </w:tc>
        <w:tc>
          <w:tcPr>
            <w:tcW w:w="5805" w:type="dxa"/>
            <w:tcBorders>
              <w:top w:val="single" w:sz="6" w:space="0" w:color="000000"/>
              <w:left w:val="single" w:sz="6" w:space="0" w:color="000000"/>
              <w:bottom w:val="single" w:sz="6" w:space="0" w:color="000000"/>
              <w:right w:val="single" w:sz="6" w:space="0" w:color="000000"/>
            </w:tcBorders>
          </w:tcPr>
          <w:p w:rsidR="0051645D" w:rsidRDefault="00357E3B" w:rsidP="006D43AD">
            <w:pPr>
              <w:pStyle w:val="TblTextLeft"/>
            </w:pPr>
            <w:r>
              <w:t>Maximum duration of approximately 29 weeks: an up to 2-week screening period, a 26-week treatment period (either randomized or uncontrolled) and 3</w:t>
            </w:r>
            <w:r w:rsidR="006D43AD">
              <w:t> </w:t>
            </w:r>
            <w:r>
              <w:t>days post-treatment safety follow up period.</w:t>
            </w:r>
          </w:p>
        </w:tc>
      </w:tr>
      <w:tr w:rsidR="00357E3B">
        <w:tblPrEx>
          <w:tblCellMar>
            <w:top w:w="0" w:type="dxa"/>
            <w:bottom w:w="0" w:type="dxa"/>
          </w:tblCellMar>
        </w:tblPrEx>
        <w:tc>
          <w:tcPr>
            <w:tcW w:w="3528" w:type="dxa"/>
            <w:tcBorders>
              <w:top w:val="single" w:sz="6" w:space="0" w:color="000000"/>
              <w:left w:val="single" w:sz="6" w:space="0" w:color="000000"/>
              <w:bottom w:val="single" w:sz="6" w:space="0" w:color="000000"/>
              <w:right w:val="single" w:sz="6" w:space="0" w:color="000000"/>
            </w:tcBorders>
          </w:tcPr>
          <w:p w:rsidR="00357E3B" w:rsidRDefault="00357E3B">
            <w:pPr>
              <w:pStyle w:val="TblHeadingLeft"/>
              <w:rPr>
                <w:noProof w:val="0"/>
                <w:lang w:val="en-US"/>
              </w:rPr>
            </w:pPr>
            <w:r w:rsidRPr="00357E3B">
              <w:rPr>
                <w:noProof w:val="0"/>
                <w:lang w:val="en-US"/>
              </w:rPr>
              <w:t>STUDY COMMITTEES</w:t>
            </w:r>
          </w:p>
        </w:tc>
        <w:tc>
          <w:tcPr>
            <w:tcW w:w="5805" w:type="dxa"/>
            <w:tcBorders>
              <w:top w:val="single" w:sz="6" w:space="0" w:color="000000"/>
              <w:left w:val="single" w:sz="6" w:space="0" w:color="000000"/>
              <w:bottom w:val="single" w:sz="6" w:space="0" w:color="000000"/>
              <w:right w:val="single" w:sz="6" w:space="0" w:color="000000"/>
            </w:tcBorders>
          </w:tcPr>
          <w:p w:rsidR="00357E3B" w:rsidRPr="004A4C44" w:rsidRDefault="00357E3B" w:rsidP="00357E3B">
            <w:pPr>
              <w:pStyle w:val="TblTextLeft"/>
              <w:tabs>
                <w:tab w:val="left" w:pos="5063"/>
              </w:tabs>
            </w:pPr>
            <w:r w:rsidRPr="00486633">
              <w:rPr>
                <w:rStyle w:val="TblHeadingLeftCar"/>
              </w:rPr>
              <w:t>Steering Committee</w:t>
            </w:r>
            <w:r w:rsidRPr="006F4FE8">
              <w:rPr>
                <w:rStyle w:val="BoldCharacter"/>
                <w:b w:val="0"/>
              </w:rPr>
              <w:t>:</w:t>
            </w:r>
            <w:r w:rsidRPr="006F4FE8">
              <w:rPr>
                <w:rStyle w:val="TblHeadingLeftChar"/>
                <w:rFonts w:ascii="Arial Narrow" w:hAnsi="Arial Narrow"/>
                <w:b w:val="0"/>
              </w:rPr>
              <w:t xml:space="preserve"> </w:t>
            </w:r>
            <w:r w:rsidRPr="006F4FE8">
              <w:rPr>
                <w:rStyle w:val="TblHeadingLeftChar"/>
                <w:rFonts w:ascii="Arial Narrow" w:hAnsi="Arial Narrow"/>
                <w:b w:val="0"/>
              </w:rPr>
              <w:tab/>
            </w:r>
            <w:r w:rsidRPr="006F4FE8">
              <w:fldChar w:fldCharType="begin">
                <w:ffData>
                  <w:name w:val="DMC_Yes"/>
                  <w:enabled/>
                  <w:calcOnExit w:val="0"/>
                  <w:checkBox>
                    <w:sizeAuto/>
                    <w:default w:val="1"/>
                  </w:checkBox>
                </w:ffData>
              </w:fldChar>
            </w:r>
            <w:r w:rsidRPr="006F4FE8">
              <w:instrText xml:space="preserve"> FORMCHECKBOX </w:instrText>
            </w:r>
            <w:r>
              <w:fldChar w:fldCharType="separate"/>
            </w:r>
            <w:r w:rsidRPr="006F4FE8">
              <w:fldChar w:fldCharType="end"/>
            </w:r>
            <w:r w:rsidRPr="006F4FE8">
              <w:t xml:space="preserve"> </w:t>
            </w:r>
            <w:r w:rsidRPr="004A4C44">
              <w:t xml:space="preserve">Yes </w:t>
            </w:r>
          </w:p>
          <w:p w:rsidR="00357E3B" w:rsidRDefault="00617832" w:rsidP="00357E3B">
            <w:pPr>
              <w:pStyle w:val="TblTextLeft"/>
              <w:jc w:val="both"/>
              <w:rPr>
                <w:rStyle w:val="BoldCharacter"/>
                <w:b w:val="0"/>
              </w:rPr>
            </w:pPr>
            <w:r>
              <w:t>The Steering Committee</w:t>
            </w:r>
            <w:r w:rsidR="00357E3B" w:rsidRPr="00486633">
              <w:t xml:space="preserve"> is composed of scientists with clinical and methodological expertise in diabetes</w:t>
            </w:r>
            <w:r w:rsidR="00663B80">
              <w:t xml:space="preserve"> and conduct of clinical trials</w:t>
            </w:r>
            <w:r w:rsidR="00357E3B" w:rsidRPr="00486633">
              <w:t xml:space="preserve">. This Committee, led by a Chairman, is responsible for producing and conducting a scientifically sound study and for ensuring accurate reporting of the study. In that capacity, the </w:t>
            </w:r>
            <w:r>
              <w:t>Steering Committee</w:t>
            </w:r>
            <w:r w:rsidR="00357E3B" w:rsidRPr="00486633">
              <w:t xml:space="preserve"> must address scientific issues encountered during the study</w:t>
            </w:r>
            <w:r w:rsidR="00357E3B" w:rsidRPr="006F4FE8">
              <w:rPr>
                <w:rStyle w:val="BoldCharacter"/>
                <w:b w:val="0"/>
              </w:rPr>
              <w:t xml:space="preserve">. </w:t>
            </w:r>
          </w:p>
          <w:p w:rsidR="00357E3B" w:rsidRPr="006F4FE8" w:rsidRDefault="00357E3B" w:rsidP="006501BD">
            <w:pPr>
              <w:pStyle w:val="TblTextLeft"/>
              <w:jc w:val="both"/>
            </w:pPr>
            <w:r w:rsidRPr="00486633">
              <w:rPr>
                <w:rStyle w:val="TblHeadingLeftCar"/>
              </w:rPr>
              <w:t>Allergic Reaction Assessment Committee (</w:t>
            </w:r>
            <w:r w:rsidRPr="004E534F">
              <w:rPr>
                <w:rStyle w:val="TblHeadingLeftCar"/>
              </w:rPr>
              <w:t>ARAC</w:t>
            </w:r>
            <w:r w:rsidRPr="00486633">
              <w:rPr>
                <w:rStyle w:val="TblHeadingLeftCar"/>
              </w:rPr>
              <w:t>):</w:t>
            </w:r>
            <w:r w:rsidRPr="006F4FE8">
              <w:rPr>
                <w:rStyle w:val="BoldCharacter"/>
                <w:b w:val="0"/>
              </w:rPr>
              <w:t xml:space="preserve"> </w:t>
            </w:r>
            <w:r w:rsidRPr="006F4FE8">
              <w:rPr>
                <w:rStyle w:val="TblHeadingLeftChar"/>
                <w:rFonts w:ascii="Arial Narrow" w:hAnsi="Arial Narrow"/>
                <w:b w:val="0"/>
              </w:rPr>
              <w:t xml:space="preserve"> </w:t>
            </w:r>
            <w:r w:rsidRPr="006F4FE8">
              <w:rPr>
                <w:rStyle w:val="TblHeadingLeftChar"/>
                <w:rFonts w:ascii="Arial Narrow" w:hAnsi="Arial Narrow"/>
                <w:b w:val="0"/>
              </w:rPr>
              <w:tab/>
            </w:r>
            <w:r w:rsidRPr="006F4FE8">
              <w:fldChar w:fldCharType="begin">
                <w:ffData>
                  <w:name w:val="Check5"/>
                  <w:enabled/>
                  <w:calcOnExit w:val="0"/>
                  <w:checkBox>
                    <w:sizeAuto/>
                    <w:default w:val="1"/>
                  </w:checkBox>
                </w:ffData>
              </w:fldChar>
            </w:r>
            <w:r w:rsidRPr="006F4FE8">
              <w:instrText xml:space="preserve"> FORMCHECKBOX </w:instrText>
            </w:r>
            <w:r>
              <w:fldChar w:fldCharType="separate"/>
            </w:r>
            <w:r w:rsidRPr="006F4FE8">
              <w:fldChar w:fldCharType="end"/>
            </w:r>
            <w:r w:rsidRPr="006F4FE8">
              <w:t xml:space="preserve"> Yes    </w:t>
            </w:r>
          </w:p>
          <w:p w:rsidR="00357E3B" w:rsidRDefault="00357E3B" w:rsidP="00357E3B">
            <w:pPr>
              <w:pStyle w:val="TblTextLeft"/>
              <w:jc w:val="both"/>
            </w:pPr>
            <w:r w:rsidRPr="006F4FE8">
              <w:t xml:space="preserve">The </w:t>
            </w:r>
            <w:r>
              <w:t xml:space="preserve">ARAC </w:t>
            </w:r>
            <w:r w:rsidR="00617832" w:rsidRPr="00A34592">
              <w:rPr>
                <w:rFonts w:ascii="Times New Roman" w:hAnsi="Times New Roman"/>
                <w:noProof/>
                <w:sz w:val="22"/>
                <w:szCs w:val="22"/>
              </w:rPr>
              <w:fldChar w:fldCharType="begin"/>
            </w:r>
            <w:r w:rsidR="00617832" w:rsidRPr="00A34592">
              <w:rPr>
                <w:rFonts w:ascii="Times New Roman" w:hAnsi="Times New Roman"/>
                <w:noProof/>
                <w:sz w:val="22"/>
                <w:szCs w:val="22"/>
              </w:rPr>
              <w:instrText xml:space="preserve"> X</w:instrText>
            </w:r>
            <w:r w:rsidR="009A6873">
              <w:rPr>
                <w:rFonts w:ascii="Times New Roman" w:hAnsi="Times New Roman"/>
                <w:noProof/>
                <w:sz w:val="22"/>
                <w:szCs w:val="22"/>
              </w:rPr>
              <w:instrText>E " ARAC " \f Abbreviation \t "a</w:instrText>
            </w:r>
            <w:r w:rsidR="00617832" w:rsidRPr="00A34592">
              <w:rPr>
                <w:rFonts w:ascii="Times New Roman" w:hAnsi="Times New Roman"/>
                <w:noProof/>
                <w:sz w:val="22"/>
                <w:szCs w:val="22"/>
              </w:rPr>
              <w:instrText xml:space="preserve">llergic reaction assessment committee" </w:instrText>
            </w:r>
            <w:r w:rsidR="00617832" w:rsidRPr="00A34592">
              <w:rPr>
                <w:rFonts w:ascii="Times New Roman" w:hAnsi="Times New Roman"/>
                <w:noProof/>
                <w:sz w:val="22"/>
                <w:szCs w:val="22"/>
              </w:rPr>
              <w:fldChar w:fldCharType="end"/>
            </w:r>
            <w:r w:rsidRPr="006F4FE8">
              <w:t>is a committee of experts in the field of allergy</w:t>
            </w:r>
            <w:r w:rsidRPr="006F4FE8">
              <w:rPr>
                <w:rFonts w:hint="eastAsia"/>
              </w:rPr>
              <w:t xml:space="preserve">, </w:t>
            </w:r>
            <w:r w:rsidRPr="006F4FE8">
              <w:t xml:space="preserve">independent from the Sponsor and the </w:t>
            </w:r>
            <w:r w:rsidRPr="0074346A">
              <w:t>Investigator</w:t>
            </w:r>
            <w:r w:rsidRPr="00ED3011">
              <w:t>s</w:t>
            </w:r>
            <w:r w:rsidRPr="006F4FE8">
              <w:t xml:space="preserve"> that will assess all allergic or allergic-like reactions occurring during the study. The ARAC reviews the cases in a blinded manner with regard to study treatment.</w:t>
            </w:r>
          </w:p>
          <w:p w:rsidR="00357E3B" w:rsidRPr="006F4FE8" w:rsidRDefault="00357E3B" w:rsidP="00357E3B">
            <w:pPr>
              <w:pStyle w:val="TblTextLeft"/>
              <w:tabs>
                <w:tab w:val="left" w:pos="5065"/>
              </w:tabs>
            </w:pPr>
            <w:r w:rsidRPr="00EA2C48">
              <w:rPr>
                <w:rStyle w:val="TblHeadingLeftCar"/>
              </w:rPr>
              <w:t>Pancreatic Safety Assessment Committee</w:t>
            </w:r>
            <w:r w:rsidRPr="00EA2C48">
              <w:rPr>
                <w:rStyle w:val="TblHeadingLeftCar"/>
                <w:rFonts w:hint="eastAsia"/>
              </w:rPr>
              <w:t xml:space="preserve"> (PSAC</w:t>
            </w:r>
            <w:r w:rsidRPr="00174378">
              <w:rPr>
                <w:rStyle w:val="TblHeadingLeftCar"/>
                <w:rFonts w:hint="eastAsia"/>
                <w:b w:val="0"/>
              </w:rPr>
              <w:t>)</w:t>
            </w:r>
            <w:r w:rsidRPr="00EA2C48">
              <w:rPr>
                <w:rStyle w:val="TblHeadingLeftCar"/>
              </w:rPr>
              <w:t xml:space="preserve">: </w:t>
            </w:r>
            <w:r w:rsidRPr="006F4FE8">
              <w:rPr>
                <w:rStyle w:val="BoldCharacter"/>
                <w:b w:val="0"/>
              </w:rPr>
              <w:tab/>
            </w:r>
            <w:r w:rsidRPr="006F4FE8">
              <w:fldChar w:fldCharType="begin">
                <w:ffData>
                  <w:name w:val="Check5"/>
                  <w:enabled/>
                  <w:calcOnExit w:val="0"/>
                  <w:checkBox>
                    <w:sizeAuto/>
                    <w:default w:val="1"/>
                  </w:checkBox>
                </w:ffData>
              </w:fldChar>
            </w:r>
            <w:r w:rsidRPr="006F4FE8">
              <w:instrText xml:space="preserve"> FORMCHECKBOX </w:instrText>
            </w:r>
            <w:r>
              <w:fldChar w:fldCharType="separate"/>
            </w:r>
            <w:r w:rsidRPr="006F4FE8">
              <w:fldChar w:fldCharType="end"/>
            </w:r>
            <w:r w:rsidRPr="006F4FE8">
              <w:t xml:space="preserve"> Yes</w:t>
            </w:r>
          </w:p>
          <w:p w:rsidR="00357E3B" w:rsidRPr="00357E3B" w:rsidRDefault="00357E3B" w:rsidP="00357E3B">
            <w:pPr>
              <w:pStyle w:val="TblTextLeft"/>
              <w:rPr>
                <w:rFonts w:ascii="Arial" w:hAnsi="Arial" w:cs="Arial"/>
                <w:b/>
              </w:rPr>
            </w:pPr>
            <w:r w:rsidRPr="004A4C44">
              <w:t xml:space="preserve">The PSAC </w:t>
            </w:r>
            <w:r w:rsidR="00617832" w:rsidRPr="00A34592">
              <w:rPr>
                <w:rFonts w:ascii="Times New Roman" w:hAnsi="Times New Roman"/>
                <w:noProof/>
                <w:sz w:val="22"/>
                <w:szCs w:val="22"/>
              </w:rPr>
              <w:fldChar w:fldCharType="begin"/>
            </w:r>
            <w:r w:rsidR="00617832" w:rsidRPr="00A34592">
              <w:rPr>
                <w:rFonts w:ascii="Times New Roman" w:hAnsi="Times New Roman"/>
                <w:noProof/>
                <w:sz w:val="22"/>
                <w:szCs w:val="22"/>
              </w:rPr>
              <w:instrText xml:space="preserve"> X</w:instrText>
            </w:r>
            <w:r w:rsidR="009A6873">
              <w:rPr>
                <w:rFonts w:ascii="Times New Roman" w:hAnsi="Times New Roman"/>
                <w:noProof/>
                <w:sz w:val="22"/>
                <w:szCs w:val="22"/>
              </w:rPr>
              <w:instrText>E " PSAC " \f Abbreviation \t "p</w:instrText>
            </w:r>
            <w:r w:rsidR="00617832" w:rsidRPr="00A34592">
              <w:rPr>
                <w:rFonts w:ascii="Times New Roman" w:hAnsi="Times New Roman"/>
                <w:noProof/>
                <w:sz w:val="22"/>
                <w:szCs w:val="22"/>
              </w:rPr>
              <w:instrText xml:space="preserve">ancreatic safety assessment committee" </w:instrText>
            </w:r>
            <w:r w:rsidR="00617832" w:rsidRPr="00A34592">
              <w:rPr>
                <w:rFonts w:ascii="Times New Roman" w:hAnsi="Times New Roman"/>
                <w:noProof/>
                <w:sz w:val="22"/>
                <w:szCs w:val="22"/>
              </w:rPr>
              <w:fldChar w:fldCharType="end"/>
            </w:r>
            <w:r w:rsidRPr="004A4C44">
              <w:t>is a committee of experts in the field of pancreatitis and pancreatic neoplasm, independent from the Sponsor and the Investigators, implemented to assess pancreatic events that may occur during the study. The PSAC will review selected pancreatic events, including pancreatitis, pancreatic neoplasms and abnormal levels of amylase or lipase. This review will be conducted in a blinded manner with regard to study treatment.</w:t>
            </w:r>
          </w:p>
        </w:tc>
      </w:tr>
    </w:tbl>
    <w:p w:rsidR="002F41EE" w:rsidRDefault="002F41EE">
      <w:pPr>
        <w:sectPr w:rsidR="002F41EE" w:rsidSect="00E37F9A">
          <w:headerReference w:type="default" r:id="rId15"/>
          <w:footerReference w:type="default" r:id="rId16"/>
          <w:headerReference w:type="first" r:id="rId17"/>
          <w:pgSz w:w="11907" w:h="16839" w:code="9"/>
          <w:pgMar w:top="1814" w:right="850" w:bottom="2154" w:left="1587" w:header="1134" w:footer="1587" w:gutter="0"/>
          <w:cols w:space="720"/>
          <w:noEndnote/>
          <w:docGrid w:linePitch="326"/>
        </w:sectPr>
      </w:pPr>
    </w:p>
    <w:p w:rsidR="002F41EE" w:rsidRDefault="002F41EE">
      <w:pPr>
        <w:pStyle w:val="Heading1"/>
        <w:spacing w:before="0"/>
        <w:ind w:left="677" w:hanging="677"/>
      </w:pPr>
      <w:bookmarkStart w:id="3" w:name="_Toc89161697"/>
      <w:bookmarkStart w:id="4" w:name="_Ref130196393"/>
      <w:bookmarkStart w:id="5" w:name="_Toc382298052"/>
      <w:bookmarkStart w:id="6" w:name="_Toc443035814"/>
      <w:r>
        <w:lastRenderedPageBreak/>
        <w:t>Flow chart</w:t>
      </w:r>
      <w:bookmarkEnd w:id="3"/>
      <w:r>
        <w:t>s</w:t>
      </w:r>
      <w:bookmarkEnd w:id="4"/>
      <w:bookmarkEnd w:id="5"/>
      <w:bookmarkEnd w:id="6"/>
    </w:p>
    <w:p w:rsidR="002F41EE" w:rsidRDefault="002F41EE">
      <w:pPr>
        <w:pStyle w:val="Heading2"/>
      </w:pPr>
      <w:bookmarkStart w:id="7" w:name="_Toc382298053"/>
      <w:bookmarkStart w:id="8" w:name="_Toc443035815"/>
      <w:r>
        <w:t>Graphical study design</w:t>
      </w:r>
      <w:bookmarkEnd w:id="7"/>
      <w:bookmarkEnd w:id="8"/>
    </w:p>
    <w:p w:rsidR="00D14591" w:rsidRPr="00D14591" w:rsidRDefault="0043198B" w:rsidP="005F7E5B">
      <w:pPr>
        <w:spacing w:before="0"/>
        <w:jc w:val="center"/>
      </w:pPr>
      <w:r>
        <w:rPr>
          <w:noProof/>
          <w:lang w:eastAsia="zh-CN"/>
        </w:rPr>
        <w:drawing>
          <wp:inline distT="0" distB="0" distL="0" distR="0">
            <wp:extent cx="7233285" cy="50768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33285" cy="5076825"/>
                    </a:xfrm>
                    <a:prstGeom prst="rect">
                      <a:avLst/>
                    </a:prstGeom>
                    <a:noFill/>
                    <a:ln>
                      <a:noFill/>
                    </a:ln>
                  </pic:spPr>
                </pic:pic>
              </a:graphicData>
            </a:graphic>
          </wp:inline>
        </w:drawing>
      </w:r>
    </w:p>
    <w:p w:rsidR="002F41EE" w:rsidRDefault="002F41EE">
      <w:pPr>
        <w:pStyle w:val="Heading2"/>
        <w:keepLines/>
        <w:pageBreakBefore/>
        <w:spacing w:before="360" w:after="120"/>
      </w:pPr>
      <w:bookmarkStart w:id="9" w:name="_Toc89161698"/>
      <w:bookmarkStart w:id="10" w:name="_Toc382298054"/>
      <w:bookmarkStart w:id="11" w:name="_Ref433976338"/>
      <w:bookmarkStart w:id="12" w:name="_Ref433977726"/>
      <w:bookmarkStart w:id="13" w:name="_Ref433982945"/>
      <w:bookmarkStart w:id="14" w:name="_Ref434174531"/>
      <w:bookmarkStart w:id="15" w:name="_Ref434175212"/>
      <w:bookmarkStart w:id="16" w:name="_Ref434487258"/>
      <w:bookmarkStart w:id="17" w:name="_Ref434492119"/>
      <w:bookmarkStart w:id="18" w:name="_Ref434492586"/>
      <w:bookmarkStart w:id="19" w:name="_Ref434492587"/>
      <w:bookmarkStart w:id="20" w:name="_Ref434493576"/>
      <w:bookmarkStart w:id="21" w:name="_Ref434493577"/>
      <w:bookmarkStart w:id="22" w:name="_Ref442689224"/>
      <w:bookmarkStart w:id="23" w:name="_Ref442689342"/>
      <w:bookmarkStart w:id="24" w:name="_Ref442689355"/>
      <w:bookmarkStart w:id="25" w:name="_Ref442689458"/>
      <w:bookmarkStart w:id="26" w:name="_Ref442689465"/>
      <w:bookmarkStart w:id="27" w:name="_Ref442689575"/>
      <w:bookmarkStart w:id="28" w:name="_Ref442689644"/>
      <w:bookmarkStart w:id="29" w:name="_Ref442689738"/>
      <w:bookmarkStart w:id="30" w:name="_Ref442689829"/>
      <w:bookmarkStart w:id="31" w:name="_Ref442689875"/>
      <w:bookmarkStart w:id="32" w:name="_Toc443035816"/>
      <w:r>
        <w:lastRenderedPageBreak/>
        <w:t>Study flow chart</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4B2345" w:rsidRDefault="004B2345">
      <w:pPr>
        <w:pStyle w:val="TblFigFootnote"/>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1" w:type="dxa"/>
          <w:right w:w="71" w:type="dxa"/>
        </w:tblCellMar>
        <w:tblLook w:val="0000" w:firstRow="0" w:lastRow="0" w:firstColumn="0" w:lastColumn="0" w:noHBand="0" w:noVBand="0"/>
      </w:tblPr>
      <w:tblGrid>
        <w:gridCol w:w="2078"/>
        <w:gridCol w:w="544"/>
        <w:gridCol w:w="544"/>
        <w:gridCol w:w="544"/>
        <w:gridCol w:w="452"/>
        <w:gridCol w:w="338"/>
        <w:gridCol w:w="452"/>
        <w:gridCol w:w="338"/>
        <w:gridCol w:w="430"/>
        <w:gridCol w:w="338"/>
        <w:gridCol w:w="455"/>
        <w:gridCol w:w="344"/>
        <w:gridCol w:w="455"/>
        <w:gridCol w:w="345"/>
        <w:gridCol w:w="456"/>
        <w:gridCol w:w="345"/>
        <w:gridCol w:w="456"/>
        <w:gridCol w:w="345"/>
        <w:gridCol w:w="456"/>
        <w:gridCol w:w="345"/>
        <w:gridCol w:w="345"/>
        <w:gridCol w:w="345"/>
        <w:gridCol w:w="345"/>
        <w:gridCol w:w="345"/>
        <w:gridCol w:w="345"/>
        <w:gridCol w:w="345"/>
        <w:gridCol w:w="345"/>
        <w:gridCol w:w="345"/>
        <w:gridCol w:w="568"/>
        <w:gridCol w:w="872"/>
      </w:tblGrid>
      <w:tr w:rsidR="004B2345" w:rsidRPr="00B77B3F" w:rsidTr="00C24D12">
        <w:trPr>
          <w:tblHeader/>
        </w:trPr>
        <w:tc>
          <w:tcPr>
            <w:tcW w:w="729" w:type="pct"/>
            <w:tcBorders>
              <w:top w:val="single" w:sz="12" w:space="0" w:color="auto"/>
              <w:left w:val="single" w:sz="4" w:space="0" w:color="auto"/>
              <w:bottom w:val="single" w:sz="4" w:space="0" w:color="auto"/>
              <w:right w:val="single" w:sz="4" w:space="0" w:color="auto"/>
            </w:tcBorders>
            <w:shd w:val="clear" w:color="auto" w:fill="auto"/>
          </w:tcPr>
          <w:p w:rsidR="004B2345" w:rsidRPr="00056605" w:rsidRDefault="004B2345" w:rsidP="00D75740">
            <w:pPr>
              <w:pStyle w:val="TblTextLeft"/>
              <w:spacing w:before="0" w:after="0"/>
              <w:rPr>
                <w:b/>
                <w:sz w:val="18"/>
                <w:lang w:val="de-DE"/>
              </w:rPr>
            </w:pPr>
          </w:p>
        </w:tc>
        <w:tc>
          <w:tcPr>
            <w:tcW w:w="382" w:type="pct"/>
            <w:gridSpan w:val="2"/>
            <w:tcBorders>
              <w:top w:val="single" w:sz="12" w:space="0" w:color="auto"/>
              <w:left w:val="single" w:sz="4" w:space="0" w:color="auto"/>
              <w:bottom w:val="single" w:sz="4" w:space="0" w:color="auto"/>
              <w:right w:val="single" w:sz="4" w:space="0" w:color="auto"/>
            </w:tcBorders>
            <w:shd w:val="clear" w:color="auto" w:fill="auto"/>
          </w:tcPr>
          <w:p w:rsidR="004B2345" w:rsidRPr="00BA2587" w:rsidRDefault="004B2345" w:rsidP="008D55CC">
            <w:pPr>
              <w:pStyle w:val="TblHeadingCenter"/>
              <w:spacing w:before="0" w:after="0"/>
            </w:pPr>
            <w:r w:rsidRPr="00056605">
              <w:rPr>
                <w:sz w:val="18"/>
                <w:szCs w:val="18"/>
              </w:rPr>
              <w:t xml:space="preserve">Screening </w:t>
            </w:r>
            <w:r w:rsidRPr="00056605">
              <w:rPr>
                <w:sz w:val="18"/>
                <w:szCs w:val="18"/>
                <w:lang w:eastAsia="ja-JP"/>
              </w:rPr>
              <w:t>period</w:t>
            </w:r>
            <w:r w:rsidR="00BA2587" w:rsidRPr="0086515D">
              <w:rPr>
                <w:rStyle w:val="TblFigFootnoteReference"/>
                <w:b w:val="0"/>
                <w:color w:val="0000FF"/>
              </w:rPr>
              <w:fldChar w:fldCharType="begin"/>
            </w:r>
            <w:r w:rsidR="00BA2587" w:rsidRPr="0086515D">
              <w:rPr>
                <w:rStyle w:val="TblFigFootnoteReference"/>
                <w:b w:val="0"/>
                <w:color w:val="0000FF"/>
              </w:rPr>
              <w:instrText xml:space="preserve"> REF _Ref425858051 \r \h </w:instrText>
            </w:r>
            <w:r w:rsidR="00BA2587" w:rsidRPr="0086515D">
              <w:rPr>
                <w:rStyle w:val="TblFigFootnoteReference"/>
                <w:b w:val="0"/>
                <w:color w:val="0000FF"/>
              </w:rPr>
            </w:r>
            <w:r w:rsidR="0086515D">
              <w:rPr>
                <w:rStyle w:val="TblFigFootnoteReference"/>
                <w:b w:val="0"/>
                <w:color w:val="0000FF"/>
              </w:rPr>
              <w:instrText xml:space="preserve"> \* MERGEFORMAT </w:instrText>
            </w:r>
            <w:r w:rsidR="00BA2587" w:rsidRPr="0086515D">
              <w:rPr>
                <w:rStyle w:val="TblFigFootnoteReference"/>
                <w:b w:val="0"/>
                <w:color w:val="0000FF"/>
              </w:rPr>
              <w:fldChar w:fldCharType="separate"/>
            </w:r>
            <w:r w:rsidR="005A26F6">
              <w:rPr>
                <w:rStyle w:val="TblFigFootnoteReference"/>
                <w:b w:val="0"/>
                <w:color w:val="0000FF"/>
              </w:rPr>
              <w:t>b</w:t>
            </w:r>
            <w:r w:rsidR="00BA2587" w:rsidRPr="0086515D">
              <w:rPr>
                <w:rStyle w:val="TblFigFootnoteReference"/>
                <w:b w:val="0"/>
                <w:color w:val="0000FF"/>
              </w:rPr>
              <w:fldChar w:fldCharType="end"/>
            </w:r>
          </w:p>
        </w:tc>
        <w:tc>
          <w:tcPr>
            <w:tcW w:w="3582" w:type="pct"/>
            <w:gridSpan w:val="26"/>
            <w:tcBorders>
              <w:top w:val="single" w:sz="12" w:space="0" w:color="auto"/>
              <w:left w:val="single" w:sz="4" w:space="0" w:color="auto"/>
              <w:bottom w:val="single" w:sz="4" w:space="0" w:color="auto"/>
              <w:right w:val="single" w:sz="4" w:space="0" w:color="auto"/>
            </w:tcBorders>
            <w:shd w:val="clear" w:color="auto" w:fill="auto"/>
          </w:tcPr>
          <w:p w:rsidR="004B2345" w:rsidRPr="00BA2587" w:rsidRDefault="004B2345" w:rsidP="008D55CC">
            <w:pPr>
              <w:pStyle w:val="TblHeadingCenter"/>
              <w:spacing w:before="0" w:after="0"/>
            </w:pPr>
            <w:r>
              <w:rPr>
                <w:sz w:val="18"/>
                <w:szCs w:val="18"/>
              </w:rPr>
              <w:t>Treatment period</w:t>
            </w:r>
            <w:r w:rsidR="00BA2587" w:rsidRPr="0086515D">
              <w:rPr>
                <w:rStyle w:val="TblFigFootnoteReference"/>
                <w:b w:val="0"/>
                <w:color w:val="0000FF"/>
              </w:rPr>
              <w:fldChar w:fldCharType="begin"/>
            </w:r>
            <w:r w:rsidR="00BA2587" w:rsidRPr="0086515D">
              <w:rPr>
                <w:rStyle w:val="TblFigFootnoteReference"/>
                <w:b w:val="0"/>
                <w:color w:val="0000FF"/>
              </w:rPr>
              <w:instrText xml:space="preserve"> REF _Ref425858057 \r \h </w:instrText>
            </w:r>
            <w:r w:rsidR="00BA2587" w:rsidRPr="0086515D">
              <w:rPr>
                <w:rStyle w:val="TblFigFootnoteReference"/>
                <w:b w:val="0"/>
                <w:color w:val="0000FF"/>
              </w:rPr>
            </w:r>
            <w:r w:rsidR="0086515D">
              <w:rPr>
                <w:rStyle w:val="TblFigFootnoteReference"/>
                <w:b w:val="0"/>
                <w:color w:val="0000FF"/>
              </w:rPr>
              <w:instrText xml:space="preserve"> \* MERGEFORMAT </w:instrText>
            </w:r>
            <w:r w:rsidR="00BA2587" w:rsidRPr="0086515D">
              <w:rPr>
                <w:rStyle w:val="TblFigFootnoteReference"/>
                <w:b w:val="0"/>
                <w:color w:val="0000FF"/>
              </w:rPr>
              <w:fldChar w:fldCharType="separate"/>
            </w:r>
            <w:r w:rsidR="005A26F6">
              <w:rPr>
                <w:rStyle w:val="TblFigFootnoteReference"/>
                <w:b w:val="0"/>
                <w:color w:val="0000FF"/>
              </w:rPr>
              <w:t>c</w:t>
            </w:r>
            <w:r w:rsidR="00BA2587" w:rsidRPr="0086515D">
              <w:rPr>
                <w:rStyle w:val="TblFigFootnoteReference"/>
                <w:b w:val="0"/>
                <w:color w:val="0000FF"/>
              </w:rPr>
              <w:fldChar w:fldCharType="end"/>
            </w:r>
          </w:p>
        </w:tc>
        <w:tc>
          <w:tcPr>
            <w:tcW w:w="307" w:type="pct"/>
            <w:tcBorders>
              <w:top w:val="single" w:sz="12" w:space="0" w:color="auto"/>
              <w:left w:val="single" w:sz="4" w:space="0" w:color="auto"/>
              <w:bottom w:val="single" w:sz="4" w:space="0" w:color="auto"/>
              <w:right w:val="single" w:sz="4" w:space="0" w:color="auto"/>
            </w:tcBorders>
            <w:shd w:val="clear" w:color="auto" w:fill="D9D9D9"/>
          </w:tcPr>
          <w:p w:rsidR="004B2345" w:rsidRPr="005C5DB6" w:rsidRDefault="004B2345" w:rsidP="00D75740">
            <w:pPr>
              <w:pStyle w:val="TblHeadingCenter"/>
              <w:spacing w:before="0" w:after="0"/>
            </w:pPr>
            <w:r w:rsidRPr="00F02F25">
              <w:rPr>
                <w:sz w:val="16"/>
                <w:szCs w:val="18"/>
                <w:lang w:val="en-US"/>
              </w:rPr>
              <w:t>Post-treatment follow-up</w:t>
            </w:r>
            <w:r w:rsidR="005C5DB6" w:rsidRPr="0086515D">
              <w:rPr>
                <w:rStyle w:val="TblFigFootnoteReference"/>
                <w:b w:val="0"/>
                <w:color w:val="0000FF"/>
              </w:rPr>
              <w:fldChar w:fldCharType="begin"/>
            </w:r>
            <w:r w:rsidR="005C5DB6" w:rsidRPr="0086515D">
              <w:rPr>
                <w:rStyle w:val="TblFigFootnoteReference"/>
                <w:b w:val="0"/>
                <w:color w:val="0000FF"/>
              </w:rPr>
              <w:instrText xml:space="preserve"> REF _Ref440274574 \r \h </w:instrText>
            </w:r>
            <w:r w:rsidR="005C5DB6" w:rsidRPr="0086515D">
              <w:rPr>
                <w:rStyle w:val="TblFigFootnoteReference"/>
                <w:b w:val="0"/>
                <w:color w:val="0000FF"/>
              </w:rPr>
            </w:r>
            <w:r w:rsidR="0086515D">
              <w:rPr>
                <w:rStyle w:val="TblFigFootnoteReference"/>
                <w:b w:val="0"/>
                <w:color w:val="0000FF"/>
              </w:rPr>
              <w:instrText xml:space="preserve"> \* MERGEFORMAT </w:instrText>
            </w:r>
            <w:r w:rsidR="005C5DB6" w:rsidRPr="0086515D">
              <w:rPr>
                <w:rStyle w:val="TblFigFootnoteReference"/>
                <w:b w:val="0"/>
                <w:color w:val="0000FF"/>
              </w:rPr>
              <w:fldChar w:fldCharType="separate"/>
            </w:r>
            <w:r w:rsidR="005A26F6">
              <w:rPr>
                <w:rStyle w:val="TblFigFootnoteReference"/>
                <w:b w:val="0"/>
                <w:color w:val="0000FF"/>
              </w:rPr>
              <w:t>d</w:t>
            </w:r>
            <w:r w:rsidR="005C5DB6" w:rsidRPr="0086515D">
              <w:rPr>
                <w:rStyle w:val="TblFigFootnoteReference"/>
                <w:b w:val="0"/>
                <w:color w:val="0000FF"/>
              </w:rPr>
              <w:fldChar w:fldCharType="end"/>
            </w:r>
          </w:p>
        </w:tc>
      </w:tr>
      <w:tr w:rsidR="004B2345" w:rsidRPr="00B77B3F" w:rsidTr="00C24D12">
        <w:trPr>
          <w:tblHeader/>
        </w:trPr>
        <w:tc>
          <w:tcPr>
            <w:tcW w:w="729" w:type="pct"/>
            <w:vMerge w:val="restart"/>
            <w:tcBorders>
              <w:top w:val="single" w:sz="12" w:space="0" w:color="auto"/>
              <w:left w:val="single" w:sz="4" w:space="0" w:color="auto"/>
              <w:bottom w:val="single" w:sz="4" w:space="0" w:color="auto"/>
              <w:right w:val="single" w:sz="4" w:space="0" w:color="auto"/>
            </w:tcBorders>
            <w:shd w:val="clear" w:color="auto" w:fill="auto"/>
          </w:tcPr>
          <w:p w:rsidR="004B2345" w:rsidRPr="00BA2587" w:rsidRDefault="004B2345" w:rsidP="008D55CC">
            <w:pPr>
              <w:pStyle w:val="TblTextLeft"/>
              <w:spacing w:before="0" w:after="0"/>
            </w:pPr>
            <w:r w:rsidRPr="00056605">
              <w:rPr>
                <w:b/>
                <w:sz w:val="18"/>
                <w:lang w:val="de-DE"/>
              </w:rPr>
              <w:t>VISIT</w:t>
            </w:r>
            <w:r w:rsidR="00BA2587" w:rsidRPr="00BA2587">
              <w:rPr>
                <w:rStyle w:val="TblFigFootnoteReference"/>
                <w:color w:val="0000FF"/>
              </w:rPr>
              <w:fldChar w:fldCharType="begin"/>
            </w:r>
            <w:r w:rsidR="00BA2587" w:rsidRPr="00BA2587">
              <w:rPr>
                <w:rStyle w:val="TblFigFootnoteReference"/>
                <w:color w:val="0000FF"/>
              </w:rPr>
              <w:instrText xml:space="preserve"> REF _Ref425858052 \r \h </w:instrText>
            </w:r>
            <w:r w:rsidR="00BA2587" w:rsidRPr="00BA2587">
              <w:rPr>
                <w:rStyle w:val="TblFigFootnoteReference"/>
                <w:color w:val="0000FF"/>
              </w:rPr>
            </w:r>
            <w:r w:rsidR="00BA2587" w:rsidRPr="00BA2587">
              <w:rPr>
                <w:rStyle w:val="TblFigFootnoteReference"/>
                <w:color w:val="0000FF"/>
              </w:rPr>
              <w:fldChar w:fldCharType="separate"/>
            </w:r>
            <w:r w:rsidR="005A26F6">
              <w:rPr>
                <w:rStyle w:val="TblFigFootnoteReference"/>
                <w:color w:val="0000FF"/>
              </w:rPr>
              <w:t>a</w:t>
            </w:r>
            <w:r w:rsidR="00BA2587" w:rsidRPr="00BA2587">
              <w:rPr>
                <w:rStyle w:val="TblFigFootnoteReference"/>
                <w:color w:val="0000FF"/>
              </w:rPr>
              <w:fldChar w:fldCharType="end"/>
            </w:r>
          </w:p>
        </w:tc>
        <w:tc>
          <w:tcPr>
            <w:tcW w:w="191" w:type="pct"/>
            <w:tcBorders>
              <w:top w:val="single" w:sz="12"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HeadingCenter"/>
              <w:spacing w:before="0" w:after="0"/>
              <w:rPr>
                <w:sz w:val="18"/>
                <w:szCs w:val="18"/>
                <w:lang w:val="en-US"/>
              </w:rPr>
            </w:pPr>
            <w:r w:rsidRPr="00B77B3F">
              <w:rPr>
                <w:sz w:val="18"/>
                <w:szCs w:val="18"/>
                <w:lang w:val="en-US"/>
              </w:rPr>
              <w:t>1</w:t>
            </w:r>
          </w:p>
        </w:tc>
        <w:tc>
          <w:tcPr>
            <w:tcW w:w="191"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HeadingCenter"/>
              <w:spacing w:before="0" w:after="0"/>
              <w:rPr>
                <w:sz w:val="18"/>
                <w:szCs w:val="18"/>
                <w:lang w:val="en-US"/>
              </w:rPr>
            </w:pPr>
            <w:r w:rsidRPr="00B77B3F">
              <w:rPr>
                <w:sz w:val="18"/>
                <w:szCs w:val="18"/>
                <w:lang w:val="en-US"/>
              </w:rPr>
              <w:t>2</w:t>
            </w:r>
          </w:p>
        </w:tc>
        <w:tc>
          <w:tcPr>
            <w:tcW w:w="191" w:type="pct"/>
            <w:tcBorders>
              <w:top w:val="single" w:sz="12"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HeadingCenter"/>
              <w:spacing w:before="0" w:after="0"/>
              <w:rPr>
                <w:sz w:val="18"/>
                <w:szCs w:val="18"/>
                <w:lang w:val="en-US"/>
              </w:rPr>
            </w:pPr>
            <w:r w:rsidRPr="00B77B3F">
              <w:rPr>
                <w:sz w:val="18"/>
                <w:szCs w:val="18"/>
                <w:lang w:val="en-US"/>
              </w:rPr>
              <w:t>3</w:t>
            </w:r>
          </w:p>
        </w:tc>
        <w:tc>
          <w:tcPr>
            <w:tcW w:w="159"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4</w:t>
            </w:r>
          </w:p>
        </w:tc>
        <w:tc>
          <w:tcPr>
            <w:tcW w:w="119"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5</w:t>
            </w:r>
          </w:p>
        </w:tc>
        <w:tc>
          <w:tcPr>
            <w:tcW w:w="159"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6</w:t>
            </w:r>
          </w:p>
        </w:tc>
        <w:tc>
          <w:tcPr>
            <w:tcW w:w="119"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HeadingCenter"/>
              <w:spacing w:before="0" w:after="0"/>
              <w:rPr>
                <w:sz w:val="18"/>
                <w:szCs w:val="18"/>
                <w:lang w:val="en-US"/>
              </w:rPr>
            </w:pPr>
            <w:r>
              <w:rPr>
                <w:sz w:val="18"/>
                <w:szCs w:val="18"/>
                <w:lang w:val="en-US"/>
              </w:rPr>
              <w:t>7</w:t>
            </w:r>
          </w:p>
        </w:tc>
        <w:tc>
          <w:tcPr>
            <w:tcW w:w="15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8</w:t>
            </w:r>
          </w:p>
        </w:tc>
        <w:tc>
          <w:tcPr>
            <w:tcW w:w="119"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9</w:t>
            </w: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10</w:t>
            </w:r>
          </w:p>
        </w:tc>
        <w:tc>
          <w:tcPr>
            <w:tcW w:w="121"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HeadingCenter"/>
              <w:spacing w:before="0" w:after="0"/>
              <w:rPr>
                <w:sz w:val="18"/>
                <w:szCs w:val="18"/>
                <w:lang w:val="en-US"/>
              </w:rPr>
            </w:pPr>
            <w:r>
              <w:rPr>
                <w:sz w:val="18"/>
                <w:szCs w:val="18"/>
                <w:lang w:val="en-US"/>
              </w:rPr>
              <w:t>11</w:t>
            </w: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12</w:t>
            </w: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13</w:t>
            </w: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14</w:t>
            </w: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15</w:t>
            </w: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16</w:t>
            </w: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17</w:t>
            </w: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18</w:t>
            </w:r>
          </w:p>
        </w:tc>
        <w:tc>
          <w:tcPr>
            <w:tcW w:w="121" w:type="pct"/>
            <w:tcBorders>
              <w:top w:val="single" w:sz="12"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HeadingCenter"/>
              <w:spacing w:before="0" w:after="0"/>
              <w:rPr>
                <w:sz w:val="18"/>
                <w:szCs w:val="18"/>
                <w:lang w:val="en-US"/>
              </w:rPr>
            </w:pPr>
            <w:r>
              <w:rPr>
                <w:sz w:val="18"/>
                <w:szCs w:val="18"/>
                <w:lang w:val="en-US"/>
              </w:rPr>
              <w:t>19</w:t>
            </w: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20</w:t>
            </w:r>
          </w:p>
        </w:tc>
        <w:tc>
          <w:tcPr>
            <w:tcW w:w="121"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HeadingCenter"/>
              <w:spacing w:before="0" w:after="0"/>
              <w:rPr>
                <w:sz w:val="18"/>
                <w:szCs w:val="18"/>
                <w:lang w:val="en-US"/>
              </w:rPr>
            </w:pPr>
            <w:r>
              <w:rPr>
                <w:sz w:val="18"/>
                <w:szCs w:val="18"/>
                <w:lang w:val="en-US"/>
              </w:rPr>
              <w:t>21</w:t>
            </w: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22</w:t>
            </w: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Default="004B2345" w:rsidP="00D75740">
            <w:pPr>
              <w:pStyle w:val="TblHeadingCenter"/>
              <w:spacing w:before="0" w:after="0"/>
              <w:rPr>
                <w:sz w:val="18"/>
                <w:szCs w:val="18"/>
                <w:lang w:val="en-US"/>
              </w:rPr>
            </w:pPr>
            <w:r>
              <w:rPr>
                <w:sz w:val="18"/>
                <w:szCs w:val="18"/>
                <w:lang w:val="en-US"/>
              </w:rPr>
              <w:t>23</w:t>
            </w:r>
          </w:p>
        </w:tc>
        <w:tc>
          <w:tcPr>
            <w:tcW w:w="121"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HeadingCenter"/>
              <w:spacing w:before="0" w:after="0"/>
              <w:rPr>
                <w:sz w:val="18"/>
                <w:szCs w:val="18"/>
                <w:lang w:val="en-US"/>
              </w:rPr>
            </w:pPr>
            <w:r>
              <w:rPr>
                <w:sz w:val="18"/>
                <w:szCs w:val="18"/>
                <w:lang w:val="en-US"/>
              </w:rPr>
              <w:t>24</w:t>
            </w: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25</w:t>
            </w:r>
          </w:p>
        </w:tc>
        <w:tc>
          <w:tcPr>
            <w:tcW w:w="121" w:type="pct"/>
            <w:tcBorders>
              <w:top w:val="single" w:sz="12" w:space="0" w:color="auto"/>
              <w:left w:val="single" w:sz="4" w:space="0" w:color="auto"/>
              <w:bottom w:val="single" w:sz="4" w:space="0" w:color="auto"/>
              <w:right w:val="single" w:sz="4" w:space="0" w:color="auto"/>
            </w:tcBorders>
          </w:tcPr>
          <w:p w:rsidR="004B2345" w:rsidRDefault="004B2345" w:rsidP="00D75740">
            <w:pPr>
              <w:pStyle w:val="TblHeadingCenter"/>
              <w:spacing w:before="0" w:after="0"/>
              <w:rPr>
                <w:sz w:val="18"/>
                <w:szCs w:val="18"/>
                <w:lang w:val="en-US"/>
              </w:rPr>
            </w:pPr>
            <w:r>
              <w:rPr>
                <w:sz w:val="18"/>
                <w:szCs w:val="18"/>
                <w:lang w:val="en-US"/>
              </w:rPr>
              <w:t>26</w:t>
            </w: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rPr>
            </w:pPr>
            <w:r>
              <w:rPr>
                <w:sz w:val="18"/>
                <w:szCs w:val="18"/>
                <w:lang w:val="en-US"/>
              </w:rPr>
              <w:t>27</w:t>
            </w:r>
          </w:p>
        </w:tc>
        <w:tc>
          <w:tcPr>
            <w:tcW w:w="199" w:type="pct"/>
            <w:tcBorders>
              <w:top w:val="single" w:sz="12" w:space="0" w:color="auto"/>
              <w:left w:val="single" w:sz="4" w:space="0" w:color="auto"/>
              <w:bottom w:val="single" w:sz="4" w:space="0" w:color="auto"/>
              <w:right w:val="single" w:sz="4" w:space="0" w:color="auto"/>
            </w:tcBorders>
            <w:shd w:val="clear" w:color="auto" w:fill="auto"/>
          </w:tcPr>
          <w:p w:rsidR="004B2345" w:rsidRPr="00BA2587" w:rsidRDefault="004B2345" w:rsidP="008D55CC">
            <w:pPr>
              <w:pStyle w:val="TblHeadingCenter"/>
              <w:spacing w:before="0" w:after="0"/>
            </w:pPr>
            <w:r w:rsidRPr="00F02F25">
              <w:rPr>
                <w:sz w:val="18"/>
                <w:szCs w:val="18"/>
              </w:rPr>
              <w:t>2</w:t>
            </w:r>
            <w:r>
              <w:rPr>
                <w:sz w:val="18"/>
                <w:szCs w:val="18"/>
              </w:rPr>
              <w:t>8</w:t>
            </w:r>
            <w:r w:rsidR="00BA2587" w:rsidRPr="0086515D">
              <w:rPr>
                <w:rStyle w:val="TblFigFootnoteReference"/>
                <w:b w:val="0"/>
                <w:color w:val="0000FF"/>
              </w:rPr>
              <w:fldChar w:fldCharType="begin"/>
            </w:r>
            <w:r w:rsidR="00BA2587" w:rsidRPr="0086515D">
              <w:rPr>
                <w:rStyle w:val="TblFigFootnoteReference"/>
                <w:b w:val="0"/>
                <w:color w:val="0000FF"/>
              </w:rPr>
              <w:instrText xml:space="preserve"> REF _Ref425858056 \r \h </w:instrText>
            </w:r>
            <w:r w:rsidR="00BA2587" w:rsidRPr="0086515D">
              <w:rPr>
                <w:rStyle w:val="TblFigFootnoteReference"/>
                <w:b w:val="0"/>
                <w:color w:val="0000FF"/>
              </w:rPr>
            </w:r>
            <w:r w:rsidR="0086515D">
              <w:rPr>
                <w:rStyle w:val="TblFigFootnoteReference"/>
                <w:b w:val="0"/>
                <w:color w:val="0000FF"/>
              </w:rPr>
              <w:instrText xml:space="preserve"> \* MERGEFORMAT </w:instrText>
            </w:r>
            <w:r w:rsidR="00BA2587" w:rsidRPr="0086515D">
              <w:rPr>
                <w:rStyle w:val="TblFigFootnoteReference"/>
                <w:b w:val="0"/>
                <w:color w:val="0000FF"/>
              </w:rPr>
              <w:fldChar w:fldCharType="separate"/>
            </w:r>
            <w:r w:rsidR="005A26F6">
              <w:rPr>
                <w:rStyle w:val="TblFigFootnoteReference"/>
                <w:b w:val="0"/>
                <w:color w:val="0000FF"/>
              </w:rPr>
              <w:t>e</w:t>
            </w:r>
            <w:r w:rsidR="00BA2587" w:rsidRPr="0086515D">
              <w:rPr>
                <w:rStyle w:val="TblFigFootnoteReference"/>
                <w:b w:val="0"/>
                <w:color w:val="0000FF"/>
              </w:rPr>
              <w:fldChar w:fldCharType="end"/>
            </w:r>
          </w:p>
        </w:tc>
        <w:tc>
          <w:tcPr>
            <w:tcW w:w="307"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HeadingCenter"/>
              <w:spacing w:before="0" w:after="0"/>
              <w:rPr>
                <w:sz w:val="18"/>
                <w:szCs w:val="18"/>
                <w:lang w:val="en-US" w:eastAsia="ja-JP"/>
              </w:rPr>
            </w:pPr>
            <w:r>
              <w:rPr>
                <w:sz w:val="18"/>
                <w:szCs w:val="18"/>
                <w:lang w:val="en-US"/>
              </w:rPr>
              <w:t>29</w:t>
            </w:r>
          </w:p>
          <w:p w:rsidR="005C5DB6" w:rsidRDefault="004B2345" w:rsidP="005C5DB6">
            <w:pPr>
              <w:pStyle w:val="TblHeadingCenter"/>
              <w:spacing w:before="0" w:after="0"/>
              <w:rPr>
                <w:sz w:val="18"/>
                <w:szCs w:val="18"/>
                <w:lang w:val="en-US" w:eastAsia="ja-JP"/>
              </w:rPr>
            </w:pPr>
            <w:r w:rsidRPr="00B77B3F">
              <w:rPr>
                <w:sz w:val="18"/>
                <w:szCs w:val="18"/>
                <w:lang w:val="en-US" w:eastAsia="ja-JP"/>
              </w:rPr>
              <w:t>V</w:t>
            </w:r>
            <w:r>
              <w:rPr>
                <w:sz w:val="18"/>
                <w:szCs w:val="18"/>
                <w:lang w:val="en-US" w:eastAsia="ja-JP"/>
              </w:rPr>
              <w:t>28</w:t>
            </w:r>
            <w:r w:rsidRPr="00B77B3F">
              <w:rPr>
                <w:sz w:val="18"/>
                <w:szCs w:val="18"/>
                <w:lang w:val="en-US" w:eastAsia="ja-JP"/>
              </w:rPr>
              <w:t xml:space="preserve"> + </w:t>
            </w:r>
            <w:r>
              <w:rPr>
                <w:sz w:val="18"/>
                <w:szCs w:val="18"/>
                <w:lang w:val="en-US" w:eastAsia="ja-JP"/>
              </w:rPr>
              <w:br/>
            </w:r>
            <w:r w:rsidRPr="00B77B3F">
              <w:rPr>
                <w:sz w:val="18"/>
                <w:szCs w:val="18"/>
                <w:lang w:val="en-US" w:eastAsia="ja-JP"/>
              </w:rPr>
              <w:t>3 days</w:t>
            </w:r>
          </w:p>
          <w:p w:rsidR="004B2345" w:rsidRPr="00B77B3F" w:rsidRDefault="005C5DB6" w:rsidP="005C5DB6">
            <w:pPr>
              <w:pStyle w:val="TblHeadingCenter"/>
              <w:spacing w:before="0" w:after="0"/>
              <w:rPr>
                <w:sz w:val="18"/>
                <w:szCs w:val="18"/>
                <w:lang w:val="en-US" w:eastAsia="ja-JP"/>
              </w:rPr>
            </w:pPr>
            <w:r w:rsidRPr="005C5DB6">
              <w:rPr>
                <w:sz w:val="18"/>
                <w:szCs w:val="18"/>
                <w:lang w:val="en-US" w:eastAsia="ja-JP"/>
              </w:rPr>
              <w:t>(-1/+3 days)</w:t>
            </w:r>
          </w:p>
        </w:tc>
      </w:tr>
      <w:tr w:rsidR="004B2345" w:rsidRPr="00B77B3F" w:rsidTr="00C24D12">
        <w:trPr>
          <w:tblHeader/>
        </w:trPr>
        <w:tc>
          <w:tcPr>
            <w:tcW w:w="729" w:type="pct"/>
            <w:vMerge/>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Left"/>
              <w:spacing w:before="0" w:after="0"/>
              <w:rPr>
                <w:bCs/>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spacing w:before="0" w:after="0"/>
              <w:rPr>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spacing w:before="0" w:after="0"/>
              <w:rPr>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spacing w:before="0" w:after="0"/>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spacing w:before="0" w:after="0"/>
              <w:rPr>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spacing w:before="0" w:after="0"/>
              <w:rPr>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spacing w:before="0" w:after="0"/>
              <w:rPr>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spacing w:before="0" w:after="0"/>
              <w:rPr>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spacing w:before="0" w:after="0"/>
              <w:rPr>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jc w:val="left"/>
              <w:rPr>
                <w:sz w:val="18"/>
              </w:rPr>
            </w:pPr>
            <w:r w:rsidRPr="00B77B3F">
              <w:rPr>
                <w:sz w:val="18"/>
              </w:rPr>
              <w:sym w:font="Wingdings" w:char="F028"/>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spacing w:before="0" w:after="0"/>
              <w:rPr>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spacing w:before="0" w:after="0"/>
              <w:rPr>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spacing w:before="0" w:after="0"/>
              <w:rPr>
                <w:sz w:val="18"/>
              </w:rPr>
            </w:pPr>
            <w:r w:rsidRPr="00B77B3F">
              <w:rPr>
                <w:sz w:val="18"/>
              </w:rPr>
              <w:sym w:font="Wingdings" w:char="F028"/>
            </w:r>
          </w:p>
        </w:tc>
      </w:tr>
      <w:tr w:rsidR="004B2345" w:rsidRPr="00B77B3F" w:rsidTr="00C24D12">
        <w:trPr>
          <w:tblHeader/>
        </w:trPr>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Left"/>
              <w:rPr>
                <w:b/>
                <w:sz w:val="18"/>
              </w:rPr>
            </w:pPr>
            <w:r w:rsidRPr="00B77B3F">
              <w:rPr>
                <w:b/>
                <w:sz w:val="18"/>
              </w:rPr>
              <w:t>WEEK</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b/>
                <w:sz w:val="18"/>
                <w:lang w:eastAsia="ja-JP"/>
              </w:rPr>
            </w:pPr>
            <w:r w:rsidRPr="00B77B3F">
              <w:rPr>
                <w:b/>
                <w:sz w:val="18"/>
              </w:rPr>
              <w:t>-</w:t>
            </w:r>
            <w:r w:rsidRPr="00B77B3F">
              <w:rPr>
                <w:b/>
                <w:sz w:val="18"/>
                <w:lang w:eastAsia="ja-JP"/>
              </w:rPr>
              <w:t>2</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b/>
                <w:sz w:val="18"/>
              </w:rPr>
            </w:pPr>
            <w:r w:rsidRPr="00B77B3F">
              <w:rPr>
                <w:b/>
                <w:sz w:val="18"/>
              </w:rPr>
              <w:t>-1</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b/>
                <w:sz w:val="18"/>
              </w:rPr>
            </w:pPr>
            <w:r w:rsidRPr="00B77B3F">
              <w:rPr>
                <w:b/>
                <w:sz w:val="18"/>
              </w:rPr>
              <w:t>0</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16125B" w:rsidRDefault="004B2345" w:rsidP="0016125B">
            <w:pPr>
              <w:pStyle w:val="TblTextCenter"/>
            </w:pPr>
            <w:r w:rsidRPr="00B77B3F">
              <w:rPr>
                <w:b/>
                <w:color w:val="000000"/>
                <w:sz w:val="18"/>
              </w:rPr>
              <w:t>0.5</w:t>
            </w:r>
            <w:r w:rsidR="0016125B" w:rsidRPr="0016125B">
              <w:rPr>
                <w:rStyle w:val="TblFigFootnoteReference"/>
                <w:color w:val="0000FF"/>
              </w:rPr>
              <w:fldChar w:fldCharType="begin"/>
            </w:r>
            <w:r w:rsidR="0016125B" w:rsidRPr="0016125B">
              <w:rPr>
                <w:rStyle w:val="TblFigFootnoteReference"/>
                <w:color w:val="0000FF"/>
              </w:rPr>
              <w:instrText xml:space="preserve"> REF _Ref433803707 \r \h </w:instrText>
            </w:r>
            <w:r w:rsidR="0016125B" w:rsidRPr="0016125B">
              <w:rPr>
                <w:rStyle w:val="TblFigFootnoteReference"/>
                <w:color w:val="0000FF"/>
              </w:rPr>
            </w:r>
            <w:r w:rsidR="0016125B" w:rsidRPr="0016125B">
              <w:rPr>
                <w:rStyle w:val="TblFigFootnoteReference"/>
                <w:color w:val="0000FF"/>
              </w:rPr>
              <w:fldChar w:fldCharType="separate"/>
            </w:r>
            <w:r w:rsidR="005A26F6">
              <w:rPr>
                <w:rStyle w:val="TblFigFootnoteReference"/>
                <w:color w:val="0000FF"/>
              </w:rPr>
              <w:t>f</w:t>
            </w:r>
            <w:r w:rsidR="0016125B" w:rsidRPr="0016125B">
              <w:rPr>
                <w:rStyle w:val="TblFigFootnoteReference"/>
                <w:color w:val="0000FF"/>
              </w:rPr>
              <w:fldChar w:fldCharType="end"/>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sidRPr="00B77B3F">
              <w:rPr>
                <w:b/>
                <w:sz w:val="18"/>
              </w:rPr>
              <w:t>1</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16125B" w:rsidRDefault="004B2345" w:rsidP="0016125B">
            <w:pPr>
              <w:pStyle w:val="TblTextCenter"/>
            </w:pPr>
            <w:r w:rsidRPr="00B77B3F">
              <w:rPr>
                <w:b/>
                <w:color w:val="000000"/>
                <w:sz w:val="18"/>
              </w:rPr>
              <w:t>1.5</w:t>
            </w:r>
            <w:r w:rsidR="0016125B" w:rsidRPr="0016125B">
              <w:rPr>
                <w:rStyle w:val="TblFigFootnoteReference"/>
                <w:color w:val="0000FF"/>
              </w:rPr>
              <w:fldChar w:fldCharType="begin"/>
            </w:r>
            <w:r w:rsidR="0016125B" w:rsidRPr="0016125B">
              <w:rPr>
                <w:rStyle w:val="TblFigFootnoteReference"/>
                <w:color w:val="0000FF"/>
              </w:rPr>
              <w:instrText xml:space="preserve"> REF _Ref433803707 \r \h </w:instrText>
            </w:r>
            <w:r w:rsidR="0016125B" w:rsidRPr="0016125B">
              <w:rPr>
                <w:rStyle w:val="TblFigFootnoteReference"/>
                <w:color w:val="0000FF"/>
              </w:rPr>
            </w:r>
            <w:r w:rsidR="0016125B" w:rsidRPr="0016125B">
              <w:rPr>
                <w:rStyle w:val="TblFigFootnoteReference"/>
                <w:color w:val="0000FF"/>
              </w:rPr>
              <w:fldChar w:fldCharType="separate"/>
            </w:r>
            <w:r w:rsidR="005A26F6">
              <w:rPr>
                <w:rStyle w:val="TblFigFootnoteReference"/>
                <w:color w:val="0000FF"/>
              </w:rPr>
              <w:t>f</w:t>
            </w:r>
            <w:r w:rsidR="0016125B" w:rsidRPr="0016125B">
              <w:rPr>
                <w:rStyle w:val="TblFigFootnoteReference"/>
                <w:color w:val="0000FF"/>
              </w:rPr>
              <w:fldChar w:fldCharType="end"/>
            </w: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b/>
                <w:sz w:val="18"/>
              </w:rPr>
            </w:pPr>
            <w:r w:rsidRPr="00B77B3F">
              <w:rPr>
                <w:b/>
                <w:sz w:val="18"/>
              </w:rPr>
              <w:t>2</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16125B" w:rsidRDefault="004B2345" w:rsidP="0016125B">
            <w:pPr>
              <w:pStyle w:val="TblTextCenter"/>
            </w:pPr>
            <w:r w:rsidRPr="00B77B3F">
              <w:rPr>
                <w:b/>
                <w:color w:val="000000"/>
                <w:sz w:val="18"/>
              </w:rPr>
              <w:t>2.5</w:t>
            </w:r>
            <w:r w:rsidR="0016125B" w:rsidRPr="0016125B">
              <w:rPr>
                <w:rStyle w:val="TblFigFootnoteReference"/>
                <w:color w:val="0000FF"/>
              </w:rPr>
              <w:fldChar w:fldCharType="begin"/>
            </w:r>
            <w:r w:rsidR="0016125B" w:rsidRPr="0016125B">
              <w:rPr>
                <w:rStyle w:val="TblFigFootnoteReference"/>
                <w:color w:val="0000FF"/>
              </w:rPr>
              <w:instrText xml:space="preserve"> REF _Ref433803707 \r \h </w:instrText>
            </w:r>
            <w:r w:rsidR="0016125B" w:rsidRPr="0016125B">
              <w:rPr>
                <w:rStyle w:val="TblFigFootnoteReference"/>
                <w:color w:val="0000FF"/>
              </w:rPr>
            </w:r>
            <w:r w:rsidR="0016125B" w:rsidRPr="0016125B">
              <w:rPr>
                <w:rStyle w:val="TblFigFootnoteReference"/>
                <w:color w:val="0000FF"/>
              </w:rPr>
              <w:fldChar w:fldCharType="separate"/>
            </w:r>
            <w:r w:rsidR="005A26F6">
              <w:rPr>
                <w:rStyle w:val="TblFigFootnoteReference"/>
                <w:color w:val="0000FF"/>
              </w:rPr>
              <w:t>f</w:t>
            </w:r>
            <w:r w:rsidR="0016125B" w:rsidRPr="0016125B">
              <w:rPr>
                <w:rStyle w:val="TblFigFootnoteReference"/>
                <w:color w:val="0000FF"/>
              </w:rPr>
              <w:fldChar w:fldCharType="end"/>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sidRPr="00B77B3F">
              <w:rPr>
                <w:b/>
                <w:sz w:val="18"/>
              </w:rPr>
              <w:t>3</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16125B" w:rsidRDefault="004B2345" w:rsidP="0016125B">
            <w:pPr>
              <w:pStyle w:val="TblTextCenter"/>
            </w:pPr>
            <w:r w:rsidRPr="00B77B3F">
              <w:rPr>
                <w:b/>
                <w:color w:val="000000"/>
                <w:sz w:val="18"/>
              </w:rPr>
              <w:t>3.5</w:t>
            </w:r>
            <w:r w:rsidR="0016125B" w:rsidRPr="0016125B">
              <w:rPr>
                <w:rStyle w:val="TblFigFootnoteReference"/>
                <w:color w:val="0000FF"/>
              </w:rPr>
              <w:fldChar w:fldCharType="begin"/>
            </w:r>
            <w:r w:rsidR="0016125B" w:rsidRPr="0016125B">
              <w:rPr>
                <w:rStyle w:val="TblFigFootnoteReference"/>
                <w:color w:val="0000FF"/>
              </w:rPr>
              <w:instrText xml:space="preserve"> REF _Ref433803707 \r \h </w:instrText>
            </w:r>
            <w:r w:rsidR="0016125B" w:rsidRPr="0016125B">
              <w:rPr>
                <w:rStyle w:val="TblFigFootnoteReference"/>
                <w:color w:val="0000FF"/>
              </w:rPr>
            </w:r>
            <w:r w:rsidR="0016125B" w:rsidRPr="0016125B">
              <w:rPr>
                <w:rStyle w:val="TblFigFootnoteReference"/>
                <w:color w:val="0000FF"/>
              </w:rPr>
              <w:fldChar w:fldCharType="separate"/>
            </w:r>
            <w:r w:rsidR="005A26F6">
              <w:rPr>
                <w:rStyle w:val="TblFigFootnoteReference"/>
                <w:color w:val="0000FF"/>
              </w:rPr>
              <w:t>f</w:t>
            </w:r>
            <w:r w:rsidR="0016125B" w:rsidRPr="0016125B">
              <w:rPr>
                <w:rStyle w:val="TblFigFootnoteReference"/>
                <w:color w:val="0000FF"/>
              </w:rPr>
              <w:fldChar w:fldCharType="end"/>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b/>
                <w:sz w:val="18"/>
              </w:rPr>
            </w:pPr>
            <w:r w:rsidRPr="00B77B3F">
              <w:rPr>
                <w:b/>
                <w:sz w:val="18"/>
              </w:rPr>
              <w:t>4</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16125B" w:rsidRDefault="004B2345" w:rsidP="0016125B">
            <w:pPr>
              <w:pStyle w:val="TblTextCenter"/>
            </w:pPr>
            <w:r w:rsidRPr="00B77B3F">
              <w:rPr>
                <w:b/>
                <w:color w:val="000000"/>
                <w:sz w:val="18"/>
              </w:rPr>
              <w:t>4.5</w:t>
            </w:r>
            <w:r w:rsidR="0016125B" w:rsidRPr="0016125B">
              <w:rPr>
                <w:rStyle w:val="TblFigFootnoteReference"/>
                <w:color w:val="0000FF"/>
              </w:rPr>
              <w:fldChar w:fldCharType="begin"/>
            </w:r>
            <w:r w:rsidR="0016125B" w:rsidRPr="0016125B">
              <w:rPr>
                <w:rStyle w:val="TblFigFootnoteReference"/>
                <w:color w:val="0000FF"/>
              </w:rPr>
              <w:instrText xml:space="preserve"> REF _Ref433803707 \r \h </w:instrText>
            </w:r>
            <w:r w:rsidR="0016125B" w:rsidRPr="0016125B">
              <w:rPr>
                <w:rStyle w:val="TblFigFootnoteReference"/>
                <w:color w:val="0000FF"/>
              </w:rPr>
            </w:r>
            <w:r w:rsidR="0016125B" w:rsidRPr="0016125B">
              <w:rPr>
                <w:rStyle w:val="TblFigFootnoteReference"/>
                <w:color w:val="0000FF"/>
              </w:rPr>
              <w:fldChar w:fldCharType="separate"/>
            </w:r>
            <w:r w:rsidR="005A26F6">
              <w:rPr>
                <w:rStyle w:val="TblFigFootnoteReference"/>
                <w:color w:val="0000FF"/>
              </w:rPr>
              <w:t>f</w:t>
            </w:r>
            <w:r w:rsidR="0016125B" w:rsidRPr="0016125B">
              <w:rPr>
                <w:rStyle w:val="TblFigFootnoteReference"/>
                <w:color w:val="0000FF"/>
              </w:rPr>
              <w:fldChar w:fldCharType="end"/>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sidRPr="00B77B3F">
              <w:rPr>
                <w:b/>
                <w:sz w:val="18"/>
              </w:rPr>
              <w:t>5</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16125B" w:rsidRDefault="004B2345" w:rsidP="0016125B">
            <w:pPr>
              <w:pStyle w:val="TblTextCenter"/>
            </w:pPr>
            <w:r w:rsidRPr="00B77B3F">
              <w:rPr>
                <w:b/>
                <w:color w:val="000000"/>
                <w:sz w:val="18"/>
              </w:rPr>
              <w:t>5.5</w:t>
            </w:r>
            <w:r w:rsidR="0016125B" w:rsidRPr="0016125B">
              <w:rPr>
                <w:rStyle w:val="TblFigFootnoteReference"/>
                <w:color w:val="0000FF"/>
              </w:rPr>
              <w:fldChar w:fldCharType="begin"/>
            </w:r>
            <w:r w:rsidR="0016125B" w:rsidRPr="0016125B">
              <w:rPr>
                <w:rStyle w:val="TblFigFootnoteReference"/>
                <w:color w:val="0000FF"/>
              </w:rPr>
              <w:instrText xml:space="preserve"> REF _Ref433803707 \r \h </w:instrText>
            </w:r>
            <w:r w:rsidR="0016125B" w:rsidRPr="0016125B">
              <w:rPr>
                <w:rStyle w:val="TblFigFootnoteReference"/>
                <w:color w:val="0000FF"/>
              </w:rPr>
            </w:r>
            <w:r w:rsidR="0016125B" w:rsidRPr="0016125B">
              <w:rPr>
                <w:rStyle w:val="TblFigFootnoteReference"/>
                <w:color w:val="0000FF"/>
              </w:rPr>
              <w:fldChar w:fldCharType="separate"/>
            </w:r>
            <w:r w:rsidR="005A26F6">
              <w:rPr>
                <w:rStyle w:val="TblFigFootnoteReference"/>
                <w:color w:val="0000FF"/>
              </w:rPr>
              <w:t>f</w:t>
            </w:r>
            <w:r w:rsidR="0016125B" w:rsidRPr="0016125B">
              <w:rPr>
                <w:rStyle w:val="TblFigFootnoteReference"/>
                <w:color w:val="0000FF"/>
              </w:rPr>
              <w:fldChar w:fldCharType="end"/>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sidRPr="00B77B3F">
              <w:rPr>
                <w:b/>
                <w:sz w:val="18"/>
              </w:rPr>
              <w:t>6</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16125B" w:rsidRDefault="004B2345" w:rsidP="0016125B">
            <w:pPr>
              <w:pStyle w:val="TblTextCenter"/>
            </w:pPr>
            <w:r w:rsidRPr="00B77B3F">
              <w:rPr>
                <w:b/>
                <w:color w:val="000000"/>
                <w:sz w:val="18"/>
              </w:rPr>
              <w:t>6.5</w:t>
            </w:r>
            <w:r w:rsidR="0016125B" w:rsidRPr="0016125B">
              <w:rPr>
                <w:rStyle w:val="TblFigFootnoteReference"/>
                <w:color w:val="0000FF"/>
              </w:rPr>
              <w:fldChar w:fldCharType="begin"/>
            </w:r>
            <w:r w:rsidR="0016125B" w:rsidRPr="0016125B">
              <w:rPr>
                <w:rStyle w:val="TblFigFootnoteReference"/>
                <w:color w:val="0000FF"/>
              </w:rPr>
              <w:instrText xml:space="preserve"> REF _Ref433803707 \r \h </w:instrText>
            </w:r>
            <w:r w:rsidR="0016125B" w:rsidRPr="0016125B">
              <w:rPr>
                <w:rStyle w:val="TblFigFootnoteReference"/>
                <w:color w:val="0000FF"/>
              </w:rPr>
            </w:r>
            <w:r w:rsidR="0016125B" w:rsidRPr="0016125B">
              <w:rPr>
                <w:rStyle w:val="TblFigFootnoteReference"/>
                <w:color w:val="0000FF"/>
              </w:rPr>
              <w:fldChar w:fldCharType="separate"/>
            </w:r>
            <w:r w:rsidR="005A26F6">
              <w:rPr>
                <w:rStyle w:val="TblFigFootnoteReference"/>
                <w:color w:val="0000FF"/>
              </w:rPr>
              <w:t>f</w:t>
            </w:r>
            <w:r w:rsidR="0016125B" w:rsidRPr="0016125B">
              <w:rPr>
                <w:rStyle w:val="TblFigFootnoteReference"/>
                <w:color w:val="0000FF"/>
              </w:rPr>
              <w:fldChar w:fldCharType="end"/>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Pr>
                <w:b/>
                <w:sz w:val="18"/>
              </w:rPr>
              <w:t>7</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16125B" w:rsidRDefault="004B2345" w:rsidP="0016125B">
            <w:pPr>
              <w:pStyle w:val="TblTextCenter"/>
            </w:pPr>
            <w:r w:rsidRPr="00B77B3F">
              <w:rPr>
                <w:b/>
                <w:color w:val="000000"/>
                <w:sz w:val="18"/>
              </w:rPr>
              <w:t>7.5</w:t>
            </w:r>
            <w:r w:rsidR="0016125B" w:rsidRPr="0016125B">
              <w:rPr>
                <w:rStyle w:val="TblFigFootnoteReference"/>
                <w:color w:val="0000FF"/>
              </w:rPr>
              <w:fldChar w:fldCharType="begin"/>
            </w:r>
            <w:r w:rsidR="0016125B" w:rsidRPr="0016125B">
              <w:rPr>
                <w:rStyle w:val="TblFigFootnoteReference"/>
                <w:color w:val="0000FF"/>
              </w:rPr>
              <w:instrText xml:space="preserve"> REF _Ref433803707 \r \h </w:instrText>
            </w:r>
            <w:r w:rsidR="0016125B" w:rsidRPr="0016125B">
              <w:rPr>
                <w:rStyle w:val="TblFigFootnoteReference"/>
                <w:color w:val="0000FF"/>
              </w:rPr>
            </w:r>
            <w:r w:rsidR="0016125B" w:rsidRPr="0016125B">
              <w:rPr>
                <w:rStyle w:val="TblFigFootnoteReference"/>
                <w:color w:val="0000FF"/>
              </w:rPr>
              <w:fldChar w:fldCharType="separate"/>
            </w:r>
            <w:r w:rsidR="005A26F6">
              <w:rPr>
                <w:rStyle w:val="TblFigFootnoteReference"/>
                <w:color w:val="0000FF"/>
              </w:rPr>
              <w:t>f</w:t>
            </w:r>
            <w:r w:rsidR="0016125B" w:rsidRPr="0016125B">
              <w:rPr>
                <w:rStyle w:val="TblFigFootnoteReference"/>
                <w:color w:val="0000FF"/>
              </w:rPr>
              <w:fldChar w:fldCharType="end"/>
            </w: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b/>
                <w:sz w:val="18"/>
              </w:rPr>
            </w:pPr>
            <w:r>
              <w:rPr>
                <w:b/>
                <w:sz w:val="18"/>
              </w:rPr>
              <w:t>8</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sidRPr="00B77B3F">
              <w:rPr>
                <w:b/>
                <w:sz w:val="18"/>
              </w:rPr>
              <w:t>10</w:t>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b/>
                <w:sz w:val="18"/>
              </w:rPr>
            </w:pPr>
            <w:r w:rsidRPr="00B77B3F">
              <w:rPr>
                <w:b/>
                <w:sz w:val="18"/>
              </w:rPr>
              <w:t>12</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Pr>
                <w:b/>
                <w:sz w:val="18"/>
              </w:rPr>
              <w:t>14</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Pr>
                <w:b/>
                <w:sz w:val="18"/>
              </w:rPr>
              <w:t>16</w:t>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b/>
                <w:sz w:val="18"/>
              </w:rPr>
            </w:pPr>
            <w:r w:rsidRPr="00B77B3F">
              <w:rPr>
                <w:b/>
                <w:sz w:val="18"/>
              </w:rPr>
              <w:t>18</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Pr>
                <w:b/>
                <w:sz w:val="18"/>
              </w:rPr>
              <w:t>20</w:t>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b/>
                <w:sz w:val="18"/>
              </w:rPr>
            </w:pPr>
            <w:r>
              <w:rPr>
                <w:b/>
                <w:sz w:val="18"/>
              </w:rPr>
              <w:t>22</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sz w:val="18"/>
              </w:rPr>
            </w:pPr>
            <w:r w:rsidRPr="00B77B3F">
              <w:rPr>
                <w:b/>
                <w:sz w:val="18"/>
              </w:rPr>
              <w:t>24</w:t>
            </w: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b/>
                <w:sz w:val="18"/>
              </w:rPr>
            </w:pPr>
            <w:r w:rsidRPr="00B77B3F">
              <w:rPr>
                <w:b/>
                <w:sz w:val="18"/>
              </w:rPr>
              <w:t>26</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b/>
                <w:color w:val="000000"/>
                <w:sz w:val="18"/>
                <w:lang w:eastAsia="ja-JP"/>
              </w:rPr>
            </w:pPr>
          </w:p>
        </w:tc>
      </w:tr>
      <w:tr w:rsidR="004B2345" w:rsidRPr="00B77B3F" w:rsidTr="00C24D12">
        <w:tc>
          <w:tcPr>
            <w:tcW w:w="729" w:type="pct"/>
            <w:tcBorders>
              <w:top w:val="single" w:sz="12" w:space="0" w:color="auto"/>
              <w:left w:val="single" w:sz="4" w:space="0" w:color="auto"/>
              <w:bottom w:val="single" w:sz="4" w:space="0" w:color="auto"/>
              <w:right w:val="single" w:sz="4" w:space="0" w:color="auto"/>
            </w:tcBorders>
            <w:shd w:val="clear" w:color="auto" w:fill="auto"/>
            <w:vAlign w:val="center"/>
          </w:tcPr>
          <w:p w:rsidR="004B2345" w:rsidRPr="00B77B3F" w:rsidRDefault="004B2345" w:rsidP="00D75740">
            <w:pPr>
              <w:pStyle w:val="TblTextLeft"/>
              <w:rPr>
                <w:sz w:val="18"/>
              </w:rPr>
            </w:pPr>
            <w:r w:rsidRPr="00B77B3F">
              <w:rPr>
                <w:sz w:val="18"/>
                <w:lang w:eastAsia="ja-JP"/>
              </w:rPr>
              <w:t>I</w:t>
            </w:r>
            <w:r w:rsidRPr="00B77B3F">
              <w:rPr>
                <w:sz w:val="18"/>
              </w:rPr>
              <w:t>nformed Consent</w:t>
            </w:r>
          </w:p>
        </w:tc>
        <w:tc>
          <w:tcPr>
            <w:tcW w:w="191" w:type="pct"/>
            <w:tcBorders>
              <w:top w:val="single" w:sz="12"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91"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12"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59"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12"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07" w:type="pct"/>
            <w:tcBorders>
              <w:top w:val="single" w:sz="12"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vAlign w:val="center"/>
          </w:tcPr>
          <w:p w:rsidR="004B2345" w:rsidRPr="00B77B3F" w:rsidRDefault="004B2345" w:rsidP="00D75740">
            <w:pPr>
              <w:pStyle w:val="TblTextLeft"/>
              <w:rPr>
                <w:sz w:val="18"/>
              </w:rPr>
            </w:pPr>
            <w:r w:rsidRPr="00B77B3F">
              <w:rPr>
                <w:sz w:val="18"/>
              </w:rPr>
              <w:t>Inclusion/Exclusion Criteria</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trike/>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vAlign w:val="center"/>
          </w:tcPr>
          <w:p w:rsidR="004B2345" w:rsidRPr="00B77B3F" w:rsidRDefault="004B2345" w:rsidP="00D75740">
            <w:pPr>
              <w:pStyle w:val="TblTextLeft"/>
              <w:rPr>
                <w:sz w:val="18"/>
              </w:rPr>
            </w:pPr>
            <w:r w:rsidRPr="00B77B3F">
              <w:rPr>
                <w:sz w:val="18"/>
              </w:rPr>
              <w:t>Medical, surgical</w:t>
            </w:r>
            <w:r w:rsidRPr="00EF74E8">
              <w:rPr>
                <w:sz w:val="18"/>
              </w:rPr>
              <w:t>, and  diabetes histories,</w:t>
            </w:r>
            <w:r w:rsidRPr="00B77B3F">
              <w:rPr>
                <w:sz w:val="18"/>
              </w:rPr>
              <w:t xml:space="preserve"> </w:t>
            </w:r>
            <w:r>
              <w:rPr>
                <w:sz w:val="18"/>
              </w:rPr>
              <w:br/>
            </w:r>
            <w:r w:rsidRPr="00B77B3F">
              <w:rPr>
                <w:sz w:val="18"/>
              </w:rPr>
              <w:t xml:space="preserve">alcohol &amp; smoking habits, </w:t>
            </w:r>
            <w:r>
              <w:rPr>
                <w:sz w:val="18"/>
              </w:rPr>
              <w:br/>
            </w:r>
            <w:r w:rsidRPr="00B77B3F">
              <w:rPr>
                <w:sz w:val="18"/>
              </w:rPr>
              <w:t>demography, prior medications</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vAlign w:val="center"/>
          </w:tcPr>
          <w:p w:rsidR="004B2345" w:rsidRPr="00B77B3F" w:rsidRDefault="004B2345" w:rsidP="00D75740">
            <w:pPr>
              <w:pStyle w:val="TblTextLeft"/>
              <w:rPr>
                <w:sz w:val="18"/>
              </w:rPr>
            </w:pPr>
            <w:r w:rsidRPr="00B77B3F">
              <w:rPr>
                <w:sz w:val="18"/>
              </w:rPr>
              <w:t>Physical Examination</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vAlign w:val="center"/>
          </w:tcPr>
          <w:p w:rsidR="004B2345" w:rsidRPr="00B77B3F" w:rsidRDefault="004B2345" w:rsidP="00D75740">
            <w:pPr>
              <w:pStyle w:val="TblTextLeft"/>
              <w:rPr>
                <w:sz w:val="18"/>
              </w:rPr>
            </w:pPr>
            <w:r w:rsidRPr="00B77B3F">
              <w:rPr>
                <w:sz w:val="18"/>
              </w:rPr>
              <w:t>Height</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vAlign w:val="center"/>
          </w:tcPr>
          <w:p w:rsidR="004B2345" w:rsidRPr="00B77B3F" w:rsidRDefault="004B2345" w:rsidP="00D75740">
            <w:pPr>
              <w:pStyle w:val="TblTextLeft"/>
              <w:rPr>
                <w:sz w:val="18"/>
              </w:rPr>
            </w:pPr>
            <w:r w:rsidRPr="00B77B3F">
              <w:rPr>
                <w:sz w:val="18"/>
              </w:rPr>
              <w:t>Body weight</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vAlign w:val="center"/>
          </w:tcPr>
          <w:p w:rsidR="004B2345" w:rsidRPr="00B77B3F" w:rsidRDefault="004B2345" w:rsidP="00D75740">
            <w:pPr>
              <w:pStyle w:val="TblTextLeft"/>
              <w:rPr>
                <w:sz w:val="18"/>
              </w:rPr>
            </w:pPr>
            <w:r w:rsidRPr="00B77B3F">
              <w:rPr>
                <w:sz w:val="18"/>
              </w:rPr>
              <w:t xml:space="preserve">Vital Signs </w:t>
            </w:r>
            <w:r>
              <w:rPr>
                <w:sz w:val="18"/>
              </w:rPr>
              <w:br/>
            </w:r>
            <w:r w:rsidRPr="00B77B3F">
              <w:rPr>
                <w:sz w:val="18"/>
              </w:rPr>
              <w:t>(heart rate, blood pressure)</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vAlign w:val="center"/>
          </w:tcPr>
          <w:p w:rsidR="004B2345" w:rsidRPr="00B77B3F" w:rsidRDefault="004B2345" w:rsidP="00D75740">
            <w:pPr>
              <w:pStyle w:val="TblTextLeft"/>
              <w:rPr>
                <w:sz w:val="18"/>
              </w:rPr>
            </w:pPr>
            <w:r w:rsidRPr="00B77B3F">
              <w:rPr>
                <w:sz w:val="18"/>
              </w:rPr>
              <w:t>12-lead ECG</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vAlign w:val="center"/>
          </w:tcPr>
          <w:p w:rsidR="004B2345" w:rsidRPr="00B77B3F" w:rsidRDefault="004B2345" w:rsidP="00D75740">
            <w:pPr>
              <w:pStyle w:val="TblTextLeft"/>
              <w:spacing w:before="0" w:after="0"/>
              <w:rPr>
                <w:sz w:val="18"/>
              </w:rPr>
            </w:pPr>
            <w:r w:rsidRPr="00B77B3F">
              <w:rPr>
                <w:sz w:val="18"/>
              </w:rPr>
              <w:t>Diet and Lifestyle counseling</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81" w:type="pct"/>
            <w:gridSpan w:val="2"/>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spacing w:after="0"/>
              <w:rPr>
                <w:sz w:val="18"/>
              </w:rPr>
            </w:pPr>
            <w:r w:rsidRPr="00B77B3F">
              <w:rPr>
                <w:color w:val="000000"/>
                <w:sz w:val="18"/>
              </w:rPr>
              <w:t>X</w:t>
            </w:r>
            <w:r w:rsidRPr="00B77B3F">
              <w:rPr>
                <w:sz w:val="18"/>
              </w:rPr>
              <w:br/>
            </w:r>
            <w:r w:rsidRPr="00B77B3F">
              <w:rPr>
                <w:sz w:val="18"/>
                <w:szCs w:val="16"/>
              </w:rPr>
              <w:t xml:space="preserve">(once at </w:t>
            </w:r>
            <w:r>
              <w:rPr>
                <w:sz w:val="18"/>
                <w:szCs w:val="16"/>
              </w:rPr>
              <w:br/>
            </w:r>
            <w:r w:rsidRPr="00B77B3F">
              <w:rPr>
                <w:sz w:val="18"/>
                <w:szCs w:val="16"/>
              </w:rPr>
              <w:t>V2 or 3)</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Left"/>
              <w:rPr>
                <w:sz w:val="18"/>
                <w:lang w:eastAsia="ja-JP"/>
              </w:rPr>
            </w:pPr>
            <w:r w:rsidRPr="00B77B3F">
              <w:rPr>
                <w:sz w:val="18"/>
              </w:rPr>
              <w:t xml:space="preserve">IVRS/IWRS </w:t>
            </w:r>
            <w:r w:rsidRPr="00B77B3F">
              <w:rPr>
                <w:sz w:val="18"/>
                <w:lang w:eastAsia="ja-JP"/>
              </w:rPr>
              <w:t>contact</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8575FA" w:rsidP="00D75740">
            <w:pPr>
              <w:pStyle w:val="TblTextCenter"/>
              <w:rPr>
                <w:color w:val="000000"/>
                <w:sz w:val="18"/>
              </w:rPr>
            </w:pPr>
            <w:r w:rsidRPr="001153D4">
              <w:rPr>
                <w:color w:val="000000"/>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5C5DB6" w:rsidP="00D75740">
            <w:pPr>
              <w:pStyle w:val="TblTextCenter"/>
              <w:rPr>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sz w:val="18"/>
              </w:rPr>
            </w:pPr>
            <w:r>
              <w:rPr>
                <w:sz w:val="18"/>
              </w:rPr>
              <w:t>X</w:t>
            </w: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EA7F75" w:rsidRDefault="004B2345" w:rsidP="00EA7F75">
            <w:pPr>
              <w:pStyle w:val="TblTextLeft"/>
              <w:rPr>
                <w:sz w:val="18"/>
              </w:rPr>
            </w:pPr>
            <w:r w:rsidRPr="00EA7F75">
              <w:rPr>
                <w:sz w:val="18"/>
              </w:rPr>
              <w:t xml:space="preserve">Randomization </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C77DFD"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Left"/>
              <w:keepNext/>
              <w:keepLines/>
              <w:rPr>
                <w:b/>
                <w:sz w:val="18"/>
              </w:rPr>
            </w:pPr>
            <w:r w:rsidRPr="007700D0">
              <w:rPr>
                <w:rFonts w:hint="eastAsia"/>
                <w:lang w:eastAsia="ja-JP"/>
              </w:rPr>
              <w:lastRenderedPageBreak/>
              <w:t>C</w:t>
            </w:r>
            <w:r w:rsidRPr="007700D0">
              <w:t>oncomitant medication recording</w:t>
            </w:r>
          </w:p>
        </w:tc>
        <w:tc>
          <w:tcPr>
            <w:tcW w:w="4271" w:type="pct"/>
            <w:gridSpan w:val="29"/>
            <w:vMerge w:val="restart"/>
            <w:tcBorders>
              <w:top w:val="single" w:sz="4" w:space="0" w:color="auto"/>
              <w:left w:val="single" w:sz="4" w:space="0" w:color="auto"/>
              <w:right w:val="single" w:sz="4" w:space="0" w:color="auto"/>
            </w:tcBorders>
            <w:shd w:val="clear" w:color="auto" w:fill="auto"/>
            <w:vAlign w:val="center"/>
          </w:tcPr>
          <w:p w:rsidR="004B2345" w:rsidRPr="00B77B3F" w:rsidRDefault="004B2345" w:rsidP="00D75740">
            <w:pPr>
              <w:pStyle w:val="TblTextCenter"/>
              <w:keepNext/>
              <w:keepLines/>
              <w:rPr>
                <w:color w:val="000000"/>
                <w:sz w:val="18"/>
              </w:rPr>
            </w:pPr>
            <w:r w:rsidRPr="00154A77">
              <w:rPr>
                <w:color w:val="000000"/>
                <w:sz w:val="18"/>
              </w:rPr>
              <w:t>Continuously assessed and recorded all along the study</w:t>
            </w:r>
          </w:p>
        </w:tc>
      </w:tr>
      <w:tr w:rsidR="004B2345" w:rsidRPr="00393BD8"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Left"/>
              <w:keepNext/>
              <w:keepLines/>
              <w:rPr>
                <w:b/>
                <w:sz w:val="18"/>
              </w:rPr>
            </w:pPr>
            <w:r w:rsidRPr="00393BD8">
              <w:t>AE/SAE/Symptomatic Hypoglycemia</w:t>
            </w:r>
          </w:p>
        </w:tc>
        <w:tc>
          <w:tcPr>
            <w:tcW w:w="4271" w:type="pct"/>
            <w:gridSpan w:val="29"/>
            <w:vMerge/>
            <w:tcBorders>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keepNext/>
              <w:keepLines/>
              <w:rPr>
                <w:color w:val="000000"/>
                <w:sz w:val="18"/>
              </w:rPr>
            </w:pPr>
          </w:p>
        </w:tc>
      </w:tr>
      <w:tr w:rsidR="004B2345" w:rsidRPr="00393BD8"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F05B4A" w:rsidRDefault="004B2345" w:rsidP="008D55CC">
            <w:pPr>
              <w:pStyle w:val="TblTextLeft"/>
              <w:keepNext/>
              <w:keepLines/>
            </w:pPr>
            <w:r w:rsidRPr="00393BD8">
              <w:t>Glucometer dispensation &amp; training</w:t>
            </w:r>
            <w:r w:rsidRPr="00393BD8">
              <w:rPr>
                <w:lang w:eastAsia="ja-JP"/>
              </w:rPr>
              <w:t xml:space="preserve"> (including training on glucose measurements)</w:t>
            </w:r>
            <w:r w:rsidR="00F05B4A" w:rsidRPr="00F05B4A">
              <w:rPr>
                <w:rStyle w:val="TblFigFootnoteReference"/>
                <w:color w:val="0000FF"/>
              </w:rPr>
              <w:fldChar w:fldCharType="begin"/>
            </w:r>
            <w:r w:rsidR="00F05B4A" w:rsidRPr="00F05B4A">
              <w:rPr>
                <w:rStyle w:val="TblFigFootnoteReference"/>
                <w:color w:val="0000FF"/>
              </w:rPr>
              <w:instrText xml:space="preserve"> REF _Ref425858060 \r \h </w:instrText>
            </w:r>
            <w:r w:rsidR="00F05B4A" w:rsidRPr="00F05B4A">
              <w:rPr>
                <w:rStyle w:val="TblFigFootnoteReference"/>
                <w:color w:val="0000FF"/>
              </w:rPr>
            </w:r>
            <w:r w:rsidR="00F05B4A" w:rsidRPr="00F05B4A">
              <w:rPr>
                <w:rStyle w:val="TblFigFootnoteReference"/>
                <w:color w:val="0000FF"/>
              </w:rPr>
              <w:fldChar w:fldCharType="separate"/>
            </w:r>
            <w:r w:rsidR="005A26F6">
              <w:rPr>
                <w:rStyle w:val="TblFigFootnoteReference"/>
                <w:color w:val="0000FF"/>
              </w:rPr>
              <w:t>g</w:t>
            </w:r>
            <w:r w:rsidR="00F05B4A" w:rsidRPr="00F05B4A">
              <w:rPr>
                <w:rStyle w:val="TblFigFootnoteReference"/>
                <w:color w:val="0000FF"/>
              </w:rPr>
              <w:fldChar w:fldCharType="end"/>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keepNext/>
              <w:keepLines/>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keepNext/>
              <w:keepLines/>
              <w:rPr>
                <w:color w:val="000000"/>
                <w:sz w:val="18"/>
              </w:rPr>
            </w:pPr>
            <w:r w:rsidRPr="00393BD8">
              <w:rPr>
                <w:color w:val="000000"/>
                <w:sz w:val="18"/>
              </w:rPr>
              <w:t>X</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keepNext/>
              <w:keepLines/>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keepNext/>
              <w:keepLines/>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keepNext/>
              <w:keepLines/>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keepNext/>
              <w:keepLines/>
              <w:rPr>
                <w:color w:val="000000"/>
                <w:sz w:val="18"/>
              </w:rPr>
            </w:pPr>
          </w:p>
        </w:tc>
      </w:tr>
      <w:tr w:rsidR="004B2345" w:rsidRPr="00393BD8"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Left"/>
              <w:rPr>
                <w:b/>
                <w:sz w:val="18"/>
              </w:rPr>
            </w:pPr>
            <w:r w:rsidRPr="00393BD8">
              <w:t>Diary dispensation / collection (reviewed at each on-site visit)</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sz w:val="18"/>
              </w:rPr>
            </w:pPr>
            <w:r w:rsidRPr="00393BD8">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r w:rsidRPr="00393BD8">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r>
      <w:tr w:rsidR="004B2345" w:rsidRPr="00393BD8"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F05B4A" w:rsidRDefault="004B2345" w:rsidP="008D55CC">
            <w:pPr>
              <w:pStyle w:val="TblTextLeft"/>
            </w:pPr>
            <w:r w:rsidRPr="00393BD8">
              <w:rPr>
                <w:lang w:eastAsia="ja-JP"/>
              </w:rPr>
              <w:t>Pen-injector and self-injection training</w:t>
            </w:r>
            <w:r w:rsidR="00F05B4A" w:rsidRPr="00F05B4A">
              <w:rPr>
                <w:rStyle w:val="TblFigFootnoteReference"/>
                <w:color w:val="0000FF"/>
              </w:rPr>
              <w:fldChar w:fldCharType="begin"/>
            </w:r>
            <w:r w:rsidR="00F05B4A" w:rsidRPr="00F05B4A">
              <w:rPr>
                <w:rStyle w:val="TblFigFootnoteReference"/>
                <w:color w:val="0000FF"/>
              </w:rPr>
              <w:instrText xml:space="preserve"> REF _Ref425858060 \r \h </w:instrText>
            </w:r>
            <w:r w:rsidR="00F05B4A" w:rsidRPr="00F05B4A">
              <w:rPr>
                <w:rStyle w:val="TblFigFootnoteReference"/>
                <w:color w:val="0000FF"/>
              </w:rPr>
            </w:r>
            <w:r w:rsidR="00F05B4A" w:rsidRPr="00F05B4A">
              <w:rPr>
                <w:rStyle w:val="TblFigFootnoteReference"/>
                <w:color w:val="0000FF"/>
              </w:rPr>
              <w:fldChar w:fldCharType="separate"/>
            </w:r>
            <w:r w:rsidR="005A26F6">
              <w:rPr>
                <w:rStyle w:val="TblFigFootnoteReference"/>
                <w:color w:val="0000FF"/>
              </w:rPr>
              <w:t>g</w:t>
            </w:r>
            <w:r w:rsidR="00F05B4A" w:rsidRPr="00F05B4A">
              <w:rPr>
                <w:rStyle w:val="TblFigFootnoteReference"/>
                <w:color w:val="0000FF"/>
              </w:rPr>
              <w:fldChar w:fldCharType="end"/>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sz w:val="18"/>
              </w:rPr>
            </w:pPr>
            <w:r w:rsidRPr="00393BD8">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r>
      <w:tr w:rsidR="004B2345" w:rsidRPr="00393BD8"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Left"/>
            </w:pPr>
            <w:r w:rsidRPr="00393BD8">
              <w:t>Fasting SMPG measured every day</w:t>
            </w:r>
            <w:r w:rsidR="00AC7398">
              <w:t xml:space="preserve"> </w:t>
            </w:r>
            <w:r w:rsidR="00AC7398" w:rsidRPr="001153D4">
              <w:t>before breakfast</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sz w:val="18"/>
              </w:rPr>
            </w:pPr>
            <w:r w:rsidRPr="00393BD8">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19"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r>
      <w:tr w:rsidR="004B2345" w:rsidRPr="00393BD8"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Left"/>
            </w:pPr>
            <w:r w:rsidRPr="00393BD8">
              <w:t xml:space="preserve">Fasting SMPG measured  </w:t>
            </w:r>
            <w:r w:rsidR="00514F8E" w:rsidRPr="001153D4">
              <w:t>at least</w:t>
            </w:r>
            <w:r w:rsidR="00514F8E">
              <w:t xml:space="preserve"> </w:t>
            </w:r>
            <w:r w:rsidRPr="00393BD8">
              <w:t>three times per week</w:t>
            </w:r>
            <w:r w:rsidR="00AC7398">
              <w:t xml:space="preserve"> </w:t>
            </w:r>
            <w:r w:rsidR="00AC7398" w:rsidRPr="001153D4">
              <w:t>before breakfast</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tcPr>
          <w:p w:rsidR="004B2345" w:rsidRPr="00393BD8" w:rsidRDefault="004B2345" w:rsidP="00D75740">
            <w:pPr>
              <w:pStyle w:val="TblTextCenter"/>
              <w:rPr>
                <w:color w:val="000000"/>
                <w:sz w:val="18"/>
              </w:rPr>
            </w:pPr>
            <w:r w:rsidRPr="00393BD8">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r w:rsidRPr="00393BD8">
              <w:rPr>
                <w:color w:val="000000"/>
                <w:sz w:val="18"/>
              </w:rPr>
              <w:t>X</w:t>
            </w: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393BD8" w:rsidRDefault="004B2345" w:rsidP="00D75740">
            <w:pPr>
              <w:pStyle w:val="TblTextCenter"/>
              <w:rPr>
                <w:color w:val="000000"/>
                <w:sz w:val="18"/>
              </w:rPr>
            </w:pPr>
            <w:r w:rsidRPr="00393BD8">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393BD8" w:rsidRDefault="004B2345" w:rsidP="00D75740">
            <w:pPr>
              <w:pStyle w:val="TblTextCenter"/>
              <w:rPr>
                <w:color w:val="000000"/>
                <w:sz w:val="18"/>
              </w:rPr>
            </w:pPr>
          </w:p>
        </w:tc>
      </w:tr>
      <w:tr w:rsidR="00965F9E" w:rsidRPr="00393BD8"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965F9E" w:rsidRPr="003D69E2" w:rsidRDefault="00965F9E" w:rsidP="00965F9E">
            <w:pPr>
              <w:pStyle w:val="TblTextLeft"/>
              <w:rPr>
                <w:highlight w:val="yellow"/>
              </w:rPr>
            </w:pPr>
            <w:r w:rsidRPr="001153D4">
              <w:t>Titration phone calls (FRC arm only)</w:t>
            </w:r>
            <w:r w:rsidRPr="001153D4">
              <w:rPr>
                <w:rStyle w:val="TblFigFootnoteReference"/>
                <w:color w:val="0000FF"/>
              </w:rPr>
              <w:fldChar w:fldCharType="begin"/>
            </w:r>
            <w:r w:rsidRPr="001153D4">
              <w:rPr>
                <w:rStyle w:val="TblFigFootnoteReference"/>
                <w:color w:val="0000FF"/>
              </w:rPr>
              <w:instrText xml:space="preserve"> REF _Ref433803707 \r \h </w:instrText>
            </w:r>
            <w:r w:rsidRPr="001153D4">
              <w:rPr>
                <w:rStyle w:val="TblFigFootnoteReference"/>
                <w:color w:val="0000FF"/>
              </w:rPr>
            </w:r>
            <w:r w:rsidR="003D69E2" w:rsidRPr="001153D4">
              <w:rPr>
                <w:rStyle w:val="TblFigFootnoteReference"/>
                <w:color w:val="0000FF"/>
              </w:rPr>
              <w:instrText xml:space="preserve"> \* MERGEFORMAT </w:instrText>
            </w:r>
            <w:r w:rsidRPr="001153D4">
              <w:rPr>
                <w:rStyle w:val="TblFigFootnoteReference"/>
                <w:color w:val="0000FF"/>
              </w:rPr>
              <w:fldChar w:fldCharType="separate"/>
            </w:r>
            <w:r w:rsidR="005A26F6">
              <w:rPr>
                <w:rStyle w:val="TblFigFootnoteReference"/>
                <w:color w:val="0000FF"/>
              </w:rPr>
              <w:t>f</w:t>
            </w:r>
            <w:r w:rsidRPr="001153D4">
              <w:rPr>
                <w:rStyle w:val="TblFigFootnoteReference"/>
                <w:color w:val="0000FF"/>
              </w:rPr>
              <w:fldChar w:fldCharType="end"/>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965F9E" w:rsidRPr="003D69E2" w:rsidRDefault="00965F9E" w:rsidP="00D75740">
            <w:pPr>
              <w:pStyle w:val="TblTextCenter"/>
              <w:rPr>
                <w:color w:val="000000"/>
                <w:sz w:val="18"/>
                <w:highlight w:val="yellow"/>
              </w:rPr>
            </w:pPr>
          </w:p>
        </w:tc>
        <w:tc>
          <w:tcPr>
            <w:tcW w:w="191" w:type="pct"/>
            <w:tcBorders>
              <w:top w:val="single" w:sz="4" w:space="0" w:color="auto"/>
              <w:left w:val="single" w:sz="4" w:space="0" w:color="auto"/>
              <w:bottom w:val="single" w:sz="4" w:space="0" w:color="auto"/>
              <w:right w:val="single" w:sz="4" w:space="0" w:color="auto"/>
            </w:tcBorders>
          </w:tcPr>
          <w:p w:rsidR="00965F9E" w:rsidRPr="003D69E2" w:rsidRDefault="00965F9E" w:rsidP="00D75740">
            <w:pPr>
              <w:pStyle w:val="TblTextCenter"/>
              <w:rPr>
                <w:color w:val="000000"/>
                <w:sz w:val="18"/>
                <w:highlight w:val="yellow"/>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965F9E" w:rsidRPr="003D69E2" w:rsidRDefault="00965F9E" w:rsidP="00D75740">
            <w:pPr>
              <w:pStyle w:val="TblTextCenter"/>
              <w:rPr>
                <w:sz w:val="18"/>
                <w:highlight w:val="yellow"/>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r w:rsidRPr="001153D4">
              <w:rPr>
                <w:color w:val="000000"/>
                <w:sz w:val="18"/>
              </w:rPr>
              <w:t>X</w:t>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r w:rsidRPr="001153D4">
              <w:rPr>
                <w:color w:val="000000"/>
                <w:sz w:val="18"/>
              </w:rPr>
              <w:t>X</w:t>
            </w:r>
          </w:p>
        </w:tc>
        <w:tc>
          <w:tcPr>
            <w:tcW w:w="119" w:type="pct"/>
            <w:tcBorders>
              <w:top w:val="single" w:sz="4" w:space="0" w:color="auto"/>
              <w:left w:val="single" w:sz="4" w:space="0" w:color="auto"/>
              <w:bottom w:val="single" w:sz="4" w:space="0" w:color="auto"/>
              <w:right w:val="single" w:sz="4" w:space="0" w:color="auto"/>
            </w:tcBorders>
          </w:tcPr>
          <w:p w:rsidR="00965F9E" w:rsidRPr="003D69E2" w:rsidRDefault="00965F9E" w:rsidP="00D75740">
            <w:pPr>
              <w:pStyle w:val="TblTextCenter"/>
              <w:rPr>
                <w:color w:val="000000"/>
                <w:sz w:val="18"/>
                <w:highlight w:val="yellow"/>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r w:rsidRPr="001153D4">
              <w:rPr>
                <w:color w:val="000000"/>
                <w:sz w:val="18"/>
              </w:rPr>
              <w:t>X</w:t>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r w:rsidRPr="001153D4">
              <w:rPr>
                <w:color w:val="000000"/>
                <w:sz w:val="18"/>
              </w:rPr>
              <w:t>X</w:t>
            </w:r>
          </w:p>
        </w:tc>
        <w:tc>
          <w:tcPr>
            <w:tcW w:w="121" w:type="pct"/>
            <w:tcBorders>
              <w:top w:val="single" w:sz="4" w:space="0" w:color="auto"/>
              <w:left w:val="single" w:sz="4" w:space="0" w:color="auto"/>
              <w:bottom w:val="single" w:sz="4" w:space="0" w:color="auto"/>
              <w:right w:val="single" w:sz="4" w:space="0" w:color="auto"/>
            </w:tcBorders>
          </w:tcPr>
          <w:p w:rsidR="00965F9E" w:rsidRPr="003D69E2" w:rsidRDefault="00965F9E" w:rsidP="00D75740">
            <w:pPr>
              <w:pStyle w:val="TblTextCenter"/>
              <w:rPr>
                <w:color w:val="000000"/>
                <w:sz w:val="18"/>
                <w:highlight w:val="yellow"/>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r w:rsidRPr="001153D4">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r w:rsidRPr="001153D4">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r w:rsidRPr="001153D4">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965F9E" w:rsidRPr="003D69E2" w:rsidRDefault="00965F9E" w:rsidP="00D75740">
            <w:pPr>
              <w:pStyle w:val="TblTextCenter"/>
              <w:rPr>
                <w:color w:val="000000"/>
                <w:sz w:val="18"/>
                <w:highlight w:val="yellow"/>
              </w:rPr>
            </w:pPr>
            <w:r w:rsidRPr="001153D4">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965F9E" w:rsidRPr="00393BD8" w:rsidRDefault="00965F9E"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965F9E" w:rsidRPr="00393BD8" w:rsidRDefault="00965F9E"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965F9E" w:rsidRPr="00393BD8" w:rsidRDefault="00965F9E"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965F9E" w:rsidRPr="00393BD8" w:rsidRDefault="00965F9E"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965F9E" w:rsidRPr="00393BD8" w:rsidRDefault="00965F9E"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965F9E" w:rsidRPr="00393BD8" w:rsidRDefault="00965F9E"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965F9E" w:rsidRPr="00393BD8" w:rsidRDefault="00965F9E"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965F9E" w:rsidRPr="00393BD8" w:rsidRDefault="00965F9E"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965F9E" w:rsidRPr="00393BD8" w:rsidRDefault="00965F9E"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965F9E" w:rsidRPr="00393BD8" w:rsidRDefault="00965F9E"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965F9E" w:rsidRPr="00393BD8" w:rsidRDefault="00965F9E"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2E7A10" w:rsidRDefault="004B2345" w:rsidP="00D75740">
            <w:pPr>
              <w:pStyle w:val="TblTextLeft"/>
            </w:pPr>
            <w:r w:rsidRPr="00836C47">
              <w:t xml:space="preserve">7-point SMPG profiles (on </w:t>
            </w:r>
            <w:r w:rsidRPr="00836C47">
              <w:rPr>
                <w:lang w:eastAsia="ja-JP"/>
              </w:rPr>
              <w:t>2</w:t>
            </w:r>
            <w:r w:rsidRPr="00836C47">
              <w:t xml:space="preserve"> different days in the </w:t>
            </w:r>
            <w:r w:rsidRPr="00836C47">
              <w:lastRenderedPageBreak/>
              <w:t>week prior to the visit)</w:t>
            </w:r>
            <w:r w:rsidR="002E7A10" w:rsidRPr="002E7A10">
              <w:rPr>
                <w:rStyle w:val="TblFigFootnoteReference"/>
                <w:color w:val="0000FF"/>
              </w:rPr>
              <w:fldChar w:fldCharType="begin"/>
            </w:r>
            <w:r w:rsidR="002E7A10" w:rsidRPr="002E7A10">
              <w:rPr>
                <w:rStyle w:val="TblFigFootnoteReference"/>
                <w:color w:val="0000FF"/>
              </w:rPr>
              <w:instrText xml:space="preserve"> REF _Ref440274605 \r \h </w:instrText>
            </w:r>
            <w:r w:rsidR="002E7A10" w:rsidRPr="002E7A10">
              <w:rPr>
                <w:rStyle w:val="TblFigFootnoteReference"/>
                <w:color w:val="0000FF"/>
              </w:rPr>
            </w:r>
            <w:r w:rsidR="002E7A10" w:rsidRPr="002E7A10">
              <w:rPr>
                <w:rStyle w:val="TblFigFootnoteReference"/>
                <w:color w:val="0000FF"/>
              </w:rPr>
              <w:fldChar w:fldCharType="separate"/>
            </w:r>
            <w:r w:rsidR="005A26F6">
              <w:rPr>
                <w:rStyle w:val="TblFigFootnoteReference"/>
                <w:color w:val="0000FF"/>
              </w:rPr>
              <w:t>h</w:t>
            </w:r>
            <w:r w:rsidR="002E7A10" w:rsidRPr="002E7A10">
              <w:rPr>
                <w:rStyle w:val="TblFigFootnoteReference"/>
                <w:color w:val="0000FF"/>
              </w:rPr>
              <w:fldChar w:fldCharType="end"/>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A3364F" w:rsidRDefault="004B2345" w:rsidP="008D55CC">
            <w:pPr>
              <w:pStyle w:val="TblTextLeft"/>
            </w:pPr>
            <w:r w:rsidRPr="00836C47">
              <w:lastRenderedPageBreak/>
              <w:t>IMPs dispensation</w:t>
            </w:r>
            <w:r w:rsidR="00A3364F" w:rsidRPr="001153D4">
              <w:rPr>
                <w:rStyle w:val="TblFigFootnoteReference"/>
                <w:color w:val="0000FF"/>
              </w:rPr>
              <w:fldChar w:fldCharType="begin"/>
            </w:r>
            <w:r w:rsidR="00A3364F" w:rsidRPr="001153D4">
              <w:rPr>
                <w:rStyle w:val="TblFigFootnoteReference"/>
                <w:color w:val="0000FF"/>
              </w:rPr>
              <w:instrText xml:space="preserve"> REF _Ref434843026 \r \h </w:instrText>
            </w:r>
            <w:r w:rsidR="00A3364F" w:rsidRPr="001153D4">
              <w:rPr>
                <w:rStyle w:val="TblFigFootnoteReference"/>
                <w:color w:val="0000FF"/>
              </w:rPr>
            </w:r>
            <w:r w:rsidR="00A3364F" w:rsidRPr="001153D4">
              <w:rPr>
                <w:rStyle w:val="TblFigFootnoteReference"/>
                <w:color w:val="0000FF"/>
              </w:rPr>
              <w:instrText xml:space="preserve"> \* MERGEFORMAT </w:instrText>
            </w:r>
            <w:r w:rsidR="00A3364F" w:rsidRPr="001153D4">
              <w:rPr>
                <w:rStyle w:val="TblFigFootnoteReference"/>
                <w:color w:val="0000FF"/>
              </w:rPr>
              <w:fldChar w:fldCharType="separate"/>
            </w:r>
            <w:r w:rsidR="005A26F6">
              <w:rPr>
                <w:rStyle w:val="TblFigFootnoteReference"/>
                <w:color w:val="0000FF"/>
              </w:rPr>
              <w:t>i</w:t>
            </w:r>
            <w:r w:rsidR="00A3364F" w:rsidRPr="001153D4">
              <w:rPr>
                <w:rStyle w:val="TblFigFootnoteReference"/>
                <w:color w:val="0000FF"/>
              </w:rPr>
              <w:fldChar w:fldCharType="end"/>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color w:val="000000"/>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rPr>
          <w:cantSplit/>
        </w:trPr>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020CC4" w:rsidRDefault="004B2345" w:rsidP="003A1411">
            <w:pPr>
              <w:pStyle w:val="TblTextLeft"/>
              <w:rPr>
                <w:highlight w:val="yellow"/>
              </w:rPr>
            </w:pPr>
            <w:r w:rsidRPr="00EF74E8">
              <w:t xml:space="preserve">Recording </w:t>
            </w:r>
            <w:r>
              <w:t>of GLP-1 receptor agonist daily</w:t>
            </w:r>
            <w:r w:rsidRPr="001153D4">
              <w:t>/weekly</w:t>
            </w:r>
            <w:r>
              <w:t xml:space="preserve"> </w:t>
            </w:r>
            <w:r w:rsidRPr="00EF74E8">
              <w:t>dose (mg or µg )</w:t>
            </w:r>
            <w:r w:rsidRPr="00EF74E8">
              <w:rPr>
                <w:b/>
              </w:rPr>
              <w:t xml:space="preserve"> </w:t>
            </w:r>
            <w:r w:rsidRPr="00EF74E8">
              <w:t>(control arm)</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color w:val="000000"/>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6C2ACF" w:rsidRDefault="004B2345" w:rsidP="00D75740">
            <w:pPr>
              <w:pStyle w:val="TblTextCenter"/>
              <w:rPr>
                <w:color w:val="000000"/>
                <w:sz w:val="18"/>
                <w:highlight w:val="yellow"/>
              </w:rPr>
            </w:pPr>
            <w:r w:rsidRPr="006C2ACF">
              <w:rPr>
                <w:color w:val="000000"/>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19" w:type="pct"/>
            <w:tcBorders>
              <w:top w:val="single" w:sz="4" w:space="0" w:color="auto"/>
              <w:left w:val="single" w:sz="4" w:space="0" w:color="auto"/>
              <w:bottom w:val="single" w:sz="4" w:space="0" w:color="auto"/>
              <w:right w:val="single" w:sz="4" w:space="0" w:color="auto"/>
            </w:tcBorders>
          </w:tcPr>
          <w:p w:rsidR="004B2345" w:rsidRPr="006C2ACF" w:rsidRDefault="004B2345" w:rsidP="00D75740">
            <w:pPr>
              <w:pStyle w:val="TblTextCenter"/>
              <w:rPr>
                <w:color w:val="000000"/>
                <w:sz w:val="18"/>
                <w:highlight w:val="yellow"/>
              </w:rPr>
            </w:pPr>
            <w:r w:rsidRPr="006C2ACF">
              <w:rPr>
                <w:color w:val="000000"/>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6C2ACF" w:rsidRDefault="004B2345" w:rsidP="00D75740">
            <w:pPr>
              <w:pStyle w:val="TblTextCenter"/>
              <w:rPr>
                <w:color w:val="000000"/>
                <w:sz w:val="18"/>
                <w:highlight w:val="yellow"/>
              </w:rPr>
            </w:pPr>
            <w:r w:rsidRPr="006C2ACF">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21" w:type="pct"/>
            <w:tcBorders>
              <w:top w:val="single" w:sz="4" w:space="0" w:color="auto"/>
              <w:left w:val="single" w:sz="4" w:space="0" w:color="auto"/>
              <w:bottom w:val="single" w:sz="4" w:space="0" w:color="auto"/>
              <w:right w:val="single" w:sz="4" w:space="0" w:color="auto"/>
            </w:tcBorders>
          </w:tcPr>
          <w:p w:rsidR="004B2345" w:rsidRPr="006C2ACF" w:rsidRDefault="004B2345" w:rsidP="00D75740">
            <w:pPr>
              <w:pStyle w:val="TblTextCenter"/>
              <w:rPr>
                <w:color w:val="000000"/>
                <w:sz w:val="18"/>
                <w:highlight w:val="yellow"/>
              </w:rPr>
            </w:pPr>
            <w:r w:rsidRPr="006C2ACF">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6C2ACF" w:rsidRDefault="004B2345" w:rsidP="00D75740">
            <w:pPr>
              <w:pStyle w:val="TblTextCenter"/>
              <w:rPr>
                <w:color w:val="000000"/>
                <w:sz w:val="18"/>
                <w:highlight w:val="yellow"/>
              </w:rPr>
            </w:pPr>
            <w:r w:rsidRPr="006C2ACF">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6C2ACF" w:rsidRDefault="004B2345" w:rsidP="00D75740">
            <w:pPr>
              <w:pStyle w:val="TblTextCenter"/>
              <w:rPr>
                <w:color w:val="000000"/>
                <w:sz w:val="18"/>
                <w:highlight w:val="yellow"/>
              </w:rPr>
            </w:pPr>
            <w:r w:rsidRPr="006C2ACF">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6C2ACF" w:rsidRDefault="004B2345" w:rsidP="00D75740">
            <w:pPr>
              <w:pStyle w:val="TblTextCenter"/>
              <w:rPr>
                <w:color w:val="000000"/>
                <w:sz w:val="18"/>
                <w:highlight w:val="yellow"/>
              </w:rPr>
            </w:pPr>
            <w:r w:rsidRPr="006C2ACF">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6C2ACF" w:rsidRDefault="004B2345" w:rsidP="00D75740">
            <w:pPr>
              <w:pStyle w:val="TblTextCenter"/>
              <w:rPr>
                <w:color w:val="000000"/>
                <w:sz w:val="18"/>
                <w:highlight w:val="yellow"/>
              </w:rPr>
            </w:pPr>
            <w:r w:rsidRPr="006C2ACF">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21" w:type="pct"/>
            <w:tcBorders>
              <w:top w:val="single" w:sz="4" w:space="0" w:color="auto"/>
              <w:left w:val="single" w:sz="4" w:space="0" w:color="auto"/>
              <w:bottom w:val="single" w:sz="4" w:space="0" w:color="auto"/>
              <w:right w:val="single" w:sz="4" w:space="0" w:color="auto"/>
            </w:tcBorders>
          </w:tcPr>
          <w:p w:rsidR="004B2345" w:rsidRPr="006C2ACF" w:rsidRDefault="004B2345" w:rsidP="00D75740">
            <w:pPr>
              <w:pStyle w:val="TblTextCenter"/>
              <w:rPr>
                <w:color w:val="000000"/>
                <w:sz w:val="18"/>
                <w:highlight w:val="yellow"/>
              </w:rPr>
            </w:pPr>
            <w:r w:rsidRPr="006C2ACF">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21" w:type="pct"/>
            <w:tcBorders>
              <w:top w:val="single" w:sz="4" w:space="0" w:color="auto"/>
              <w:left w:val="single" w:sz="4" w:space="0" w:color="auto"/>
              <w:bottom w:val="single" w:sz="4" w:space="0" w:color="auto"/>
              <w:right w:val="single" w:sz="4" w:space="0" w:color="auto"/>
            </w:tcBorders>
          </w:tcPr>
          <w:p w:rsidR="004B2345" w:rsidRPr="006C2ACF" w:rsidRDefault="004B2345" w:rsidP="00D75740">
            <w:pPr>
              <w:pStyle w:val="TblTextCenter"/>
              <w:rPr>
                <w:color w:val="000000"/>
                <w:sz w:val="18"/>
                <w:highlight w:val="yellow"/>
              </w:rPr>
            </w:pPr>
            <w:r w:rsidRPr="006C2ACF">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21" w:type="pct"/>
            <w:tcBorders>
              <w:top w:val="single" w:sz="4" w:space="0" w:color="auto"/>
              <w:left w:val="single" w:sz="4" w:space="0" w:color="auto"/>
              <w:bottom w:val="single" w:sz="4" w:space="0" w:color="auto"/>
              <w:right w:val="single" w:sz="4" w:space="0" w:color="auto"/>
            </w:tcBorders>
          </w:tcPr>
          <w:p w:rsidR="004B2345" w:rsidRPr="006C2ACF" w:rsidRDefault="004B2345" w:rsidP="00D75740">
            <w:pPr>
              <w:pStyle w:val="TblTextCenter"/>
              <w:rPr>
                <w:color w:val="000000"/>
                <w:sz w:val="18"/>
              </w:rPr>
            </w:pPr>
            <w:r w:rsidRPr="006C2ACF">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3A1411" w:rsidRDefault="004B2345" w:rsidP="00D75740">
            <w:pPr>
              <w:pStyle w:val="TblTextCenter"/>
              <w:rPr>
                <w:strike/>
                <w:color w:val="000000"/>
                <w:sz w:val="18"/>
                <w:highlight w:val="yellow"/>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6C2ACF" w:rsidRDefault="004B2345" w:rsidP="00D75740">
            <w:pPr>
              <w:pStyle w:val="TblTextCenter"/>
              <w:rPr>
                <w:color w:val="000000"/>
                <w:sz w:val="18"/>
                <w:highlight w:val="yellow"/>
              </w:rPr>
            </w:pPr>
            <w:r w:rsidRPr="006C2ACF">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020CC4" w:rsidRDefault="004B2345" w:rsidP="001153D4">
            <w:pPr>
              <w:pStyle w:val="TblTextLeft"/>
              <w:rPr>
                <w:highlight w:val="yellow"/>
              </w:rPr>
            </w:pPr>
            <w:r w:rsidRPr="00EF74E8">
              <w:t xml:space="preserve">Recording of </w:t>
            </w:r>
            <w:r w:rsidR="00E86BB1" w:rsidRPr="001153D4">
              <w:t>FRC dose (</w:t>
            </w:r>
            <w:r w:rsidR="00EA7F75" w:rsidRPr="001153D4">
              <w:t>U</w:t>
            </w:r>
            <w:r w:rsidR="00E86BB1" w:rsidRPr="001153D4">
              <w:t>)</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tcPr>
          <w:p w:rsidR="004B2345"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r>
              <w:rPr>
                <w:color w:val="000000"/>
                <w:sz w:val="18"/>
              </w:rPr>
              <w:t>X</w:t>
            </w: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836C47" w:rsidRDefault="004B2345" w:rsidP="00D75740">
            <w:pPr>
              <w:pStyle w:val="TblTextLeft"/>
            </w:pPr>
            <w:r>
              <w:t>Count returned pens</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836C47" w:rsidRDefault="004B2345" w:rsidP="00D75740">
            <w:pPr>
              <w:pStyle w:val="TblTextLeft"/>
            </w:pPr>
            <w:r>
              <w:t>Compliance check</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Default="004B2345" w:rsidP="00D75740">
            <w:pPr>
              <w:pStyle w:val="TblTextLeft"/>
            </w:pPr>
            <w:r w:rsidRPr="004A4C44">
              <w:rPr>
                <w:b/>
              </w:rPr>
              <w:t>Central laboratory testing</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4A4C44" w:rsidRDefault="004B2345" w:rsidP="00D75740">
            <w:pPr>
              <w:pStyle w:val="TblTextLeft"/>
              <w:spacing w:before="40" w:after="40"/>
            </w:pPr>
            <w:r w:rsidRPr="004A4C44">
              <w:t>HbA</w:t>
            </w:r>
            <w:r w:rsidRPr="00ED3011">
              <w:rPr>
                <w:vertAlign w:val="subscript"/>
              </w:rPr>
              <w:t>1c</w:t>
            </w:r>
            <w:r w:rsidRPr="0074346A">
              <w:rPr>
                <w:vertAlign w:val="subscript"/>
              </w:rPr>
              <w:t xml:space="preserve"> </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3138DE"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Default="004B2345" w:rsidP="00D75740">
            <w:pPr>
              <w:pStyle w:val="TblTextCenter"/>
              <w:rPr>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056605"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4A4C44" w:rsidRDefault="004B2345" w:rsidP="00D75740">
            <w:pPr>
              <w:pStyle w:val="TblTextLeft"/>
              <w:spacing w:before="40" w:after="40"/>
            </w:pPr>
            <w:r w:rsidRPr="004A4C44">
              <w:t xml:space="preserve">Fasting Plasma Glucose </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A3364F" w:rsidRDefault="004B2345" w:rsidP="00A3364F">
            <w:pPr>
              <w:pStyle w:val="TblTextCenter"/>
            </w:pPr>
            <w:r w:rsidRPr="00056605">
              <w:rPr>
                <w:color w:val="000000"/>
                <w:sz w:val="18"/>
                <w:lang w:val="de-DE"/>
              </w:rPr>
              <w:t xml:space="preserve">X </w:t>
            </w:r>
            <w:r w:rsidR="00A3364F" w:rsidRPr="00A3364F">
              <w:rPr>
                <w:rStyle w:val="TblFigFootnoteReference"/>
                <w:color w:val="0000FF"/>
              </w:rPr>
              <w:fldChar w:fldCharType="begin"/>
            </w:r>
            <w:r w:rsidR="00A3364F" w:rsidRPr="00A3364F">
              <w:rPr>
                <w:rStyle w:val="TblFigFootnoteReference"/>
                <w:color w:val="0000FF"/>
              </w:rPr>
              <w:instrText xml:space="preserve"> REF _Ref425858102 \r \h </w:instrText>
            </w:r>
            <w:r w:rsidR="00A3364F" w:rsidRPr="00A3364F">
              <w:rPr>
                <w:rStyle w:val="TblFigFootnoteReference"/>
                <w:color w:val="0000FF"/>
              </w:rPr>
            </w:r>
            <w:r w:rsidR="00A3364F" w:rsidRPr="00A3364F">
              <w:rPr>
                <w:rStyle w:val="TblFigFootnoteReference"/>
                <w:color w:val="0000FF"/>
              </w:rPr>
              <w:fldChar w:fldCharType="separate"/>
            </w:r>
            <w:r w:rsidR="005A26F6">
              <w:rPr>
                <w:rStyle w:val="TblFigFootnoteReference"/>
                <w:color w:val="0000FF"/>
              </w:rPr>
              <w:t>j</w:t>
            </w:r>
            <w:r w:rsidR="00A3364F" w:rsidRPr="00A3364F">
              <w:rPr>
                <w:rStyle w:val="TblFigFootnoteReference"/>
                <w:color w:val="0000FF"/>
              </w:rPr>
              <w:fldChar w:fldCharType="end"/>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A3364F" w:rsidRDefault="004B2345" w:rsidP="00A3364F">
            <w:pPr>
              <w:pStyle w:val="TblTextCenter"/>
            </w:pPr>
            <w:r w:rsidRPr="00056605">
              <w:rPr>
                <w:color w:val="000000"/>
                <w:sz w:val="18"/>
                <w:lang w:val="de-DE"/>
              </w:rPr>
              <w:t>X</w:t>
            </w:r>
            <w:r>
              <w:rPr>
                <w:color w:val="000000"/>
                <w:sz w:val="18"/>
                <w:lang w:val="de-DE"/>
              </w:rPr>
              <w:t xml:space="preserve"> </w:t>
            </w:r>
            <w:r w:rsidR="00A3364F" w:rsidRPr="00A3364F">
              <w:rPr>
                <w:rStyle w:val="TblFigFootnoteReference"/>
                <w:color w:val="0000FF"/>
              </w:rPr>
              <w:fldChar w:fldCharType="begin"/>
            </w:r>
            <w:r w:rsidR="00A3364F" w:rsidRPr="00A3364F">
              <w:rPr>
                <w:rStyle w:val="TblFigFootnoteReference"/>
                <w:color w:val="0000FF"/>
              </w:rPr>
              <w:instrText xml:space="preserve"> REF _Ref425858102 \r \h </w:instrText>
            </w:r>
            <w:r w:rsidR="00A3364F" w:rsidRPr="00A3364F">
              <w:rPr>
                <w:rStyle w:val="TblFigFootnoteReference"/>
                <w:color w:val="0000FF"/>
              </w:rPr>
            </w:r>
            <w:r w:rsidR="00A3364F" w:rsidRPr="00A3364F">
              <w:rPr>
                <w:rStyle w:val="TblFigFootnoteReference"/>
                <w:color w:val="0000FF"/>
              </w:rPr>
              <w:fldChar w:fldCharType="separate"/>
            </w:r>
            <w:r w:rsidR="005A26F6">
              <w:rPr>
                <w:rStyle w:val="TblFigFootnoteReference"/>
                <w:color w:val="0000FF"/>
              </w:rPr>
              <w:t>j</w:t>
            </w:r>
            <w:r w:rsidR="00A3364F" w:rsidRPr="00A3364F">
              <w:rPr>
                <w:rStyle w:val="TblFigFootnoteReference"/>
                <w:color w:val="0000FF"/>
              </w:rPr>
              <w:fldChar w:fldCharType="end"/>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056605" w:rsidRDefault="004B2345" w:rsidP="00D75740">
            <w:pPr>
              <w:pStyle w:val="TblTextCenter"/>
              <w:rPr>
                <w:color w:val="000000"/>
                <w:sz w:val="18"/>
                <w:lang w:val="de-DE"/>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A3364F" w:rsidRDefault="004B2345" w:rsidP="00A3364F">
            <w:pPr>
              <w:pStyle w:val="TblTextLeft"/>
              <w:spacing w:before="40" w:after="40"/>
            </w:pPr>
            <w:r w:rsidRPr="004A4C44">
              <w:rPr>
                <w:lang w:eastAsia="ja-JP"/>
              </w:rPr>
              <w:t>2-h standardized meal</w:t>
            </w:r>
            <w:r>
              <w:rPr>
                <w:lang w:eastAsia="ja-JP"/>
              </w:rPr>
              <w:br/>
            </w:r>
            <w:r w:rsidRPr="004A4C44">
              <w:rPr>
                <w:lang w:eastAsia="ja-JP"/>
              </w:rPr>
              <w:t>test</w:t>
            </w:r>
            <w:r>
              <w:rPr>
                <w:lang w:eastAsia="ja-JP"/>
              </w:rPr>
              <w:t xml:space="preserve"> </w:t>
            </w:r>
            <w:r w:rsidR="00A3364F" w:rsidRPr="00A3364F">
              <w:rPr>
                <w:rStyle w:val="TblFigFootnoteReference"/>
                <w:color w:val="0000FF"/>
              </w:rPr>
              <w:fldChar w:fldCharType="begin"/>
            </w:r>
            <w:r w:rsidR="00A3364F" w:rsidRPr="00A3364F">
              <w:rPr>
                <w:rStyle w:val="TblFigFootnoteReference"/>
                <w:color w:val="0000FF"/>
              </w:rPr>
              <w:instrText xml:space="preserve"> REF _Ref425858102 \r \h </w:instrText>
            </w:r>
            <w:r w:rsidR="00A3364F" w:rsidRPr="00A3364F">
              <w:rPr>
                <w:rStyle w:val="TblFigFootnoteReference"/>
                <w:color w:val="0000FF"/>
              </w:rPr>
            </w:r>
            <w:r w:rsidR="00A3364F" w:rsidRPr="00A3364F">
              <w:rPr>
                <w:rStyle w:val="TblFigFootnoteReference"/>
                <w:color w:val="0000FF"/>
              </w:rPr>
              <w:fldChar w:fldCharType="separate"/>
            </w:r>
            <w:r w:rsidR="005A26F6">
              <w:rPr>
                <w:rStyle w:val="TblFigFootnoteReference"/>
                <w:color w:val="0000FF"/>
              </w:rPr>
              <w:t>j</w:t>
            </w:r>
            <w:r w:rsidR="00A3364F" w:rsidRPr="00A3364F">
              <w:rPr>
                <w:rStyle w:val="TblFigFootnoteReference"/>
                <w:color w:val="0000FF"/>
              </w:rPr>
              <w:fldChar w:fldCharType="end"/>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255349" w:rsidRDefault="004B2345" w:rsidP="00D921A2">
            <w:pPr>
              <w:pStyle w:val="TblTextLeft"/>
              <w:spacing w:before="40" w:after="40"/>
            </w:pPr>
            <w:r w:rsidRPr="004A4C44">
              <w:rPr>
                <w:lang w:eastAsia="ja-JP"/>
              </w:rPr>
              <w:t>Total-; LDL</w:t>
            </w:r>
            <w:r w:rsidRPr="00D921A2">
              <w:fldChar w:fldCharType="begin"/>
            </w:r>
            <w:r w:rsidRPr="00D921A2">
              <w:instrText xml:space="preserve"> XE " LDL " \f Abbreviation \t </w:instrText>
            </w:r>
            <w:r w:rsidR="00E36685">
              <w:instrText>"l</w:instrText>
            </w:r>
            <w:r w:rsidRPr="00D921A2">
              <w:instrText xml:space="preserve">ow density lipoprotein" </w:instrText>
            </w:r>
            <w:r w:rsidRPr="00D921A2">
              <w:fldChar w:fldCharType="end"/>
            </w:r>
            <w:r w:rsidRPr="004A4C44">
              <w:rPr>
                <w:lang w:eastAsia="ja-JP"/>
              </w:rPr>
              <w:t>-; HDL-Cholesterol, triglycerides</w:t>
            </w:r>
            <w:r w:rsidR="00255349" w:rsidRPr="00255349">
              <w:rPr>
                <w:rStyle w:val="TblFigFootnoteReference"/>
                <w:color w:val="0000FF"/>
              </w:rPr>
              <w:fldChar w:fldCharType="begin"/>
            </w:r>
            <w:r w:rsidR="00255349" w:rsidRPr="00255349">
              <w:rPr>
                <w:rStyle w:val="TblFigFootnoteReference"/>
                <w:color w:val="0000FF"/>
              </w:rPr>
              <w:instrText xml:space="preserve"> REF _Ref440350779 \r \h </w:instrText>
            </w:r>
            <w:r w:rsidR="00255349" w:rsidRPr="00255349">
              <w:rPr>
                <w:rStyle w:val="TblFigFootnoteReference"/>
                <w:color w:val="0000FF"/>
              </w:rPr>
            </w:r>
            <w:r w:rsidR="00255349" w:rsidRPr="00255349">
              <w:rPr>
                <w:rStyle w:val="TblFigFootnoteReference"/>
                <w:color w:val="0000FF"/>
              </w:rPr>
              <w:fldChar w:fldCharType="separate"/>
            </w:r>
            <w:r w:rsidR="005A26F6">
              <w:rPr>
                <w:rStyle w:val="TblFigFootnoteReference"/>
                <w:color w:val="0000FF"/>
              </w:rPr>
              <w:t>k</w:t>
            </w:r>
            <w:r w:rsidR="00255349" w:rsidRPr="00255349">
              <w:rPr>
                <w:rStyle w:val="TblFigFootnoteReference"/>
                <w:color w:val="0000FF"/>
              </w:rPr>
              <w:fldChar w:fldCharType="end"/>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color w:val="000000"/>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4A4C44" w:rsidRDefault="004B2345" w:rsidP="00024014">
            <w:pPr>
              <w:pStyle w:val="TblTextLeft"/>
              <w:spacing w:before="40" w:after="40"/>
              <w:rPr>
                <w:lang w:eastAsia="ja-JP"/>
              </w:rPr>
            </w:pPr>
            <w:r w:rsidRPr="00056605">
              <w:rPr>
                <w:lang w:eastAsia="ja-JP"/>
              </w:rPr>
              <w:t>Urinalysis</w:t>
            </w:r>
            <w:r w:rsidR="00A3364F" w:rsidRPr="00A3364F">
              <w:rPr>
                <w:rStyle w:val="TblFigFootnoteReference"/>
                <w:color w:val="0000FF"/>
              </w:rPr>
              <w:fldChar w:fldCharType="begin"/>
            </w:r>
            <w:r w:rsidR="00A3364F" w:rsidRPr="00A3364F">
              <w:rPr>
                <w:rStyle w:val="TblFigFootnoteReference"/>
                <w:color w:val="0000FF"/>
              </w:rPr>
              <w:instrText xml:space="preserve"> REF _Ref425858176 \r \h </w:instrText>
            </w:r>
            <w:r w:rsidR="00A3364F" w:rsidRPr="00A3364F">
              <w:rPr>
                <w:rStyle w:val="TblFigFootnoteReference"/>
                <w:color w:val="0000FF"/>
              </w:rPr>
            </w:r>
            <w:r w:rsidR="00A3364F" w:rsidRPr="00A3364F">
              <w:rPr>
                <w:rStyle w:val="TblFigFootnoteReference"/>
                <w:color w:val="0000FF"/>
              </w:rPr>
              <w:fldChar w:fldCharType="separate"/>
            </w:r>
            <w:r w:rsidR="005A26F6">
              <w:rPr>
                <w:rStyle w:val="TblFigFootnoteReference"/>
                <w:color w:val="0000FF"/>
              </w:rPr>
              <w:t>l</w:t>
            </w:r>
            <w:r w:rsidR="00A3364F" w:rsidRPr="00A3364F">
              <w:rPr>
                <w:rStyle w:val="TblFigFootnoteReference"/>
                <w:color w:val="0000FF"/>
              </w:rPr>
              <w:fldChar w:fldCharType="end"/>
            </w:r>
            <w:r w:rsidRPr="00056605">
              <w:t xml:space="preserve"> </w:t>
            </w:r>
            <w:r w:rsidRPr="004A4C44">
              <w:rPr>
                <w:lang w:eastAsia="ja-JP"/>
              </w:rPr>
              <w:t>&amp; Hepatitis B surface antigen and hepatitis C antibody</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255349" w:rsidRDefault="004B2345" w:rsidP="00D921A2">
            <w:pPr>
              <w:pStyle w:val="TblTextLeft"/>
              <w:keepNext/>
              <w:keepLines/>
              <w:spacing w:before="40" w:after="40"/>
            </w:pPr>
            <w:r w:rsidRPr="004A4C44">
              <w:rPr>
                <w:lang w:eastAsia="ja-JP"/>
              </w:rPr>
              <w:lastRenderedPageBreak/>
              <w:t>Women only: (if necessary to define menopausal status)</w:t>
            </w:r>
            <w:r w:rsidR="00255349" w:rsidRPr="00255349">
              <w:rPr>
                <w:rStyle w:val="TblFigFootnoteReference"/>
                <w:color w:val="0000FF"/>
              </w:rPr>
              <w:fldChar w:fldCharType="begin"/>
            </w:r>
            <w:r w:rsidR="00255349" w:rsidRPr="00255349">
              <w:rPr>
                <w:rStyle w:val="TblFigFootnoteReference"/>
                <w:color w:val="0000FF"/>
              </w:rPr>
              <w:instrText xml:space="preserve"> REF _Ref440350819 \r \h </w:instrText>
            </w:r>
            <w:r w:rsidR="00255349" w:rsidRPr="00255349">
              <w:rPr>
                <w:rStyle w:val="TblFigFootnoteReference"/>
                <w:color w:val="0000FF"/>
              </w:rPr>
            </w:r>
            <w:r w:rsidR="00255349" w:rsidRPr="00255349">
              <w:rPr>
                <w:rStyle w:val="TblFigFootnoteReference"/>
                <w:color w:val="0000FF"/>
              </w:rPr>
              <w:fldChar w:fldCharType="separate"/>
            </w:r>
            <w:r w:rsidR="005A26F6">
              <w:rPr>
                <w:rStyle w:val="TblFigFootnoteReference"/>
                <w:color w:val="0000FF"/>
              </w:rPr>
              <w:t>m</w:t>
            </w:r>
            <w:r w:rsidR="00255349" w:rsidRPr="00255349">
              <w:rPr>
                <w:rStyle w:val="TblFigFootnoteReference"/>
                <w:color w:val="0000FF"/>
              </w:rPr>
              <w:fldChar w:fldCharType="end"/>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keepNext/>
              <w:keepLines/>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keepNext/>
              <w:keepLines/>
              <w:rPr>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keepNext/>
              <w:keepLines/>
              <w:rPr>
                <w:color w:val="000000"/>
                <w:sz w:val="18"/>
              </w:rPr>
            </w:pP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r>
      <w:tr w:rsidR="004B2345" w:rsidRPr="00B77B3F" w:rsidTr="00C24D12">
        <w:trPr>
          <w:cantSplit/>
        </w:trPr>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4A4C44" w:rsidRDefault="004B2345" w:rsidP="00D75740">
            <w:pPr>
              <w:pStyle w:val="TblTextLeft"/>
              <w:spacing w:before="40" w:after="40"/>
            </w:pPr>
            <w:r w:rsidRPr="004A4C44">
              <w:rPr>
                <w:lang w:eastAsia="ja-JP"/>
              </w:rPr>
              <w:t xml:space="preserve">Women only: </w:t>
            </w:r>
            <w:r w:rsidRPr="004A4C44">
              <w:t xml:space="preserve">serum pregnancy test </w:t>
            </w:r>
            <w:r>
              <w:br/>
            </w:r>
            <w:r w:rsidRPr="004A4C44">
              <w:t>(if childbearing potential)</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color w:val="000000"/>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9E233C" w:rsidRDefault="004B2345" w:rsidP="00024014">
            <w:pPr>
              <w:pStyle w:val="TblTextLeft"/>
              <w:keepNext/>
              <w:keepLines/>
              <w:spacing w:before="40" w:after="40"/>
            </w:pPr>
            <w:r w:rsidRPr="009E233C">
              <w:t>Safety laboratory</w:t>
            </w:r>
            <w:r w:rsidR="00A3364F" w:rsidRPr="00A3364F">
              <w:rPr>
                <w:rStyle w:val="TblFigFootnoteReference"/>
                <w:color w:val="0000FF"/>
              </w:rPr>
              <w:fldChar w:fldCharType="begin"/>
            </w:r>
            <w:r w:rsidR="00A3364F" w:rsidRPr="00A3364F">
              <w:rPr>
                <w:rStyle w:val="TblFigFootnoteReference"/>
                <w:color w:val="0000FF"/>
              </w:rPr>
              <w:instrText xml:space="preserve"> REF _Ref425858190 \r \h </w:instrText>
            </w:r>
            <w:r w:rsidR="00A3364F" w:rsidRPr="00A3364F">
              <w:rPr>
                <w:rStyle w:val="TblFigFootnoteReference"/>
                <w:color w:val="0000FF"/>
              </w:rPr>
            </w:r>
            <w:r w:rsidR="00A3364F" w:rsidRPr="00A3364F">
              <w:rPr>
                <w:rStyle w:val="TblFigFootnoteReference"/>
                <w:color w:val="0000FF"/>
              </w:rPr>
              <w:fldChar w:fldCharType="separate"/>
            </w:r>
            <w:r w:rsidR="005A26F6">
              <w:rPr>
                <w:rStyle w:val="TblFigFootnoteReference"/>
                <w:color w:val="0000FF"/>
              </w:rPr>
              <w:t>n</w:t>
            </w:r>
            <w:r w:rsidR="00A3364F" w:rsidRPr="00A3364F">
              <w:rPr>
                <w:rStyle w:val="TblFigFootnoteReference"/>
                <w:color w:val="0000FF"/>
              </w:rPr>
              <w:fldChar w:fldCharType="end"/>
            </w:r>
            <w:r w:rsidRPr="009E233C">
              <w:t xml:space="preserve"> hematology, serum chemistry</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keepNext/>
              <w:keepLines/>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keepNext/>
              <w:keepLines/>
              <w:rPr>
                <w:sz w:val="18"/>
              </w:rPr>
            </w:pPr>
            <w:r>
              <w:rPr>
                <w:color w:val="000000"/>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keepNext/>
              <w:keepLines/>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keepNext/>
              <w:keepLines/>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keepNext/>
              <w:keepLines/>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836C47" w:rsidRDefault="004B2345" w:rsidP="00D75740">
            <w:pPr>
              <w:pStyle w:val="TblTextLeft"/>
              <w:spacing w:before="40" w:after="40"/>
            </w:pPr>
            <w:r w:rsidRPr="00253134">
              <w:t>Amylase, Lipase</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color w:val="000000"/>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r w:rsidR="004B2345" w:rsidRPr="00B77B3F" w:rsidTr="00C24D12">
        <w:tc>
          <w:tcPr>
            <w:tcW w:w="729" w:type="pct"/>
            <w:tcBorders>
              <w:top w:val="single" w:sz="4" w:space="0" w:color="auto"/>
              <w:left w:val="single" w:sz="4" w:space="0" w:color="auto"/>
              <w:bottom w:val="single" w:sz="4" w:space="0" w:color="auto"/>
              <w:right w:val="single" w:sz="4" w:space="0" w:color="auto"/>
            </w:tcBorders>
            <w:shd w:val="clear" w:color="auto" w:fill="auto"/>
          </w:tcPr>
          <w:p w:rsidR="004B2345" w:rsidRPr="00836C47" w:rsidRDefault="004B2345" w:rsidP="00D75740">
            <w:pPr>
              <w:pStyle w:val="TblTextLeft"/>
              <w:spacing w:before="40" w:after="40"/>
            </w:pPr>
            <w:r w:rsidRPr="00836C47">
              <w:t>Serum Calcitonin</w:t>
            </w: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19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9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sz w:val="18"/>
              </w:rPr>
            </w:pPr>
            <w:r>
              <w:rPr>
                <w:color w:val="000000"/>
                <w:sz w:val="18"/>
              </w:rPr>
              <w:t>X</w:t>
            </w: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5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5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19"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60"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r>
              <w:rPr>
                <w:color w:val="000000"/>
                <w:sz w:val="18"/>
              </w:rPr>
              <w:t>X</w:t>
            </w: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tcPr>
          <w:p w:rsidR="004B2345" w:rsidRPr="00B77B3F" w:rsidRDefault="004B2345" w:rsidP="00D75740">
            <w:pPr>
              <w:pStyle w:val="TblTextCenter"/>
              <w:rPr>
                <w:color w:val="000000"/>
                <w:sz w:val="18"/>
              </w:rPr>
            </w:pPr>
          </w:p>
        </w:tc>
        <w:tc>
          <w:tcPr>
            <w:tcW w:w="121"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c>
          <w:tcPr>
            <w:tcW w:w="199" w:type="pct"/>
            <w:tcBorders>
              <w:top w:val="single" w:sz="4" w:space="0" w:color="auto"/>
              <w:left w:val="single" w:sz="4" w:space="0" w:color="auto"/>
              <w:bottom w:val="single" w:sz="4" w:space="0" w:color="auto"/>
              <w:right w:val="single" w:sz="4" w:space="0" w:color="auto"/>
            </w:tcBorders>
            <w:shd w:val="clear" w:color="auto" w:fill="auto"/>
          </w:tcPr>
          <w:p w:rsidR="004B2345" w:rsidRPr="00B77B3F" w:rsidRDefault="004B2345" w:rsidP="00D75740">
            <w:pPr>
              <w:pStyle w:val="TblTextCenter"/>
              <w:rPr>
                <w:color w:val="000000"/>
                <w:sz w:val="18"/>
              </w:rPr>
            </w:pPr>
            <w:r>
              <w:rPr>
                <w:color w:val="000000"/>
                <w:sz w:val="18"/>
              </w:rPr>
              <w:t>X</w:t>
            </w:r>
          </w:p>
        </w:tc>
        <w:tc>
          <w:tcPr>
            <w:tcW w:w="307" w:type="pct"/>
            <w:tcBorders>
              <w:top w:val="single" w:sz="4" w:space="0" w:color="auto"/>
              <w:left w:val="single" w:sz="4" w:space="0" w:color="auto"/>
              <w:bottom w:val="single" w:sz="4" w:space="0" w:color="auto"/>
              <w:right w:val="single" w:sz="4" w:space="0" w:color="auto"/>
            </w:tcBorders>
            <w:shd w:val="clear" w:color="auto" w:fill="D9D9D9"/>
          </w:tcPr>
          <w:p w:rsidR="004B2345" w:rsidRPr="00B77B3F" w:rsidRDefault="004B2345" w:rsidP="00D75740">
            <w:pPr>
              <w:pStyle w:val="TblTextCenter"/>
              <w:rPr>
                <w:color w:val="000000"/>
                <w:sz w:val="18"/>
              </w:rPr>
            </w:pPr>
          </w:p>
        </w:tc>
      </w:tr>
    </w:tbl>
    <w:p w:rsidR="00235360" w:rsidRDefault="00235360">
      <w:pPr>
        <w:pStyle w:val="TblFigFootnote"/>
      </w:pP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1" w:type="dxa"/>
          <w:right w:w="71" w:type="dxa"/>
        </w:tblCellMar>
        <w:tblLook w:val="0000" w:firstRow="0" w:lastRow="0" w:firstColumn="0" w:lastColumn="0" w:noHBand="0" w:noVBand="0"/>
      </w:tblPr>
      <w:tblGrid>
        <w:gridCol w:w="14260"/>
      </w:tblGrid>
      <w:tr w:rsidR="00235360" w:rsidRPr="00B77B3F" w:rsidTr="00EA7F75">
        <w:trPr>
          <w:cantSplit/>
        </w:trPr>
        <w:tc>
          <w:tcPr>
            <w:tcW w:w="5000" w:type="pct"/>
            <w:tcBorders>
              <w:top w:val="single" w:sz="4" w:space="0" w:color="auto"/>
              <w:left w:val="single" w:sz="4" w:space="0" w:color="auto"/>
              <w:bottom w:val="single" w:sz="4" w:space="0" w:color="auto"/>
              <w:right w:val="single" w:sz="4" w:space="0" w:color="auto"/>
            </w:tcBorders>
            <w:shd w:val="clear" w:color="auto" w:fill="auto"/>
          </w:tcPr>
          <w:p w:rsidR="00235360" w:rsidRPr="00AE7BFE" w:rsidRDefault="00235360" w:rsidP="00CC67B4">
            <w:pPr>
              <w:pStyle w:val="TblFigFootnote"/>
              <w:numPr>
                <w:ilvl w:val="0"/>
                <w:numId w:val="37"/>
              </w:numPr>
            </w:pPr>
            <w:bookmarkStart w:id="33" w:name="_Ref425858052"/>
            <w:r w:rsidRPr="008E60F1">
              <w:lastRenderedPageBreak/>
              <w:t>During the screening period and for randomiz</w:t>
            </w:r>
            <w:r>
              <w:t>ation visit a visit window of ± 3</w:t>
            </w:r>
            <w:r w:rsidRPr="008E60F1">
              <w:t xml:space="preserve"> days is acceptable, taking </w:t>
            </w:r>
            <w:r>
              <w:t>V</w:t>
            </w:r>
            <w:r w:rsidRPr="008E60F1">
              <w:t xml:space="preserve">2 as reference for the randomization visit </w:t>
            </w:r>
            <w:r>
              <w:t>(</w:t>
            </w:r>
            <w:r w:rsidRPr="008E60F1">
              <w:t>V3</w:t>
            </w:r>
            <w:r>
              <w:t>)</w:t>
            </w:r>
            <w:r w:rsidRPr="008E60F1">
              <w:t xml:space="preserve">. During the treatment period a visit window of ± 3 days </w:t>
            </w:r>
            <w:r>
              <w:t xml:space="preserve">is acceptable for </w:t>
            </w:r>
            <w:r w:rsidRPr="00EF74E8">
              <w:t xml:space="preserve">V5 to V19 (except for additional titration calls for fixed ratio combination treatment arms; please refer to footnote </w:t>
            </w:r>
            <w:r w:rsidRPr="00EF74E8">
              <w:rPr>
                <w:i/>
              </w:rPr>
              <w:t>e</w:t>
            </w:r>
            <w:r w:rsidRPr="00EF74E8">
              <w:t>),</w:t>
            </w:r>
            <w:r>
              <w:t xml:space="preserve"> and </w:t>
            </w:r>
            <w:r w:rsidRPr="008E60F1">
              <w:t xml:space="preserve">a visit window of ± 5 days </w:t>
            </w:r>
            <w:r>
              <w:t xml:space="preserve">is acceptable </w:t>
            </w:r>
            <w:r w:rsidRPr="00EF74E8">
              <w:t>from V19 to V28</w:t>
            </w:r>
            <w:r w:rsidRPr="008E60F1">
              <w:t>.</w:t>
            </w:r>
            <w:r w:rsidRPr="00AE7BFE">
              <w:t xml:space="preserve"> A visit window of -1</w:t>
            </w:r>
            <w:r w:rsidR="00024014">
              <w:t> </w:t>
            </w:r>
            <w:r w:rsidRPr="00AE7BFE">
              <w:t>day or + 3 days for the post-treatment follow-up visit (</w:t>
            </w:r>
            <w:r w:rsidRPr="00EF74E8">
              <w:t>V29</w:t>
            </w:r>
            <w:r w:rsidRPr="00AE7BFE">
              <w:t xml:space="preserve">) is acceptable using the day of </w:t>
            </w:r>
            <w:r w:rsidRPr="00EF74E8">
              <w:t>V28</w:t>
            </w:r>
            <w:r w:rsidRPr="00AE7BFE">
              <w:t xml:space="preserve"> as reference. If one visit date is changed, the next visit should take place according to the original schedule.</w:t>
            </w:r>
            <w:bookmarkEnd w:id="33"/>
            <w:r w:rsidRPr="00AE7BFE">
              <w:t xml:space="preserve"> </w:t>
            </w:r>
          </w:p>
          <w:p w:rsidR="00235360" w:rsidRPr="00AE7BFE" w:rsidRDefault="00235360" w:rsidP="00CC67B4">
            <w:pPr>
              <w:pStyle w:val="TblFigFootnote"/>
              <w:numPr>
                <w:ilvl w:val="0"/>
                <w:numId w:val="37"/>
              </w:numPr>
            </w:pPr>
            <w:bookmarkStart w:id="34" w:name="_Ref425858051"/>
            <w:r>
              <w:t>V</w:t>
            </w:r>
            <w:r w:rsidRPr="00AE7BFE">
              <w:t>2 can be performed less than 1 week after V1 if the laboratory data are available.</w:t>
            </w:r>
            <w:bookmarkEnd w:id="34"/>
          </w:p>
          <w:p w:rsidR="00235360" w:rsidRDefault="00235360" w:rsidP="00CC67B4">
            <w:pPr>
              <w:pStyle w:val="TblFigFootnote"/>
              <w:numPr>
                <w:ilvl w:val="0"/>
                <w:numId w:val="37"/>
              </w:numPr>
            </w:pPr>
            <w:bookmarkStart w:id="35" w:name="_Ref425858057"/>
            <w:r w:rsidRPr="00D456B5">
              <w:t>Additional phone calls for titration purposes should be scheduled as often as deemed necessary by the Investigator.</w:t>
            </w:r>
            <w:bookmarkEnd w:id="35"/>
            <w:r w:rsidRPr="00D456B5">
              <w:t xml:space="preserve">  </w:t>
            </w:r>
          </w:p>
          <w:p w:rsidR="005C5DB6" w:rsidRPr="00D456B5" w:rsidRDefault="005C5DB6" w:rsidP="00CC67B4">
            <w:pPr>
              <w:pStyle w:val="TblFigFootnote"/>
              <w:numPr>
                <w:ilvl w:val="0"/>
                <w:numId w:val="37"/>
              </w:numPr>
            </w:pPr>
            <w:bookmarkStart w:id="36" w:name="_Ref440274574"/>
            <w:r w:rsidRPr="005C5DB6">
              <w:t>Post-treatment follow-up visit:</w:t>
            </w:r>
            <w:r>
              <w:t xml:space="preserve"> </w:t>
            </w:r>
            <w:r w:rsidRPr="005C5DB6">
              <w:t>This visit can be a phone call visit, or an on-site visit in case of ongoing or new adverse event during the post</w:t>
            </w:r>
            <w:r>
              <w:t>-</w:t>
            </w:r>
            <w:r w:rsidRPr="005C5DB6">
              <w:t>treatment period, if necessary</w:t>
            </w:r>
            <w:r>
              <w:t>.</w:t>
            </w:r>
            <w:bookmarkEnd w:id="36"/>
          </w:p>
          <w:p w:rsidR="00235360" w:rsidRPr="00D456B5" w:rsidRDefault="00235360" w:rsidP="00CC67B4">
            <w:pPr>
              <w:pStyle w:val="TblFigFootnote"/>
              <w:numPr>
                <w:ilvl w:val="0"/>
                <w:numId w:val="37"/>
              </w:numPr>
              <w:jc w:val="both"/>
            </w:pPr>
            <w:bookmarkStart w:id="37" w:name="_Ref425858056"/>
            <w:r w:rsidRPr="00D456B5">
              <w:rPr>
                <w:b/>
              </w:rPr>
              <w:t>In case of premature permanent IMP discontinuation</w:t>
            </w:r>
            <w:r w:rsidRPr="00D456B5">
              <w:t>, patients should have a visit as soon as possible with the assessments normally planned in V28 (the 2-hour standardized meal test is performed only if the patient receives the IMP on the day of the meal test). Afterwards, the patients should continue in the study up to the scheduled date of study completion. They should be followed up according to the study procedures as specified in the protocol (except for the 3</w:t>
            </w:r>
            <w:r>
              <w:t> </w:t>
            </w:r>
            <w:r w:rsidRPr="00D456B5">
              <w:t xml:space="preserve">day safety post-treatment follow-up). </w:t>
            </w:r>
            <w:r w:rsidRPr="00D456B5">
              <w:rPr>
                <w:b/>
              </w:rPr>
              <w:t>In case of rescue therapy,</w:t>
            </w:r>
            <w:r w:rsidRPr="00D456B5">
              <w:t xml:space="preserve"> all assessments planned in V28 should be performed before starting rescue therapy, patients then continue the study treatment (including metformin ± pioglitazone ), and all visits and assessments should be performed as scheduled.</w:t>
            </w:r>
            <w:bookmarkEnd w:id="37"/>
          </w:p>
          <w:p w:rsidR="00235360" w:rsidRPr="00EF74E8" w:rsidRDefault="00235360" w:rsidP="00CC67B4">
            <w:pPr>
              <w:pStyle w:val="TblFigFootnote"/>
              <w:numPr>
                <w:ilvl w:val="0"/>
                <w:numId w:val="37"/>
              </w:numPr>
              <w:jc w:val="both"/>
            </w:pPr>
            <w:bookmarkStart w:id="38" w:name="_Ref425917570"/>
            <w:bookmarkStart w:id="39" w:name="_Ref433803707"/>
            <w:r w:rsidRPr="00EF74E8">
              <w:t>The</w:t>
            </w:r>
            <w:bookmarkEnd w:id="38"/>
            <w:r w:rsidRPr="00EF74E8">
              <w:t xml:space="preserve">se additional titration phone calls are necessary only in the fixed ratio combination </w:t>
            </w:r>
            <w:r w:rsidR="00EA7F75">
              <w:t xml:space="preserve">(FRC) </w:t>
            </w:r>
            <w:r w:rsidRPr="00EF74E8">
              <w:t>arms during the first 8 weeks of treatment, from V3 (</w:t>
            </w:r>
            <w:r w:rsidR="0007161F">
              <w:t xml:space="preserve">Week </w:t>
            </w:r>
            <w:r w:rsidRPr="00EF74E8">
              <w:t>0) to V19 (</w:t>
            </w:r>
            <w:r w:rsidR="0007161F">
              <w:t xml:space="preserve">Week </w:t>
            </w:r>
            <w:r w:rsidRPr="00EF74E8">
              <w:t>8). hereafter, from V19 (</w:t>
            </w:r>
            <w:r w:rsidR="0007161F">
              <w:t xml:space="preserve">Week </w:t>
            </w:r>
            <w:r w:rsidRPr="00EF74E8">
              <w:t>8) until V28 (</w:t>
            </w:r>
            <w:r w:rsidR="0007161F">
              <w:t xml:space="preserve">Week </w:t>
            </w:r>
            <w:r w:rsidRPr="00EF74E8">
              <w:t xml:space="preserve">26), the dose will be adjusted as necessary to maintain this fasting SMPG target, with recommendation to evaluate the dose at least once a week. Please see </w:t>
            </w:r>
            <w:hyperlink w:anchor="_Ref434174781" w:history="1">
              <w:r w:rsidR="00617832" w:rsidRPr="0086515D">
                <w:rPr>
                  <w:rStyle w:val="Hyperlink"/>
                  <w:color w:val="auto"/>
                  <w:u w:val="none"/>
                </w:rPr>
                <w:t>Section</w:t>
              </w:r>
            </w:hyperlink>
            <w:r w:rsidR="00617832">
              <w:t xml:space="preserve"> </w:t>
            </w:r>
            <w:r w:rsidR="00617832" w:rsidRPr="0086515D">
              <w:rPr>
                <w:rStyle w:val="BlueReplace"/>
              </w:rPr>
              <w:fldChar w:fldCharType="begin"/>
            </w:r>
            <w:r w:rsidR="00617832" w:rsidRPr="0086515D">
              <w:rPr>
                <w:rStyle w:val="BlueReplace"/>
              </w:rPr>
              <w:instrText xml:space="preserve"> REF _Ref434174781 \r \h </w:instrText>
            </w:r>
            <w:r w:rsidR="00617832" w:rsidRPr="0086515D">
              <w:rPr>
                <w:rStyle w:val="BlueReplace"/>
              </w:rPr>
            </w:r>
            <w:r w:rsidR="0086515D">
              <w:rPr>
                <w:rStyle w:val="BlueReplace"/>
              </w:rPr>
              <w:instrText xml:space="preserve"> \* MERGEFORMAT </w:instrText>
            </w:r>
            <w:r w:rsidR="00617832" w:rsidRPr="0086515D">
              <w:rPr>
                <w:rStyle w:val="BlueReplace"/>
              </w:rPr>
              <w:fldChar w:fldCharType="separate"/>
            </w:r>
            <w:r w:rsidR="005A26F6">
              <w:rPr>
                <w:rStyle w:val="BlueReplace"/>
              </w:rPr>
              <w:t>8.1.4.1</w:t>
            </w:r>
            <w:r w:rsidR="00617832" w:rsidRPr="0086515D">
              <w:rPr>
                <w:rStyle w:val="BlueReplace"/>
              </w:rPr>
              <w:fldChar w:fldCharType="end"/>
            </w:r>
            <w:r w:rsidR="00F05B4A">
              <w:t xml:space="preserve"> on dose</w:t>
            </w:r>
            <w:r w:rsidR="00D43398">
              <w:t xml:space="preserve"> a</w:t>
            </w:r>
            <w:r w:rsidRPr="00EF74E8">
              <w:t>djustment.</w:t>
            </w:r>
            <w:bookmarkEnd w:id="39"/>
          </w:p>
          <w:p w:rsidR="00235360" w:rsidRDefault="00235360" w:rsidP="00CC67B4">
            <w:pPr>
              <w:pStyle w:val="TblFigFootnote"/>
              <w:numPr>
                <w:ilvl w:val="0"/>
                <w:numId w:val="37"/>
              </w:numPr>
            </w:pPr>
            <w:bookmarkStart w:id="40" w:name="_Ref425858060"/>
            <w:r w:rsidRPr="00D456B5">
              <w:t>The training can be repeated as often as necessary.</w:t>
            </w:r>
            <w:bookmarkEnd w:id="40"/>
            <w:r w:rsidRPr="00D456B5">
              <w:t xml:space="preserve"> </w:t>
            </w:r>
          </w:p>
          <w:p w:rsidR="005C5DB6" w:rsidRDefault="005C5DB6" w:rsidP="00CC67B4">
            <w:pPr>
              <w:pStyle w:val="TblFigFootnote"/>
              <w:numPr>
                <w:ilvl w:val="0"/>
                <w:numId w:val="37"/>
              </w:numPr>
            </w:pPr>
            <w:bookmarkStart w:id="41" w:name="_Ref440274605"/>
            <w:r w:rsidRPr="005C5DB6">
              <w:t>The 7-point SMPG profile should be measured at the following 7 points: pre-prandial and 2 hours postprandial for breakfast, lunch, dinner and at bedtime</w:t>
            </w:r>
            <w:r>
              <w:t>.</w:t>
            </w:r>
            <w:bookmarkEnd w:id="41"/>
          </w:p>
          <w:p w:rsidR="00C21287" w:rsidRPr="001153D4" w:rsidRDefault="00A3364F" w:rsidP="00CC67B4">
            <w:pPr>
              <w:pStyle w:val="TblFigFootnote"/>
              <w:numPr>
                <w:ilvl w:val="0"/>
                <w:numId w:val="37"/>
              </w:numPr>
            </w:pPr>
            <w:bookmarkStart w:id="42" w:name="_Ref434843026"/>
            <w:r w:rsidRPr="001153D4">
              <w:t xml:space="preserve">Any patient treated with a </w:t>
            </w:r>
            <w:r w:rsidRPr="001153D4">
              <w:rPr>
                <w:b/>
              </w:rPr>
              <w:t>once weekly GLP-1 RA</w:t>
            </w:r>
            <w:r w:rsidRPr="001153D4">
              <w:t xml:space="preserve"> upon entering the study who is assigned to rece</w:t>
            </w:r>
            <w:r w:rsidR="00FC008A" w:rsidRPr="001153D4">
              <w:t xml:space="preserve">ive </w:t>
            </w:r>
            <w:r w:rsidR="00EA7F75" w:rsidRPr="001153D4">
              <w:t>FRC</w:t>
            </w:r>
            <w:r w:rsidR="00B37302" w:rsidRPr="001153D4">
              <w:t xml:space="preserve"> </w:t>
            </w:r>
            <w:r w:rsidRPr="001153D4">
              <w:t>treatment should not receive their first dose until at least 1 week after their last dose of GLP-1 RA.</w:t>
            </w:r>
            <w:bookmarkEnd w:id="42"/>
            <w:r w:rsidR="00B8556A">
              <w:t xml:space="preserve"> </w:t>
            </w:r>
            <w:r w:rsidR="00B8556A" w:rsidRPr="00B8556A">
              <w:t>For these patients baseline visit must be scheduled at least 1 week after administering their last dose of GLP1.</w:t>
            </w:r>
          </w:p>
          <w:p w:rsidR="00235360" w:rsidRDefault="00235360" w:rsidP="00CC67B4">
            <w:pPr>
              <w:pStyle w:val="TblFigFootnote"/>
              <w:numPr>
                <w:ilvl w:val="0"/>
                <w:numId w:val="37"/>
              </w:numPr>
            </w:pPr>
            <w:bookmarkStart w:id="43" w:name="_Ref425858102"/>
            <w:r w:rsidRPr="00AE7BFE">
              <w:t xml:space="preserve">At </w:t>
            </w:r>
            <w:r>
              <w:t>V</w:t>
            </w:r>
            <w:r w:rsidRPr="00AE7BFE">
              <w:t xml:space="preserve">2 </w:t>
            </w:r>
            <w:r w:rsidRPr="00EF74E8">
              <w:t>and V28,</w:t>
            </w:r>
            <w:r w:rsidRPr="00AE7BFE">
              <w:t xml:space="preserve"> FPG</w:t>
            </w:r>
            <w:r>
              <w:t xml:space="preserve"> and C-peptide are</w:t>
            </w:r>
            <w:r w:rsidRPr="00AE7BFE">
              <w:t xml:space="preserve"> part of the standardized meal test.</w:t>
            </w:r>
            <w:bookmarkEnd w:id="43"/>
            <w:r w:rsidR="005C5DB6">
              <w:t xml:space="preserve"> </w:t>
            </w:r>
            <w:r w:rsidR="005C5DB6" w:rsidRPr="005C5DB6">
              <w:t>The standardized meal contains approximately 600 kcal and is composed of 50 to 55% carbohydrate, 15 to 20% protein and 25 to 30% fat. The standardized meal for all patients should be consumed within a 15-minute period</w:t>
            </w:r>
            <w:r w:rsidR="005C5DB6">
              <w:t>.</w:t>
            </w:r>
          </w:p>
          <w:p w:rsidR="00255349" w:rsidRPr="00AE7BFE" w:rsidRDefault="00255349" w:rsidP="00CC67B4">
            <w:pPr>
              <w:pStyle w:val="TblFigFootnote"/>
              <w:numPr>
                <w:ilvl w:val="0"/>
                <w:numId w:val="37"/>
              </w:numPr>
            </w:pPr>
            <w:bookmarkStart w:id="44" w:name="_Ref440350779"/>
            <w:r>
              <w:t>LDL = low density lipoprotein, HDL = high density lipoprotein</w:t>
            </w:r>
            <w:bookmarkEnd w:id="44"/>
            <w:r w:rsidR="0086515D">
              <w:t>.</w:t>
            </w:r>
          </w:p>
          <w:p w:rsidR="00235360" w:rsidRDefault="00235360" w:rsidP="00CC67B4">
            <w:pPr>
              <w:pStyle w:val="TblFigFootnote"/>
              <w:numPr>
                <w:ilvl w:val="0"/>
                <w:numId w:val="37"/>
              </w:numPr>
            </w:pPr>
            <w:bookmarkStart w:id="45" w:name="_Ref425858176"/>
            <w:r w:rsidRPr="004A4C44">
              <w:t>Screening urinalysis: (pH, glucose, ketones</w:t>
            </w:r>
            <w:r w:rsidRPr="00836C47">
              <w:t>, leucocytes, blood</w:t>
            </w:r>
            <w:r w:rsidR="00A96550">
              <w:t>/hemoglobin</w:t>
            </w:r>
            <w:r w:rsidRPr="00836C47">
              <w:t>, protein).</w:t>
            </w:r>
            <w:bookmarkEnd w:id="45"/>
          </w:p>
          <w:p w:rsidR="00255349" w:rsidRPr="00836C47" w:rsidRDefault="00255349" w:rsidP="00CC67B4">
            <w:pPr>
              <w:pStyle w:val="TblFigFootnote"/>
              <w:numPr>
                <w:ilvl w:val="0"/>
                <w:numId w:val="37"/>
              </w:numPr>
            </w:pPr>
            <w:bookmarkStart w:id="46" w:name="_Ref440350819"/>
            <w:r>
              <w:t>FSH = follicle stimulating hormone</w:t>
            </w:r>
            <w:bookmarkEnd w:id="46"/>
            <w:r w:rsidR="0086515D">
              <w:t>.</w:t>
            </w:r>
          </w:p>
          <w:p w:rsidR="00235360" w:rsidRPr="00210446" w:rsidRDefault="00235360" w:rsidP="00CC67B4">
            <w:pPr>
              <w:pStyle w:val="TblFigFootnote"/>
              <w:numPr>
                <w:ilvl w:val="0"/>
                <w:numId w:val="37"/>
              </w:numPr>
            </w:pPr>
            <w:bookmarkStart w:id="47" w:name="_Ref425858190"/>
            <w:r w:rsidRPr="00836C47">
              <w:t xml:space="preserve">Safety Laboratory: hematology = </w:t>
            </w:r>
            <w:r>
              <w:t>White blood cell count (</w:t>
            </w:r>
            <w:r w:rsidRPr="00836C47">
              <w:t>WBC</w:t>
            </w:r>
            <w:r>
              <w:t>)</w:t>
            </w:r>
            <w:r w:rsidRPr="00836C47">
              <w:t xml:space="preserve">, </w:t>
            </w:r>
            <w:r>
              <w:t>Red blood cell count (</w:t>
            </w:r>
            <w:r w:rsidRPr="00836C47">
              <w:t>RBC</w:t>
            </w:r>
            <w:r>
              <w:t>)</w:t>
            </w:r>
            <w:r w:rsidRPr="00836C47">
              <w:t>, Hemoglobin, Hematocrit, platelets, differential blood count (Neutrophils, lymphocytes, monocytes, eosinophils, basophils). Serum chemistry = total bilirubin, AST</w:t>
            </w:r>
            <w:r>
              <w:fldChar w:fldCharType="begin"/>
            </w:r>
            <w:r>
              <w:instrText xml:space="preserve"> XE "</w:instrText>
            </w:r>
            <w:r w:rsidRPr="00836C47">
              <w:instrText xml:space="preserve"> AST</w:instrText>
            </w:r>
            <w:r>
              <w:instrText xml:space="preserve"> " \f Abbreviation \t "</w:instrText>
            </w:r>
            <w:r w:rsidR="009A6873">
              <w:instrText>a</w:instrText>
            </w:r>
            <w:r>
              <w:instrText xml:space="preserve">spartate aminotransferase" </w:instrText>
            </w:r>
            <w:r>
              <w:fldChar w:fldCharType="end"/>
            </w:r>
            <w:r w:rsidRPr="00836C47">
              <w:t>, ALT</w:t>
            </w:r>
            <w:r>
              <w:fldChar w:fldCharType="begin"/>
            </w:r>
            <w:r>
              <w:instrText xml:space="preserve"> XE "</w:instrText>
            </w:r>
            <w:r w:rsidRPr="00836C47">
              <w:instrText xml:space="preserve"> ALT</w:instrText>
            </w:r>
            <w:r w:rsidR="009A6873">
              <w:instrText xml:space="preserve"> " \f Abbreviation \t "a</w:instrText>
            </w:r>
            <w:r>
              <w:instrText xml:space="preserve">lanine aminotransferase" </w:instrText>
            </w:r>
            <w:r>
              <w:fldChar w:fldCharType="end"/>
            </w:r>
            <w:r w:rsidRPr="00836C47">
              <w:t xml:space="preserve">, </w:t>
            </w:r>
            <w:r w:rsidR="00A96550">
              <w:t>alkaline phosphatase (</w:t>
            </w:r>
            <w:r w:rsidRPr="00836C47">
              <w:t>ALP</w:t>
            </w:r>
            <w:r w:rsidR="00A96550">
              <w:t>)</w:t>
            </w:r>
            <w:r>
              <w:fldChar w:fldCharType="begin"/>
            </w:r>
            <w:r>
              <w:instrText xml:space="preserve"> XE "</w:instrText>
            </w:r>
            <w:r w:rsidRPr="00836C47">
              <w:instrText xml:space="preserve"> ALP</w:instrText>
            </w:r>
            <w:r>
              <w:instrText xml:space="preserve"> " \f Abbreviation \t "</w:instrText>
            </w:r>
            <w:r w:rsidR="009A6873">
              <w:instrText>a</w:instrText>
            </w:r>
            <w:r>
              <w:instrText xml:space="preserve">lkaline phosphatase" </w:instrText>
            </w:r>
            <w:r>
              <w:fldChar w:fldCharType="end"/>
            </w:r>
            <w:r w:rsidRPr="00836C47">
              <w:t>, creatinine, uric acid, sodium, potassium, phosphorus, calcium.</w:t>
            </w:r>
            <w:bookmarkEnd w:id="47"/>
          </w:p>
        </w:tc>
      </w:tr>
    </w:tbl>
    <w:p w:rsidR="002F41EE" w:rsidRDefault="002F41EE">
      <w:pPr>
        <w:pStyle w:val="TblFigFootnote"/>
        <w:sectPr w:rsidR="002F41EE" w:rsidSect="00E37F9A">
          <w:headerReference w:type="default" r:id="rId19"/>
          <w:footerReference w:type="default" r:id="rId20"/>
          <w:pgSz w:w="16839" w:h="11907" w:orient="landscape" w:code="9"/>
          <w:pgMar w:top="1871" w:right="1134" w:bottom="964" w:left="1587" w:header="1304" w:footer="567" w:gutter="0"/>
          <w:cols w:space="720"/>
          <w:noEndnote/>
          <w:docGrid w:linePitch="326"/>
        </w:sectPr>
      </w:pPr>
    </w:p>
    <w:p w:rsidR="002F41EE" w:rsidRDefault="002F41EE">
      <w:pPr>
        <w:pStyle w:val="Heading1"/>
      </w:pPr>
      <w:bookmarkStart w:id="48" w:name="_Table_of_contents"/>
      <w:bookmarkStart w:id="49" w:name="_Toc382298055"/>
      <w:bookmarkStart w:id="50" w:name="_Toc443035817"/>
      <w:bookmarkEnd w:id="48"/>
      <w:r>
        <w:lastRenderedPageBreak/>
        <w:t>Table of contents</w:t>
      </w:r>
      <w:bookmarkEnd w:id="49"/>
      <w:bookmarkEnd w:id="50"/>
    </w:p>
    <w:p w:rsidR="002F41EE" w:rsidRDefault="002F41EE"/>
    <w:p w:rsidR="005A26F6" w:rsidRPr="00D07295" w:rsidRDefault="001D0430">
      <w:pPr>
        <w:pStyle w:val="TOC1"/>
        <w:rPr>
          <w:rFonts w:ascii="Calibri" w:hAnsi="Calibri"/>
          <w:b w:val="0"/>
          <w:caps w:val="0"/>
          <w:noProof/>
          <w:sz w:val="22"/>
          <w:szCs w:val="22"/>
          <w:lang w:val="fr-FR" w:eastAsia="fr-FR"/>
        </w:rPr>
      </w:pPr>
      <w:r>
        <w:fldChar w:fldCharType="begin"/>
      </w:r>
      <w:r>
        <w:instrText xml:space="preserve"> TOC \o "1-4" </w:instrText>
      </w:r>
      <w:r>
        <w:fldChar w:fldCharType="separate"/>
      </w:r>
      <w:r w:rsidR="005A26F6">
        <w:rPr>
          <w:noProof/>
        </w:rPr>
        <w:t>Clinical Trial Protocol</w:t>
      </w:r>
      <w:r w:rsidR="005A26F6">
        <w:rPr>
          <w:noProof/>
        </w:rPr>
        <w:tab/>
      </w:r>
      <w:r w:rsidR="005A26F6">
        <w:rPr>
          <w:noProof/>
        </w:rPr>
        <w:fldChar w:fldCharType="begin"/>
      </w:r>
      <w:r w:rsidR="005A26F6">
        <w:rPr>
          <w:noProof/>
        </w:rPr>
        <w:instrText xml:space="preserve"> PAGEREF _Toc443035813 \h </w:instrText>
      </w:r>
      <w:r w:rsidR="005A26F6">
        <w:rPr>
          <w:noProof/>
        </w:rPr>
      </w:r>
      <w:r w:rsidR="005A26F6">
        <w:rPr>
          <w:noProof/>
        </w:rPr>
        <w:fldChar w:fldCharType="separate"/>
      </w:r>
      <w:r w:rsidR="005A26F6">
        <w:rPr>
          <w:noProof/>
        </w:rPr>
        <w:t>1</w:t>
      </w:r>
      <w:r w:rsidR="005A26F6">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1</w:t>
      </w:r>
      <w:r w:rsidRPr="00D07295">
        <w:rPr>
          <w:rFonts w:ascii="Calibri" w:hAnsi="Calibri"/>
          <w:b w:val="0"/>
          <w:caps w:val="0"/>
          <w:noProof/>
          <w:sz w:val="22"/>
          <w:szCs w:val="22"/>
          <w:lang w:val="fr-FR" w:eastAsia="fr-FR"/>
        </w:rPr>
        <w:tab/>
      </w:r>
      <w:r>
        <w:rPr>
          <w:noProof/>
        </w:rPr>
        <w:t>Flow charts</w:t>
      </w:r>
      <w:r>
        <w:rPr>
          <w:noProof/>
        </w:rPr>
        <w:tab/>
      </w:r>
      <w:r>
        <w:rPr>
          <w:noProof/>
        </w:rPr>
        <w:fldChar w:fldCharType="begin"/>
      </w:r>
      <w:r>
        <w:rPr>
          <w:noProof/>
        </w:rPr>
        <w:instrText xml:space="preserve"> PAGEREF _Toc443035814 \h </w:instrText>
      </w:r>
      <w:r>
        <w:rPr>
          <w:noProof/>
        </w:rPr>
      </w:r>
      <w:r>
        <w:rPr>
          <w:noProof/>
        </w:rPr>
        <w:fldChar w:fldCharType="separate"/>
      </w:r>
      <w:r>
        <w:rPr>
          <w:noProof/>
        </w:rPr>
        <w:t>13</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1.1</w:t>
      </w:r>
      <w:r w:rsidRPr="00D07295">
        <w:rPr>
          <w:rFonts w:ascii="Calibri" w:hAnsi="Calibri"/>
          <w:caps w:val="0"/>
          <w:noProof/>
          <w:sz w:val="22"/>
          <w:szCs w:val="22"/>
          <w:lang w:val="fr-FR" w:eastAsia="fr-FR"/>
        </w:rPr>
        <w:tab/>
      </w:r>
      <w:r>
        <w:rPr>
          <w:noProof/>
        </w:rPr>
        <w:t>Graphical study design</w:t>
      </w:r>
      <w:r>
        <w:rPr>
          <w:noProof/>
        </w:rPr>
        <w:tab/>
      </w:r>
      <w:r>
        <w:rPr>
          <w:noProof/>
        </w:rPr>
        <w:fldChar w:fldCharType="begin"/>
      </w:r>
      <w:r>
        <w:rPr>
          <w:noProof/>
        </w:rPr>
        <w:instrText xml:space="preserve"> PAGEREF _Toc443035815 \h </w:instrText>
      </w:r>
      <w:r>
        <w:rPr>
          <w:noProof/>
        </w:rPr>
      </w:r>
      <w:r>
        <w:rPr>
          <w:noProof/>
        </w:rPr>
        <w:fldChar w:fldCharType="separate"/>
      </w:r>
      <w:r>
        <w:rPr>
          <w:noProof/>
        </w:rPr>
        <w:t>13</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1.2</w:t>
      </w:r>
      <w:r w:rsidRPr="00D07295">
        <w:rPr>
          <w:rFonts w:ascii="Calibri" w:hAnsi="Calibri"/>
          <w:caps w:val="0"/>
          <w:noProof/>
          <w:sz w:val="22"/>
          <w:szCs w:val="22"/>
          <w:lang w:val="fr-FR" w:eastAsia="fr-FR"/>
        </w:rPr>
        <w:tab/>
      </w:r>
      <w:r>
        <w:rPr>
          <w:noProof/>
        </w:rPr>
        <w:t>Study flow chart</w:t>
      </w:r>
      <w:r>
        <w:rPr>
          <w:noProof/>
        </w:rPr>
        <w:tab/>
      </w:r>
      <w:r>
        <w:rPr>
          <w:noProof/>
        </w:rPr>
        <w:fldChar w:fldCharType="begin"/>
      </w:r>
      <w:r>
        <w:rPr>
          <w:noProof/>
        </w:rPr>
        <w:instrText xml:space="preserve"> PAGEREF _Toc443035816 \h </w:instrText>
      </w:r>
      <w:r>
        <w:rPr>
          <w:noProof/>
        </w:rPr>
      </w:r>
      <w:r>
        <w:rPr>
          <w:noProof/>
        </w:rPr>
        <w:fldChar w:fldCharType="separate"/>
      </w:r>
      <w:r>
        <w:rPr>
          <w:noProof/>
        </w:rPr>
        <w:t>14</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2</w:t>
      </w:r>
      <w:r w:rsidRPr="00D07295">
        <w:rPr>
          <w:rFonts w:ascii="Calibri" w:hAnsi="Calibri"/>
          <w:b w:val="0"/>
          <w:caps w:val="0"/>
          <w:noProof/>
          <w:sz w:val="22"/>
          <w:szCs w:val="22"/>
          <w:lang w:val="fr-FR" w:eastAsia="fr-FR"/>
        </w:rPr>
        <w:tab/>
      </w:r>
      <w:r>
        <w:rPr>
          <w:noProof/>
        </w:rPr>
        <w:t>Table of contents</w:t>
      </w:r>
      <w:r>
        <w:rPr>
          <w:noProof/>
        </w:rPr>
        <w:tab/>
      </w:r>
      <w:r>
        <w:rPr>
          <w:noProof/>
        </w:rPr>
        <w:fldChar w:fldCharType="begin"/>
      </w:r>
      <w:r>
        <w:rPr>
          <w:noProof/>
        </w:rPr>
        <w:instrText xml:space="preserve"> PAGEREF _Toc443035817 \h </w:instrText>
      </w:r>
      <w:r>
        <w:rPr>
          <w:noProof/>
        </w:rPr>
      </w:r>
      <w:r>
        <w:rPr>
          <w:noProof/>
        </w:rPr>
        <w:fldChar w:fldCharType="separate"/>
      </w:r>
      <w:r>
        <w:rPr>
          <w:noProof/>
        </w:rPr>
        <w:t>19</w:t>
      </w:r>
      <w:r>
        <w:rPr>
          <w:noProof/>
        </w:rPr>
        <w:fldChar w:fldCharType="end"/>
      </w:r>
    </w:p>
    <w:p w:rsidR="005A26F6" w:rsidRPr="00D07295" w:rsidRDefault="005A26F6">
      <w:pPr>
        <w:pStyle w:val="TOC1"/>
        <w:rPr>
          <w:rFonts w:ascii="Calibri" w:hAnsi="Calibri"/>
          <w:b w:val="0"/>
          <w:caps w:val="0"/>
          <w:noProof/>
          <w:sz w:val="22"/>
          <w:szCs w:val="22"/>
          <w:lang w:val="fr-FR" w:eastAsia="fr-FR"/>
        </w:rPr>
      </w:pPr>
      <w:r w:rsidRPr="002564A9">
        <w:rPr>
          <w:noProof/>
          <w:lang w:val="fr-FR"/>
        </w:rPr>
        <w:t>List of tables</w:t>
      </w:r>
      <w:r>
        <w:rPr>
          <w:noProof/>
        </w:rPr>
        <w:tab/>
      </w:r>
      <w:r>
        <w:rPr>
          <w:noProof/>
        </w:rPr>
        <w:fldChar w:fldCharType="begin"/>
      </w:r>
      <w:r>
        <w:rPr>
          <w:noProof/>
        </w:rPr>
        <w:instrText xml:space="preserve"> PAGEREF _Toc443035818 \h </w:instrText>
      </w:r>
      <w:r>
        <w:rPr>
          <w:noProof/>
        </w:rPr>
      </w:r>
      <w:r>
        <w:rPr>
          <w:noProof/>
        </w:rPr>
        <w:fldChar w:fldCharType="separate"/>
      </w:r>
      <w:r>
        <w:rPr>
          <w:noProof/>
        </w:rPr>
        <w:t>25</w:t>
      </w:r>
      <w:r>
        <w:rPr>
          <w:noProof/>
        </w:rPr>
        <w:fldChar w:fldCharType="end"/>
      </w:r>
    </w:p>
    <w:p w:rsidR="005A26F6" w:rsidRPr="00D07295" w:rsidRDefault="005A26F6">
      <w:pPr>
        <w:pStyle w:val="TOC1"/>
        <w:rPr>
          <w:rFonts w:ascii="Calibri" w:hAnsi="Calibri"/>
          <w:b w:val="0"/>
          <w:caps w:val="0"/>
          <w:noProof/>
          <w:sz w:val="22"/>
          <w:szCs w:val="22"/>
          <w:lang w:val="fr-FR" w:eastAsia="fr-FR"/>
        </w:rPr>
      </w:pPr>
      <w:r w:rsidRPr="002564A9">
        <w:rPr>
          <w:noProof/>
          <w:lang w:val="fr-FR"/>
        </w:rPr>
        <w:t>List of figures</w:t>
      </w:r>
      <w:r>
        <w:rPr>
          <w:noProof/>
        </w:rPr>
        <w:tab/>
      </w:r>
      <w:r>
        <w:rPr>
          <w:noProof/>
        </w:rPr>
        <w:fldChar w:fldCharType="begin"/>
      </w:r>
      <w:r>
        <w:rPr>
          <w:noProof/>
        </w:rPr>
        <w:instrText xml:space="preserve"> PAGEREF _Toc443035819 \h </w:instrText>
      </w:r>
      <w:r>
        <w:rPr>
          <w:noProof/>
        </w:rPr>
      </w:r>
      <w:r>
        <w:rPr>
          <w:noProof/>
        </w:rPr>
        <w:fldChar w:fldCharType="separate"/>
      </w:r>
      <w:r>
        <w:rPr>
          <w:noProof/>
        </w:rPr>
        <w:t>26</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3</w:t>
      </w:r>
      <w:r w:rsidRPr="00D07295">
        <w:rPr>
          <w:rFonts w:ascii="Calibri" w:hAnsi="Calibri"/>
          <w:b w:val="0"/>
          <w:caps w:val="0"/>
          <w:noProof/>
          <w:sz w:val="22"/>
          <w:szCs w:val="22"/>
          <w:lang w:val="fr-FR" w:eastAsia="fr-FR"/>
        </w:rPr>
        <w:tab/>
      </w:r>
      <w:r>
        <w:rPr>
          <w:noProof/>
        </w:rPr>
        <w:t>List of abbreviations</w:t>
      </w:r>
      <w:r>
        <w:rPr>
          <w:noProof/>
        </w:rPr>
        <w:tab/>
      </w:r>
      <w:r>
        <w:rPr>
          <w:noProof/>
        </w:rPr>
        <w:fldChar w:fldCharType="begin"/>
      </w:r>
      <w:r>
        <w:rPr>
          <w:noProof/>
        </w:rPr>
        <w:instrText xml:space="preserve"> PAGEREF _Toc443035820 \h </w:instrText>
      </w:r>
      <w:r>
        <w:rPr>
          <w:noProof/>
        </w:rPr>
      </w:r>
      <w:r>
        <w:rPr>
          <w:noProof/>
        </w:rPr>
        <w:fldChar w:fldCharType="separate"/>
      </w:r>
      <w:r>
        <w:rPr>
          <w:noProof/>
        </w:rPr>
        <w:t>27</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4</w:t>
      </w:r>
      <w:r w:rsidRPr="00D07295">
        <w:rPr>
          <w:rFonts w:ascii="Calibri" w:hAnsi="Calibri"/>
          <w:b w:val="0"/>
          <w:caps w:val="0"/>
          <w:noProof/>
          <w:sz w:val="22"/>
          <w:szCs w:val="22"/>
          <w:lang w:val="fr-FR" w:eastAsia="fr-FR"/>
        </w:rPr>
        <w:tab/>
      </w:r>
      <w:r>
        <w:rPr>
          <w:noProof/>
        </w:rPr>
        <w:t>Introduction and rationale</w:t>
      </w:r>
      <w:r>
        <w:rPr>
          <w:noProof/>
        </w:rPr>
        <w:tab/>
      </w:r>
      <w:r>
        <w:rPr>
          <w:noProof/>
        </w:rPr>
        <w:fldChar w:fldCharType="begin"/>
      </w:r>
      <w:r>
        <w:rPr>
          <w:noProof/>
        </w:rPr>
        <w:instrText xml:space="preserve"> PAGEREF _Toc443035821 \h </w:instrText>
      </w:r>
      <w:r>
        <w:rPr>
          <w:noProof/>
        </w:rPr>
      </w:r>
      <w:r>
        <w:rPr>
          <w:noProof/>
        </w:rPr>
        <w:fldChar w:fldCharType="separate"/>
      </w:r>
      <w:r>
        <w:rPr>
          <w:noProof/>
        </w:rPr>
        <w:t>29</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5</w:t>
      </w:r>
      <w:r w:rsidRPr="00D07295">
        <w:rPr>
          <w:rFonts w:ascii="Calibri" w:hAnsi="Calibri"/>
          <w:b w:val="0"/>
          <w:caps w:val="0"/>
          <w:noProof/>
          <w:sz w:val="22"/>
          <w:szCs w:val="22"/>
          <w:lang w:val="fr-FR" w:eastAsia="fr-FR"/>
        </w:rPr>
        <w:tab/>
      </w:r>
      <w:r>
        <w:rPr>
          <w:noProof/>
        </w:rPr>
        <w:t>Study objectives</w:t>
      </w:r>
      <w:r>
        <w:rPr>
          <w:noProof/>
        </w:rPr>
        <w:tab/>
      </w:r>
      <w:r>
        <w:rPr>
          <w:noProof/>
        </w:rPr>
        <w:fldChar w:fldCharType="begin"/>
      </w:r>
      <w:r>
        <w:rPr>
          <w:noProof/>
        </w:rPr>
        <w:instrText xml:space="preserve"> PAGEREF _Toc443035822 \h </w:instrText>
      </w:r>
      <w:r>
        <w:rPr>
          <w:noProof/>
        </w:rPr>
      </w:r>
      <w:r>
        <w:rPr>
          <w:noProof/>
        </w:rPr>
        <w:fldChar w:fldCharType="separate"/>
      </w:r>
      <w:r>
        <w:rPr>
          <w:noProof/>
        </w:rPr>
        <w:t>35</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5.1</w:t>
      </w:r>
      <w:r w:rsidRPr="00D07295">
        <w:rPr>
          <w:rFonts w:ascii="Calibri" w:hAnsi="Calibri"/>
          <w:caps w:val="0"/>
          <w:noProof/>
          <w:sz w:val="22"/>
          <w:szCs w:val="22"/>
          <w:lang w:val="fr-FR" w:eastAsia="fr-FR"/>
        </w:rPr>
        <w:tab/>
      </w:r>
      <w:r>
        <w:rPr>
          <w:noProof/>
        </w:rPr>
        <w:t>Primary</w:t>
      </w:r>
      <w:r>
        <w:rPr>
          <w:noProof/>
        </w:rPr>
        <w:tab/>
      </w:r>
      <w:r>
        <w:rPr>
          <w:noProof/>
        </w:rPr>
        <w:fldChar w:fldCharType="begin"/>
      </w:r>
      <w:r>
        <w:rPr>
          <w:noProof/>
        </w:rPr>
        <w:instrText xml:space="preserve"> PAGEREF _Toc443035823 \h </w:instrText>
      </w:r>
      <w:r>
        <w:rPr>
          <w:noProof/>
        </w:rPr>
      </w:r>
      <w:r>
        <w:rPr>
          <w:noProof/>
        </w:rPr>
        <w:fldChar w:fldCharType="separate"/>
      </w:r>
      <w:r>
        <w:rPr>
          <w:noProof/>
        </w:rPr>
        <w:t>35</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5.2</w:t>
      </w:r>
      <w:r w:rsidRPr="00D07295">
        <w:rPr>
          <w:rFonts w:ascii="Calibri" w:hAnsi="Calibri"/>
          <w:caps w:val="0"/>
          <w:noProof/>
          <w:sz w:val="22"/>
          <w:szCs w:val="22"/>
          <w:lang w:val="fr-FR" w:eastAsia="fr-FR"/>
        </w:rPr>
        <w:tab/>
      </w:r>
      <w:r>
        <w:rPr>
          <w:noProof/>
        </w:rPr>
        <w:t>Secondary</w:t>
      </w:r>
      <w:r>
        <w:rPr>
          <w:noProof/>
        </w:rPr>
        <w:tab/>
      </w:r>
      <w:r>
        <w:rPr>
          <w:noProof/>
        </w:rPr>
        <w:fldChar w:fldCharType="begin"/>
      </w:r>
      <w:r>
        <w:rPr>
          <w:noProof/>
        </w:rPr>
        <w:instrText xml:space="preserve"> PAGEREF _Toc443035824 \h </w:instrText>
      </w:r>
      <w:r>
        <w:rPr>
          <w:noProof/>
        </w:rPr>
      </w:r>
      <w:r>
        <w:rPr>
          <w:noProof/>
        </w:rPr>
        <w:fldChar w:fldCharType="separate"/>
      </w:r>
      <w:r>
        <w:rPr>
          <w:noProof/>
        </w:rPr>
        <w:t>35</w:t>
      </w:r>
      <w:r>
        <w:rPr>
          <w:noProof/>
        </w:rPr>
        <w:fldChar w:fldCharType="end"/>
      </w:r>
    </w:p>
    <w:p w:rsidR="005A26F6" w:rsidRPr="00D07295" w:rsidRDefault="005A26F6">
      <w:pPr>
        <w:pStyle w:val="TOC3"/>
        <w:rPr>
          <w:rFonts w:ascii="Calibri" w:hAnsi="Calibri"/>
          <w:noProof/>
          <w:sz w:val="22"/>
          <w:szCs w:val="22"/>
          <w:lang w:val="fr-FR" w:eastAsia="fr-FR"/>
        </w:rPr>
      </w:pPr>
      <w:r>
        <w:rPr>
          <w:noProof/>
        </w:rPr>
        <w:t>5.2.1</w:t>
      </w:r>
      <w:r w:rsidRPr="00D07295">
        <w:rPr>
          <w:rFonts w:ascii="Calibri" w:hAnsi="Calibri"/>
          <w:noProof/>
          <w:sz w:val="22"/>
          <w:szCs w:val="22"/>
          <w:lang w:val="fr-FR" w:eastAsia="fr-FR"/>
        </w:rPr>
        <w:tab/>
      </w:r>
      <w:r>
        <w:rPr>
          <w:noProof/>
        </w:rPr>
        <w:t>Other Objectives</w:t>
      </w:r>
      <w:r>
        <w:rPr>
          <w:noProof/>
        </w:rPr>
        <w:tab/>
      </w:r>
      <w:r>
        <w:rPr>
          <w:noProof/>
        </w:rPr>
        <w:fldChar w:fldCharType="begin"/>
      </w:r>
      <w:r>
        <w:rPr>
          <w:noProof/>
        </w:rPr>
        <w:instrText xml:space="preserve"> PAGEREF _Toc443035825 \h </w:instrText>
      </w:r>
      <w:r>
        <w:rPr>
          <w:noProof/>
        </w:rPr>
      </w:r>
      <w:r>
        <w:rPr>
          <w:noProof/>
        </w:rPr>
        <w:fldChar w:fldCharType="separate"/>
      </w:r>
      <w:r>
        <w:rPr>
          <w:noProof/>
        </w:rPr>
        <w:t>35</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6</w:t>
      </w:r>
      <w:r w:rsidRPr="00D07295">
        <w:rPr>
          <w:rFonts w:ascii="Calibri" w:hAnsi="Calibri"/>
          <w:b w:val="0"/>
          <w:caps w:val="0"/>
          <w:noProof/>
          <w:sz w:val="22"/>
          <w:szCs w:val="22"/>
          <w:lang w:val="fr-FR" w:eastAsia="fr-FR"/>
        </w:rPr>
        <w:tab/>
      </w:r>
      <w:r>
        <w:rPr>
          <w:noProof/>
        </w:rPr>
        <w:t>Study design</w:t>
      </w:r>
      <w:r>
        <w:rPr>
          <w:noProof/>
        </w:rPr>
        <w:tab/>
      </w:r>
      <w:r>
        <w:rPr>
          <w:noProof/>
        </w:rPr>
        <w:fldChar w:fldCharType="begin"/>
      </w:r>
      <w:r>
        <w:rPr>
          <w:noProof/>
        </w:rPr>
        <w:instrText xml:space="preserve"> PAGEREF _Toc443035826 \h </w:instrText>
      </w:r>
      <w:r>
        <w:rPr>
          <w:noProof/>
        </w:rPr>
      </w:r>
      <w:r>
        <w:rPr>
          <w:noProof/>
        </w:rPr>
        <w:fldChar w:fldCharType="separate"/>
      </w:r>
      <w:r>
        <w:rPr>
          <w:noProof/>
        </w:rPr>
        <w:t>36</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6.1</w:t>
      </w:r>
      <w:r w:rsidRPr="00D07295">
        <w:rPr>
          <w:rFonts w:ascii="Calibri" w:hAnsi="Calibri"/>
          <w:caps w:val="0"/>
          <w:noProof/>
          <w:sz w:val="22"/>
          <w:szCs w:val="22"/>
          <w:lang w:val="fr-FR" w:eastAsia="fr-FR"/>
        </w:rPr>
        <w:tab/>
      </w:r>
      <w:r>
        <w:rPr>
          <w:noProof/>
        </w:rPr>
        <w:t>Description of the protocol</w:t>
      </w:r>
      <w:r>
        <w:rPr>
          <w:noProof/>
        </w:rPr>
        <w:tab/>
      </w:r>
      <w:r>
        <w:rPr>
          <w:noProof/>
        </w:rPr>
        <w:fldChar w:fldCharType="begin"/>
      </w:r>
      <w:r>
        <w:rPr>
          <w:noProof/>
        </w:rPr>
        <w:instrText xml:space="preserve"> PAGEREF _Toc443035827 \h </w:instrText>
      </w:r>
      <w:r>
        <w:rPr>
          <w:noProof/>
        </w:rPr>
      </w:r>
      <w:r>
        <w:rPr>
          <w:noProof/>
        </w:rPr>
        <w:fldChar w:fldCharType="separate"/>
      </w:r>
      <w:r>
        <w:rPr>
          <w:noProof/>
        </w:rPr>
        <w:t>36</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6.2</w:t>
      </w:r>
      <w:r w:rsidRPr="00D07295">
        <w:rPr>
          <w:rFonts w:ascii="Calibri" w:hAnsi="Calibri"/>
          <w:caps w:val="0"/>
          <w:noProof/>
          <w:sz w:val="22"/>
          <w:szCs w:val="22"/>
          <w:lang w:val="fr-FR" w:eastAsia="fr-FR"/>
        </w:rPr>
        <w:tab/>
      </w:r>
      <w:r>
        <w:rPr>
          <w:noProof/>
        </w:rPr>
        <w:t>Duration of study participation</w:t>
      </w:r>
      <w:r>
        <w:rPr>
          <w:noProof/>
        </w:rPr>
        <w:tab/>
      </w:r>
      <w:r>
        <w:rPr>
          <w:noProof/>
        </w:rPr>
        <w:fldChar w:fldCharType="begin"/>
      </w:r>
      <w:r>
        <w:rPr>
          <w:noProof/>
        </w:rPr>
        <w:instrText xml:space="preserve"> PAGEREF _Toc443035828 \h </w:instrText>
      </w:r>
      <w:r>
        <w:rPr>
          <w:noProof/>
        </w:rPr>
      </w:r>
      <w:r>
        <w:rPr>
          <w:noProof/>
        </w:rPr>
        <w:fldChar w:fldCharType="separate"/>
      </w:r>
      <w:r>
        <w:rPr>
          <w:noProof/>
        </w:rPr>
        <w:t>36</w:t>
      </w:r>
      <w:r>
        <w:rPr>
          <w:noProof/>
        </w:rPr>
        <w:fldChar w:fldCharType="end"/>
      </w:r>
    </w:p>
    <w:p w:rsidR="005A26F6" w:rsidRPr="00D07295" w:rsidRDefault="005A26F6">
      <w:pPr>
        <w:pStyle w:val="TOC3"/>
        <w:rPr>
          <w:rFonts w:ascii="Calibri" w:hAnsi="Calibri"/>
          <w:noProof/>
          <w:sz w:val="22"/>
          <w:szCs w:val="22"/>
          <w:lang w:val="fr-FR" w:eastAsia="fr-FR"/>
        </w:rPr>
      </w:pPr>
      <w:r>
        <w:rPr>
          <w:noProof/>
        </w:rPr>
        <w:t>6.2.1</w:t>
      </w:r>
      <w:r w:rsidRPr="00D07295">
        <w:rPr>
          <w:rFonts w:ascii="Calibri" w:hAnsi="Calibri"/>
          <w:noProof/>
          <w:sz w:val="22"/>
          <w:szCs w:val="22"/>
          <w:lang w:val="fr-FR" w:eastAsia="fr-FR"/>
        </w:rPr>
        <w:tab/>
      </w:r>
      <w:r>
        <w:rPr>
          <w:noProof/>
        </w:rPr>
        <w:t>Duration of study participation for each patient</w:t>
      </w:r>
      <w:r>
        <w:rPr>
          <w:noProof/>
        </w:rPr>
        <w:tab/>
      </w:r>
      <w:r>
        <w:rPr>
          <w:noProof/>
        </w:rPr>
        <w:fldChar w:fldCharType="begin"/>
      </w:r>
      <w:r>
        <w:rPr>
          <w:noProof/>
        </w:rPr>
        <w:instrText xml:space="preserve"> PAGEREF _Toc443035829 \h </w:instrText>
      </w:r>
      <w:r>
        <w:rPr>
          <w:noProof/>
        </w:rPr>
      </w:r>
      <w:r>
        <w:rPr>
          <w:noProof/>
        </w:rPr>
        <w:fldChar w:fldCharType="separate"/>
      </w:r>
      <w:r>
        <w:rPr>
          <w:noProof/>
        </w:rPr>
        <w:t>36</w:t>
      </w:r>
      <w:r>
        <w:rPr>
          <w:noProof/>
        </w:rPr>
        <w:fldChar w:fldCharType="end"/>
      </w:r>
    </w:p>
    <w:p w:rsidR="005A26F6" w:rsidRPr="00D07295" w:rsidRDefault="005A26F6">
      <w:pPr>
        <w:pStyle w:val="TOC3"/>
        <w:rPr>
          <w:rFonts w:ascii="Calibri" w:hAnsi="Calibri"/>
          <w:noProof/>
          <w:sz w:val="22"/>
          <w:szCs w:val="22"/>
          <w:lang w:val="fr-FR" w:eastAsia="fr-FR"/>
        </w:rPr>
      </w:pPr>
      <w:r>
        <w:rPr>
          <w:noProof/>
        </w:rPr>
        <w:t>6.2.2</w:t>
      </w:r>
      <w:r w:rsidRPr="00D07295">
        <w:rPr>
          <w:rFonts w:ascii="Calibri" w:hAnsi="Calibri"/>
          <w:noProof/>
          <w:sz w:val="22"/>
          <w:szCs w:val="22"/>
          <w:lang w:val="fr-FR" w:eastAsia="fr-FR"/>
        </w:rPr>
        <w:tab/>
      </w:r>
      <w:r>
        <w:rPr>
          <w:noProof/>
        </w:rPr>
        <w:t>Determination of end of clinical trial (all patients)</w:t>
      </w:r>
      <w:r>
        <w:rPr>
          <w:noProof/>
        </w:rPr>
        <w:tab/>
      </w:r>
      <w:r>
        <w:rPr>
          <w:noProof/>
        </w:rPr>
        <w:fldChar w:fldCharType="begin"/>
      </w:r>
      <w:r>
        <w:rPr>
          <w:noProof/>
        </w:rPr>
        <w:instrText xml:space="preserve"> PAGEREF _Toc443035830 \h </w:instrText>
      </w:r>
      <w:r>
        <w:rPr>
          <w:noProof/>
        </w:rPr>
      </w:r>
      <w:r>
        <w:rPr>
          <w:noProof/>
        </w:rPr>
        <w:fldChar w:fldCharType="separate"/>
      </w:r>
      <w:r>
        <w:rPr>
          <w:noProof/>
        </w:rPr>
        <w:t>37</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6.3</w:t>
      </w:r>
      <w:r w:rsidRPr="00D07295">
        <w:rPr>
          <w:rFonts w:ascii="Calibri" w:hAnsi="Calibri"/>
          <w:caps w:val="0"/>
          <w:noProof/>
          <w:sz w:val="22"/>
          <w:szCs w:val="22"/>
          <w:lang w:val="fr-FR" w:eastAsia="fr-FR"/>
        </w:rPr>
        <w:tab/>
      </w:r>
      <w:r>
        <w:rPr>
          <w:noProof/>
        </w:rPr>
        <w:t>Interim analysis</w:t>
      </w:r>
      <w:r>
        <w:rPr>
          <w:noProof/>
        </w:rPr>
        <w:tab/>
      </w:r>
      <w:r>
        <w:rPr>
          <w:noProof/>
        </w:rPr>
        <w:fldChar w:fldCharType="begin"/>
      </w:r>
      <w:r>
        <w:rPr>
          <w:noProof/>
        </w:rPr>
        <w:instrText xml:space="preserve"> PAGEREF _Toc443035831 \h </w:instrText>
      </w:r>
      <w:r>
        <w:rPr>
          <w:noProof/>
        </w:rPr>
      </w:r>
      <w:r>
        <w:rPr>
          <w:noProof/>
        </w:rPr>
        <w:fldChar w:fldCharType="separate"/>
      </w:r>
      <w:r>
        <w:rPr>
          <w:noProof/>
        </w:rPr>
        <w:t>37</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6.4</w:t>
      </w:r>
      <w:r w:rsidRPr="00D07295">
        <w:rPr>
          <w:rFonts w:ascii="Calibri" w:hAnsi="Calibri"/>
          <w:caps w:val="0"/>
          <w:noProof/>
          <w:sz w:val="22"/>
          <w:szCs w:val="22"/>
          <w:lang w:val="fr-FR" w:eastAsia="fr-FR"/>
        </w:rPr>
        <w:tab/>
      </w:r>
      <w:r>
        <w:rPr>
          <w:noProof/>
        </w:rPr>
        <w:t>Study committees</w:t>
      </w:r>
      <w:r>
        <w:rPr>
          <w:noProof/>
        </w:rPr>
        <w:tab/>
      </w:r>
      <w:r>
        <w:rPr>
          <w:noProof/>
        </w:rPr>
        <w:fldChar w:fldCharType="begin"/>
      </w:r>
      <w:r>
        <w:rPr>
          <w:noProof/>
        </w:rPr>
        <w:instrText xml:space="preserve"> PAGEREF _Toc443035832 \h </w:instrText>
      </w:r>
      <w:r>
        <w:rPr>
          <w:noProof/>
        </w:rPr>
      </w:r>
      <w:r>
        <w:rPr>
          <w:noProof/>
        </w:rPr>
        <w:fldChar w:fldCharType="separate"/>
      </w:r>
      <w:r>
        <w:rPr>
          <w:noProof/>
        </w:rPr>
        <w:t>37</w:t>
      </w:r>
      <w:r>
        <w:rPr>
          <w:noProof/>
        </w:rPr>
        <w:fldChar w:fldCharType="end"/>
      </w:r>
    </w:p>
    <w:p w:rsidR="005A26F6" w:rsidRPr="00D07295" w:rsidRDefault="005A26F6">
      <w:pPr>
        <w:pStyle w:val="TOC3"/>
        <w:rPr>
          <w:rFonts w:ascii="Calibri" w:hAnsi="Calibri"/>
          <w:noProof/>
          <w:sz w:val="22"/>
          <w:szCs w:val="22"/>
          <w:lang w:val="fr-FR" w:eastAsia="fr-FR"/>
        </w:rPr>
      </w:pPr>
      <w:r>
        <w:rPr>
          <w:noProof/>
        </w:rPr>
        <w:t>6.4.1</w:t>
      </w:r>
      <w:r w:rsidRPr="00D07295">
        <w:rPr>
          <w:rFonts w:ascii="Calibri" w:hAnsi="Calibri"/>
          <w:noProof/>
          <w:sz w:val="22"/>
          <w:szCs w:val="22"/>
          <w:lang w:val="fr-FR" w:eastAsia="fr-FR"/>
        </w:rPr>
        <w:tab/>
      </w:r>
      <w:r>
        <w:rPr>
          <w:noProof/>
        </w:rPr>
        <w:t>Steering Committee</w:t>
      </w:r>
      <w:r>
        <w:rPr>
          <w:noProof/>
        </w:rPr>
        <w:tab/>
      </w:r>
      <w:r>
        <w:rPr>
          <w:noProof/>
        </w:rPr>
        <w:fldChar w:fldCharType="begin"/>
      </w:r>
      <w:r>
        <w:rPr>
          <w:noProof/>
        </w:rPr>
        <w:instrText xml:space="preserve"> PAGEREF _Toc443035833 \h </w:instrText>
      </w:r>
      <w:r>
        <w:rPr>
          <w:noProof/>
        </w:rPr>
      </w:r>
      <w:r>
        <w:rPr>
          <w:noProof/>
        </w:rPr>
        <w:fldChar w:fldCharType="separate"/>
      </w:r>
      <w:r>
        <w:rPr>
          <w:noProof/>
        </w:rPr>
        <w:t>37</w:t>
      </w:r>
      <w:r>
        <w:rPr>
          <w:noProof/>
        </w:rPr>
        <w:fldChar w:fldCharType="end"/>
      </w:r>
    </w:p>
    <w:p w:rsidR="005A26F6" w:rsidRPr="00D07295" w:rsidRDefault="005A26F6">
      <w:pPr>
        <w:pStyle w:val="TOC3"/>
        <w:rPr>
          <w:rFonts w:ascii="Calibri" w:hAnsi="Calibri"/>
          <w:noProof/>
          <w:sz w:val="22"/>
          <w:szCs w:val="22"/>
          <w:lang w:val="fr-FR" w:eastAsia="fr-FR"/>
        </w:rPr>
      </w:pPr>
      <w:r>
        <w:rPr>
          <w:noProof/>
        </w:rPr>
        <w:t>6.4.2</w:t>
      </w:r>
      <w:r w:rsidRPr="00D07295">
        <w:rPr>
          <w:rFonts w:ascii="Calibri" w:hAnsi="Calibri"/>
          <w:noProof/>
          <w:sz w:val="22"/>
          <w:szCs w:val="22"/>
          <w:lang w:val="fr-FR" w:eastAsia="fr-FR"/>
        </w:rPr>
        <w:tab/>
      </w:r>
      <w:r>
        <w:rPr>
          <w:noProof/>
        </w:rPr>
        <w:t>Allergic Reaction Assessment Committee (ARAC)</w:t>
      </w:r>
      <w:r>
        <w:rPr>
          <w:noProof/>
        </w:rPr>
        <w:tab/>
      </w:r>
      <w:r>
        <w:rPr>
          <w:noProof/>
        </w:rPr>
        <w:fldChar w:fldCharType="begin"/>
      </w:r>
      <w:r>
        <w:rPr>
          <w:noProof/>
        </w:rPr>
        <w:instrText xml:space="preserve"> PAGEREF _Toc443035834 \h </w:instrText>
      </w:r>
      <w:r>
        <w:rPr>
          <w:noProof/>
        </w:rPr>
      </w:r>
      <w:r>
        <w:rPr>
          <w:noProof/>
        </w:rPr>
        <w:fldChar w:fldCharType="separate"/>
      </w:r>
      <w:r>
        <w:rPr>
          <w:noProof/>
        </w:rPr>
        <w:t>37</w:t>
      </w:r>
      <w:r>
        <w:rPr>
          <w:noProof/>
        </w:rPr>
        <w:fldChar w:fldCharType="end"/>
      </w:r>
    </w:p>
    <w:p w:rsidR="005A26F6" w:rsidRPr="00D07295" w:rsidRDefault="005A26F6">
      <w:pPr>
        <w:pStyle w:val="TOC3"/>
        <w:rPr>
          <w:rFonts w:ascii="Calibri" w:hAnsi="Calibri"/>
          <w:noProof/>
          <w:sz w:val="22"/>
          <w:szCs w:val="22"/>
          <w:lang w:val="fr-FR" w:eastAsia="fr-FR"/>
        </w:rPr>
      </w:pPr>
      <w:r>
        <w:rPr>
          <w:noProof/>
        </w:rPr>
        <w:t>6.4.3</w:t>
      </w:r>
      <w:r w:rsidRPr="00D07295">
        <w:rPr>
          <w:rFonts w:ascii="Calibri" w:hAnsi="Calibri"/>
          <w:noProof/>
          <w:sz w:val="22"/>
          <w:szCs w:val="22"/>
          <w:lang w:val="fr-FR" w:eastAsia="fr-FR"/>
        </w:rPr>
        <w:tab/>
      </w:r>
      <w:r>
        <w:rPr>
          <w:noProof/>
        </w:rPr>
        <w:t>Pancreatic Safety Assessment Committee (PSAC)</w:t>
      </w:r>
      <w:r>
        <w:rPr>
          <w:noProof/>
        </w:rPr>
        <w:tab/>
      </w:r>
      <w:r>
        <w:rPr>
          <w:noProof/>
        </w:rPr>
        <w:fldChar w:fldCharType="begin"/>
      </w:r>
      <w:r>
        <w:rPr>
          <w:noProof/>
        </w:rPr>
        <w:instrText xml:space="preserve"> PAGEREF _Toc443035835 \h </w:instrText>
      </w:r>
      <w:r>
        <w:rPr>
          <w:noProof/>
        </w:rPr>
      </w:r>
      <w:r>
        <w:rPr>
          <w:noProof/>
        </w:rPr>
        <w:fldChar w:fldCharType="separate"/>
      </w:r>
      <w:r>
        <w:rPr>
          <w:noProof/>
        </w:rPr>
        <w:t>37</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7</w:t>
      </w:r>
      <w:r w:rsidRPr="00D07295">
        <w:rPr>
          <w:rFonts w:ascii="Calibri" w:hAnsi="Calibri"/>
          <w:b w:val="0"/>
          <w:caps w:val="0"/>
          <w:noProof/>
          <w:sz w:val="22"/>
          <w:szCs w:val="22"/>
          <w:lang w:val="fr-FR" w:eastAsia="fr-FR"/>
        </w:rPr>
        <w:tab/>
      </w:r>
      <w:r>
        <w:rPr>
          <w:noProof/>
        </w:rPr>
        <w:t>Selection of patients</w:t>
      </w:r>
      <w:r>
        <w:rPr>
          <w:noProof/>
        </w:rPr>
        <w:tab/>
      </w:r>
      <w:r>
        <w:rPr>
          <w:noProof/>
        </w:rPr>
        <w:fldChar w:fldCharType="begin"/>
      </w:r>
      <w:r>
        <w:rPr>
          <w:noProof/>
        </w:rPr>
        <w:instrText xml:space="preserve"> PAGEREF _Toc443035836 \h </w:instrText>
      </w:r>
      <w:r>
        <w:rPr>
          <w:noProof/>
        </w:rPr>
      </w:r>
      <w:r>
        <w:rPr>
          <w:noProof/>
        </w:rPr>
        <w:fldChar w:fldCharType="separate"/>
      </w:r>
      <w:r>
        <w:rPr>
          <w:noProof/>
        </w:rPr>
        <w:t>38</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7.1</w:t>
      </w:r>
      <w:r w:rsidRPr="00D07295">
        <w:rPr>
          <w:rFonts w:ascii="Calibri" w:hAnsi="Calibri"/>
          <w:caps w:val="0"/>
          <w:noProof/>
          <w:sz w:val="22"/>
          <w:szCs w:val="22"/>
          <w:lang w:val="fr-FR" w:eastAsia="fr-FR"/>
        </w:rPr>
        <w:tab/>
      </w:r>
      <w:r>
        <w:rPr>
          <w:noProof/>
        </w:rPr>
        <w:t>Inclusion criteria</w:t>
      </w:r>
      <w:r>
        <w:rPr>
          <w:noProof/>
        </w:rPr>
        <w:tab/>
      </w:r>
      <w:r>
        <w:rPr>
          <w:noProof/>
        </w:rPr>
        <w:fldChar w:fldCharType="begin"/>
      </w:r>
      <w:r>
        <w:rPr>
          <w:noProof/>
        </w:rPr>
        <w:instrText xml:space="preserve"> PAGEREF _Toc443035837 \h </w:instrText>
      </w:r>
      <w:r>
        <w:rPr>
          <w:noProof/>
        </w:rPr>
      </w:r>
      <w:r>
        <w:rPr>
          <w:noProof/>
        </w:rPr>
        <w:fldChar w:fldCharType="separate"/>
      </w:r>
      <w:r>
        <w:rPr>
          <w:noProof/>
        </w:rPr>
        <w:t>38</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7.2</w:t>
      </w:r>
      <w:r w:rsidRPr="00D07295">
        <w:rPr>
          <w:rFonts w:ascii="Calibri" w:hAnsi="Calibri"/>
          <w:caps w:val="0"/>
          <w:noProof/>
          <w:sz w:val="22"/>
          <w:szCs w:val="22"/>
          <w:lang w:val="fr-FR" w:eastAsia="fr-FR"/>
        </w:rPr>
        <w:tab/>
      </w:r>
      <w:r>
        <w:rPr>
          <w:noProof/>
        </w:rPr>
        <w:t>Exclusion criteria</w:t>
      </w:r>
      <w:r>
        <w:rPr>
          <w:noProof/>
        </w:rPr>
        <w:tab/>
      </w:r>
      <w:r>
        <w:rPr>
          <w:noProof/>
        </w:rPr>
        <w:fldChar w:fldCharType="begin"/>
      </w:r>
      <w:r>
        <w:rPr>
          <w:noProof/>
        </w:rPr>
        <w:instrText xml:space="preserve"> PAGEREF _Toc443035838 \h </w:instrText>
      </w:r>
      <w:r>
        <w:rPr>
          <w:noProof/>
        </w:rPr>
      </w:r>
      <w:r>
        <w:rPr>
          <w:noProof/>
        </w:rPr>
        <w:fldChar w:fldCharType="separate"/>
      </w:r>
      <w:r>
        <w:rPr>
          <w:noProof/>
        </w:rPr>
        <w:t>38</w:t>
      </w:r>
      <w:r>
        <w:rPr>
          <w:noProof/>
        </w:rPr>
        <w:fldChar w:fldCharType="end"/>
      </w:r>
    </w:p>
    <w:p w:rsidR="005A26F6" w:rsidRPr="00D07295" w:rsidRDefault="005A26F6">
      <w:pPr>
        <w:pStyle w:val="TOC3"/>
        <w:rPr>
          <w:rFonts w:ascii="Calibri" w:hAnsi="Calibri"/>
          <w:noProof/>
          <w:sz w:val="22"/>
          <w:szCs w:val="22"/>
          <w:lang w:val="fr-FR" w:eastAsia="fr-FR"/>
        </w:rPr>
      </w:pPr>
      <w:r>
        <w:rPr>
          <w:noProof/>
        </w:rPr>
        <w:lastRenderedPageBreak/>
        <w:t>7.2.1</w:t>
      </w:r>
      <w:r w:rsidRPr="00D07295">
        <w:rPr>
          <w:rFonts w:ascii="Calibri" w:hAnsi="Calibri"/>
          <w:noProof/>
          <w:sz w:val="22"/>
          <w:szCs w:val="22"/>
          <w:lang w:val="fr-FR" w:eastAsia="fr-FR"/>
        </w:rPr>
        <w:tab/>
      </w:r>
      <w:r>
        <w:rPr>
          <w:noProof/>
        </w:rPr>
        <w:t>Exclusion criteria related to study methodology</w:t>
      </w:r>
      <w:r>
        <w:rPr>
          <w:noProof/>
        </w:rPr>
        <w:tab/>
      </w:r>
      <w:r>
        <w:rPr>
          <w:noProof/>
        </w:rPr>
        <w:fldChar w:fldCharType="begin"/>
      </w:r>
      <w:r>
        <w:rPr>
          <w:noProof/>
        </w:rPr>
        <w:instrText xml:space="preserve"> PAGEREF _Toc443035839 \h </w:instrText>
      </w:r>
      <w:r>
        <w:rPr>
          <w:noProof/>
        </w:rPr>
      </w:r>
      <w:r>
        <w:rPr>
          <w:noProof/>
        </w:rPr>
        <w:fldChar w:fldCharType="separate"/>
      </w:r>
      <w:r>
        <w:rPr>
          <w:noProof/>
        </w:rPr>
        <w:t>38</w:t>
      </w:r>
      <w:r>
        <w:rPr>
          <w:noProof/>
        </w:rPr>
        <w:fldChar w:fldCharType="end"/>
      </w:r>
    </w:p>
    <w:p w:rsidR="005A26F6" w:rsidRPr="00D07295" w:rsidRDefault="005A26F6">
      <w:pPr>
        <w:pStyle w:val="TOC3"/>
        <w:rPr>
          <w:rFonts w:ascii="Calibri" w:hAnsi="Calibri"/>
          <w:noProof/>
          <w:sz w:val="22"/>
          <w:szCs w:val="22"/>
          <w:lang w:val="fr-FR" w:eastAsia="fr-FR"/>
        </w:rPr>
      </w:pPr>
      <w:r>
        <w:rPr>
          <w:noProof/>
        </w:rPr>
        <w:t>7.2.2</w:t>
      </w:r>
      <w:r w:rsidRPr="00D07295">
        <w:rPr>
          <w:rFonts w:ascii="Calibri" w:hAnsi="Calibri"/>
          <w:noProof/>
          <w:sz w:val="22"/>
          <w:szCs w:val="22"/>
          <w:lang w:val="fr-FR" w:eastAsia="fr-FR"/>
        </w:rPr>
        <w:tab/>
      </w:r>
      <w:r>
        <w:rPr>
          <w:noProof/>
        </w:rPr>
        <w:t>Exclusion criteria related to the active comparator and/or mandatory background therapies</w:t>
      </w:r>
      <w:r>
        <w:rPr>
          <w:noProof/>
        </w:rPr>
        <w:tab/>
      </w:r>
      <w:r>
        <w:rPr>
          <w:noProof/>
        </w:rPr>
        <w:fldChar w:fldCharType="begin"/>
      </w:r>
      <w:r>
        <w:rPr>
          <w:noProof/>
        </w:rPr>
        <w:instrText xml:space="preserve"> PAGEREF _Toc443035840 \h </w:instrText>
      </w:r>
      <w:r>
        <w:rPr>
          <w:noProof/>
        </w:rPr>
      </w:r>
      <w:r>
        <w:rPr>
          <w:noProof/>
        </w:rPr>
        <w:fldChar w:fldCharType="separate"/>
      </w:r>
      <w:r>
        <w:rPr>
          <w:noProof/>
        </w:rPr>
        <w:t>40</w:t>
      </w:r>
      <w:r>
        <w:rPr>
          <w:noProof/>
        </w:rPr>
        <w:fldChar w:fldCharType="end"/>
      </w:r>
    </w:p>
    <w:p w:rsidR="005A26F6" w:rsidRPr="00D07295" w:rsidRDefault="005A26F6">
      <w:pPr>
        <w:pStyle w:val="TOC3"/>
        <w:rPr>
          <w:rFonts w:ascii="Calibri" w:hAnsi="Calibri"/>
          <w:noProof/>
          <w:sz w:val="22"/>
          <w:szCs w:val="22"/>
          <w:lang w:val="fr-FR" w:eastAsia="fr-FR"/>
        </w:rPr>
      </w:pPr>
      <w:r>
        <w:rPr>
          <w:noProof/>
        </w:rPr>
        <w:t>7.2.3</w:t>
      </w:r>
      <w:r w:rsidRPr="00D07295">
        <w:rPr>
          <w:rFonts w:ascii="Calibri" w:hAnsi="Calibri"/>
          <w:noProof/>
          <w:sz w:val="22"/>
          <w:szCs w:val="22"/>
          <w:lang w:val="fr-FR" w:eastAsia="fr-FR"/>
        </w:rPr>
        <w:tab/>
      </w:r>
      <w:r>
        <w:rPr>
          <w:noProof/>
        </w:rPr>
        <w:t>Exclusion criteria related to the current knowledge of Sanofi compound (insulin glargine/lixisenatide fixed ratio combination)</w:t>
      </w:r>
      <w:r>
        <w:rPr>
          <w:noProof/>
        </w:rPr>
        <w:tab/>
      </w:r>
      <w:r>
        <w:rPr>
          <w:noProof/>
        </w:rPr>
        <w:fldChar w:fldCharType="begin"/>
      </w:r>
      <w:r>
        <w:rPr>
          <w:noProof/>
        </w:rPr>
        <w:instrText xml:space="preserve"> PAGEREF _Toc443035841 \h </w:instrText>
      </w:r>
      <w:r>
        <w:rPr>
          <w:noProof/>
        </w:rPr>
      </w:r>
      <w:r>
        <w:rPr>
          <w:noProof/>
        </w:rPr>
        <w:fldChar w:fldCharType="separate"/>
      </w:r>
      <w:r>
        <w:rPr>
          <w:noProof/>
        </w:rPr>
        <w:t>41</w:t>
      </w:r>
      <w:r>
        <w:rPr>
          <w:noProof/>
        </w:rPr>
        <w:fldChar w:fldCharType="end"/>
      </w:r>
    </w:p>
    <w:p w:rsidR="005A26F6" w:rsidRPr="00D07295" w:rsidRDefault="005A26F6">
      <w:pPr>
        <w:pStyle w:val="TOC3"/>
        <w:rPr>
          <w:rFonts w:ascii="Calibri" w:hAnsi="Calibri"/>
          <w:noProof/>
          <w:sz w:val="22"/>
          <w:szCs w:val="22"/>
          <w:lang w:val="fr-FR" w:eastAsia="fr-FR"/>
        </w:rPr>
      </w:pPr>
      <w:r w:rsidRPr="002564A9">
        <w:rPr>
          <w:noProof/>
          <w:color w:val="000000"/>
        </w:rPr>
        <w:t>7.2.4</w:t>
      </w:r>
      <w:r w:rsidRPr="00D07295">
        <w:rPr>
          <w:rFonts w:ascii="Calibri" w:hAnsi="Calibri"/>
          <w:noProof/>
          <w:sz w:val="22"/>
          <w:szCs w:val="22"/>
          <w:lang w:val="fr-FR" w:eastAsia="fr-FR"/>
        </w:rPr>
        <w:tab/>
      </w:r>
      <w:r w:rsidRPr="002564A9">
        <w:rPr>
          <w:noProof/>
          <w:color w:val="000000"/>
        </w:rPr>
        <w:t>Additional exclusion criteria during or at the end of screening phase before randomization</w:t>
      </w:r>
      <w:r>
        <w:rPr>
          <w:noProof/>
        </w:rPr>
        <w:tab/>
      </w:r>
      <w:r>
        <w:rPr>
          <w:noProof/>
        </w:rPr>
        <w:fldChar w:fldCharType="begin"/>
      </w:r>
      <w:r>
        <w:rPr>
          <w:noProof/>
        </w:rPr>
        <w:instrText xml:space="preserve"> PAGEREF _Toc443035842 \h </w:instrText>
      </w:r>
      <w:r>
        <w:rPr>
          <w:noProof/>
        </w:rPr>
      </w:r>
      <w:r>
        <w:rPr>
          <w:noProof/>
        </w:rPr>
        <w:fldChar w:fldCharType="separate"/>
      </w:r>
      <w:r>
        <w:rPr>
          <w:noProof/>
        </w:rPr>
        <w:t>41</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8</w:t>
      </w:r>
      <w:r w:rsidRPr="00D07295">
        <w:rPr>
          <w:rFonts w:ascii="Calibri" w:hAnsi="Calibri"/>
          <w:b w:val="0"/>
          <w:caps w:val="0"/>
          <w:noProof/>
          <w:sz w:val="22"/>
          <w:szCs w:val="22"/>
          <w:lang w:val="fr-FR" w:eastAsia="fr-FR"/>
        </w:rPr>
        <w:tab/>
      </w:r>
      <w:r>
        <w:rPr>
          <w:noProof/>
        </w:rPr>
        <w:t>study Treatments</w:t>
      </w:r>
      <w:r>
        <w:rPr>
          <w:noProof/>
        </w:rPr>
        <w:tab/>
      </w:r>
      <w:r>
        <w:rPr>
          <w:noProof/>
        </w:rPr>
        <w:fldChar w:fldCharType="begin"/>
      </w:r>
      <w:r>
        <w:rPr>
          <w:noProof/>
        </w:rPr>
        <w:instrText xml:space="preserve"> PAGEREF _Toc443035843 \h </w:instrText>
      </w:r>
      <w:r>
        <w:rPr>
          <w:noProof/>
        </w:rPr>
      </w:r>
      <w:r>
        <w:rPr>
          <w:noProof/>
        </w:rPr>
        <w:fldChar w:fldCharType="separate"/>
      </w:r>
      <w:r>
        <w:rPr>
          <w:noProof/>
        </w:rPr>
        <w:t>42</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8.1</w:t>
      </w:r>
      <w:r w:rsidRPr="00D07295">
        <w:rPr>
          <w:rFonts w:ascii="Calibri" w:hAnsi="Calibri"/>
          <w:caps w:val="0"/>
          <w:noProof/>
          <w:sz w:val="22"/>
          <w:szCs w:val="22"/>
          <w:lang w:val="fr-FR" w:eastAsia="fr-FR"/>
        </w:rPr>
        <w:tab/>
      </w:r>
      <w:r>
        <w:rPr>
          <w:noProof/>
        </w:rPr>
        <w:t>Investigational medicinal Product(s)</w:t>
      </w:r>
      <w:r>
        <w:rPr>
          <w:noProof/>
        </w:rPr>
        <w:tab/>
      </w:r>
      <w:r>
        <w:rPr>
          <w:noProof/>
        </w:rPr>
        <w:fldChar w:fldCharType="begin"/>
      </w:r>
      <w:r>
        <w:rPr>
          <w:noProof/>
        </w:rPr>
        <w:instrText xml:space="preserve"> PAGEREF _Toc443035844 \h </w:instrText>
      </w:r>
      <w:r>
        <w:rPr>
          <w:noProof/>
        </w:rPr>
      </w:r>
      <w:r>
        <w:rPr>
          <w:noProof/>
        </w:rPr>
        <w:fldChar w:fldCharType="separate"/>
      </w:r>
      <w:r>
        <w:rPr>
          <w:noProof/>
        </w:rPr>
        <w:t>42</w:t>
      </w:r>
      <w:r>
        <w:rPr>
          <w:noProof/>
        </w:rPr>
        <w:fldChar w:fldCharType="end"/>
      </w:r>
    </w:p>
    <w:p w:rsidR="005A26F6" w:rsidRPr="00D07295" w:rsidRDefault="005A26F6">
      <w:pPr>
        <w:pStyle w:val="TOC3"/>
        <w:rPr>
          <w:rFonts w:ascii="Calibri" w:hAnsi="Calibri"/>
          <w:noProof/>
          <w:sz w:val="22"/>
          <w:szCs w:val="22"/>
          <w:lang w:val="fr-FR" w:eastAsia="fr-FR"/>
        </w:rPr>
      </w:pPr>
      <w:r>
        <w:rPr>
          <w:noProof/>
        </w:rPr>
        <w:t>8.1.1</w:t>
      </w:r>
      <w:r w:rsidRPr="00D07295">
        <w:rPr>
          <w:rFonts w:ascii="Calibri" w:hAnsi="Calibri"/>
          <w:noProof/>
          <w:sz w:val="22"/>
          <w:szCs w:val="22"/>
          <w:lang w:val="fr-FR" w:eastAsia="fr-FR"/>
        </w:rPr>
        <w:tab/>
      </w:r>
      <w:r>
        <w:rPr>
          <w:noProof/>
        </w:rPr>
        <w:t>Formulations</w:t>
      </w:r>
      <w:r>
        <w:rPr>
          <w:noProof/>
        </w:rPr>
        <w:tab/>
      </w:r>
      <w:r>
        <w:rPr>
          <w:noProof/>
        </w:rPr>
        <w:fldChar w:fldCharType="begin"/>
      </w:r>
      <w:r>
        <w:rPr>
          <w:noProof/>
        </w:rPr>
        <w:instrText xml:space="preserve"> PAGEREF _Toc443035845 \h </w:instrText>
      </w:r>
      <w:r>
        <w:rPr>
          <w:noProof/>
        </w:rPr>
      </w:r>
      <w:r>
        <w:rPr>
          <w:noProof/>
        </w:rPr>
        <w:fldChar w:fldCharType="separate"/>
      </w:r>
      <w:r>
        <w:rPr>
          <w:noProof/>
        </w:rPr>
        <w:t>42</w:t>
      </w:r>
      <w:r>
        <w:rPr>
          <w:noProof/>
        </w:rPr>
        <w:fldChar w:fldCharType="end"/>
      </w:r>
    </w:p>
    <w:p w:rsidR="005A26F6" w:rsidRPr="00D07295" w:rsidRDefault="005A26F6">
      <w:pPr>
        <w:pStyle w:val="TOC3"/>
        <w:rPr>
          <w:rFonts w:ascii="Calibri" w:hAnsi="Calibri"/>
          <w:noProof/>
          <w:sz w:val="22"/>
          <w:szCs w:val="22"/>
          <w:lang w:val="fr-FR" w:eastAsia="fr-FR"/>
        </w:rPr>
      </w:pPr>
      <w:r>
        <w:rPr>
          <w:noProof/>
        </w:rPr>
        <w:t>8.1.2</w:t>
      </w:r>
      <w:r w:rsidRPr="00D07295">
        <w:rPr>
          <w:rFonts w:ascii="Calibri" w:hAnsi="Calibri"/>
          <w:noProof/>
          <w:sz w:val="22"/>
          <w:szCs w:val="22"/>
          <w:lang w:val="fr-FR" w:eastAsia="fr-FR"/>
        </w:rPr>
        <w:tab/>
      </w:r>
      <w:r>
        <w:rPr>
          <w:noProof/>
        </w:rPr>
        <w:t>Injection devices and training for insulin glargine/lixisenatide fixed ratio combination</w:t>
      </w:r>
      <w:r>
        <w:rPr>
          <w:noProof/>
        </w:rPr>
        <w:tab/>
      </w:r>
      <w:r>
        <w:rPr>
          <w:noProof/>
        </w:rPr>
        <w:fldChar w:fldCharType="begin"/>
      </w:r>
      <w:r>
        <w:rPr>
          <w:noProof/>
        </w:rPr>
        <w:instrText xml:space="preserve"> PAGEREF _Toc443035846 \h </w:instrText>
      </w:r>
      <w:r>
        <w:rPr>
          <w:noProof/>
        </w:rPr>
      </w:r>
      <w:r>
        <w:rPr>
          <w:noProof/>
        </w:rPr>
        <w:fldChar w:fldCharType="separate"/>
      </w:r>
      <w:r>
        <w:rPr>
          <w:noProof/>
        </w:rPr>
        <w:t>43</w:t>
      </w:r>
      <w:r>
        <w:rPr>
          <w:noProof/>
        </w:rPr>
        <w:fldChar w:fldCharType="end"/>
      </w:r>
    </w:p>
    <w:p w:rsidR="005A26F6" w:rsidRPr="00D07295" w:rsidRDefault="005A26F6">
      <w:pPr>
        <w:pStyle w:val="TOC4"/>
        <w:rPr>
          <w:rFonts w:ascii="Calibri" w:hAnsi="Calibri"/>
          <w:noProof/>
          <w:sz w:val="22"/>
          <w:lang w:val="fr-FR" w:eastAsia="fr-FR"/>
        </w:rPr>
      </w:pPr>
      <w:r>
        <w:rPr>
          <w:noProof/>
        </w:rPr>
        <w:t>8.1.2.1</w:t>
      </w:r>
      <w:r w:rsidRPr="00D07295">
        <w:rPr>
          <w:rFonts w:ascii="Calibri" w:hAnsi="Calibri"/>
          <w:noProof/>
          <w:sz w:val="22"/>
          <w:lang w:val="fr-FR" w:eastAsia="fr-FR"/>
        </w:rPr>
        <w:tab/>
      </w:r>
      <w:r>
        <w:rPr>
          <w:noProof/>
        </w:rPr>
        <w:t>Pen-Injector devices</w:t>
      </w:r>
      <w:r>
        <w:rPr>
          <w:noProof/>
        </w:rPr>
        <w:tab/>
      </w:r>
      <w:r>
        <w:rPr>
          <w:noProof/>
        </w:rPr>
        <w:fldChar w:fldCharType="begin"/>
      </w:r>
      <w:r>
        <w:rPr>
          <w:noProof/>
        </w:rPr>
        <w:instrText xml:space="preserve"> PAGEREF _Toc443035847 \h </w:instrText>
      </w:r>
      <w:r>
        <w:rPr>
          <w:noProof/>
        </w:rPr>
      </w:r>
      <w:r>
        <w:rPr>
          <w:noProof/>
        </w:rPr>
        <w:fldChar w:fldCharType="separate"/>
      </w:r>
      <w:r>
        <w:rPr>
          <w:noProof/>
        </w:rPr>
        <w:t>43</w:t>
      </w:r>
      <w:r>
        <w:rPr>
          <w:noProof/>
        </w:rPr>
        <w:fldChar w:fldCharType="end"/>
      </w:r>
    </w:p>
    <w:p w:rsidR="005A26F6" w:rsidRPr="00D07295" w:rsidRDefault="005A26F6">
      <w:pPr>
        <w:pStyle w:val="TOC4"/>
        <w:rPr>
          <w:rFonts w:ascii="Calibri" w:hAnsi="Calibri"/>
          <w:noProof/>
          <w:sz w:val="22"/>
          <w:lang w:val="fr-FR" w:eastAsia="fr-FR"/>
        </w:rPr>
      </w:pPr>
      <w:r>
        <w:rPr>
          <w:noProof/>
        </w:rPr>
        <w:t>8.1.2.2</w:t>
      </w:r>
      <w:r w:rsidRPr="00D07295">
        <w:rPr>
          <w:rFonts w:ascii="Calibri" w:hAnsi="Calibri"/>
          <w:noProof/>
          <w:sz w:val="22"/>
          <w:lang w:val="fr-FR" w:eastAsia="fr-FR"/>
        </w:rPr>
        <w:tab/>
      </w:r>
      <w:r>
        <w:rPr>
          <w:noProof/>
        </w:rPr>
        <w:t>Training for injection devices</w:t>
      </w:r>
      <w:r>
        <w:rPr>
          <w:noProof/>
        </w:rPr>
        <w:tab/>
      </w:r>
      <w:r>
        <w:rPr>
          <w:noProof/>
        </w:rPr>
        <w:fldChar w:fldCharType="begin"/>
      </w:r>
      <w:r>
        <w:rPr>
          <w:noProof/>
        </w:rPr>
        <w:instrText xml:space="preserve"> PAGEREF _Toc443035848 \h </w:instrText>
      </w:r>
      <w:r>
        <w:rPr>
          <w:noProof/>
        </w:rPr>
      </w:r>
      <w:r>
        <w:rPr>
          <w:noProof/>
        </w:rPr>
        <w:fldChar w:fldCharType="separate"/>
      </w:r>
      <w:r>
        <w:rPr>
          <w:noProof/>
        </w:rPr>
        <w:t>45</w:t>
      </w:r>
      <w:r>
        <w:rPr>
          <w:noProof/>
        </w:rPr>
        <w:fldChar w:fldCharType="end"/>
      </w:r>
    </w:p>
    <w:p w:rsidR="005A26F6" w:rsidRPr="00D07295" w:rsidRDefault="005A26F6">
      <w:pPr>
        <w:pStyle w:val="TOC3"/>
        <w:rPr>
          <w:rFonts w:ascii="Calibri" w:hAnsi="Calibri"/>
          <w:noProof/>
          <w:sz w:val="22"/>
          <w:szCs w:val="22"/>
          <w:lang w:val="fr-FR" w:eastAsia="fr-FR"/>
        </w:rPr>
      </w:pPr>
      <w:r>
        <w:rPr>
          <w:noProof/>
        </w:rPr>
        <w:t>8.1.3</w:t>
      </w:r>
      <w:r w:rsidRPr="00D07295">
        <w:rPr>
          <w:rFonts w:ascii="Calibri" w:hAnsi="Calibri"/>
          <w:noProof/>
          <w:sz w:val="22"/>
          <w:szCs w:val="22"/>
          <w:lang w:val="fr-FR" w:eastAsia="fr-FR"/>
        </w:rPr>
        <w:tab/>
      </w:r>
      <w:r>
        <w:rPr>
          <w:noProof/>
        </w:rPr>
        <w:t>Dose schedule</w:t>
      </w:r>
      <w:r>
        <w:rPr>
          <w:noProof/>
        </w:rPr>
        <w:tab/>
      </w:r>
      <w:r>
        <w:rPr>
          <w:noProof/>
        </w:rPr>
        <w:fldChar w:fldCharType="begin"/>
      </w:r>
      <w:r>
        <w:rPr>
          <w:noProof/>
        </w:rPr>
        <w:instrText xml:space="preserve"> PAGEREF _Toc443035849 \h </w:instrText>
      </w:r>
      <w:r>
        <w:rPr>
          <w:noProof/>
        </w:rPr>
      </w:r>
      <w:r>
        <w:rPr>
          <w:noProof/>
        </w:rPr>
        <w:fldChar w:fldCharType="separate"/>
      </w:r>
      <w:r>
        <w:rPr>
          <w:noProof/>
        </w:rPr>
        <w:t>46</w:t>
      </w:r>
      <w:r>
        <w:rPr>
          <w:noProof/>
        </w:rPr>
        <w:fldChar w:fldCharType="end"/>
      </w:r>
    </w:p>
    <w:p w:rsidR="005A26F6" w:rsidRPr="00D07295" w:rsidRDefault="005A26F6">
      <w:pPr>
        <w:pStyle w:val="TOC3"/>
        <w:rPr>
          <w:rFonts w:ascii="Calibri" w:hAnsi="Calibri"/>
          <w:noProof/>
          <w:sz w:val="22"/>
          <w:szCs w:val="22"/>
          <w:lang w:val="fr-FR" w:eastAsia="fr-FR"/>
        </w:rPr>
      </w:pPr>
      <w:r>
        <w:rPr>
          <w:noProof/>
        </w:rPr>
        <w:t>8.1.4</w:t>
      </w:r>
      <w:r w:rsidRPr="00D07295">
        <w:rPr>
          <w:rFonts w:ascii="Calibri" w:hAnsi="Calibri"/>
          <w:noProof/>
          <w:sz w:val="22"/>
          <w:szCs w:val="22"/>
          <w:lang w:val="fr-FR" w:eastAsia="fr-FR"/>
        </w:rPr>
        <w:tab/>
      </w:r>
      <w:r>
        <w:rPr>
          <w:noProof/>
        </w:rPr>
        <w:t>Starting dose and dose adjustment</w:t>
      </w:r>
      <w:r>
        <w:rPr>
          <w:noProof/>
        </w:rPr>
        <w:tab/>
      </w:r>
      <w:r>
        <w:rPr>
          <w:noProof/>
        </w:rPr>
        <w:fldChar w:fldCharType="begin"/>
      </w:r>
      <w:r>
        <w:rPr>
          <w:noProof/>
        </w:rPr>
        <w:instrText xml:space="preserve"> PAGEREF _Toc443035850 \h </w:instrText>
      </w:r>
      <w:r>
        <w:rPr>
          <w:noProof/>
        </w:rPr>
      </w:r>
      <w:r>
        <w:rPr>
          <w:noProof/>
        </w:rPr>
        <w:fldChar w:fldCharType="separate"/>
      </w:r>
      <w:r>
        <w:rPr>
          <w:noProof/>
        </w:rPr>
        <w:t>47</w:t>
      </w:r>
      <w:r>
        <w:rPr>
          <w:noProof/>
        </w:rPr>
        <w:fldChar w:fldCharType="end"/>
      </w:r>
    </w:p>
    <w:p w:rsidR="005A26F6" w:rsidRPr="00D07295" w:rsidRDefault="005A26F6">
      <w:pPr>
        <w:pStyle w:val="TOC4"/>
        <w:rPr>
          <w:rFonts w:ascii="Calibri" w:hAnsi="Calibri"/>
          <w:noProof/>
          <w:sz w:val="22"/>
          <w:lang w:val="fr-FR" w:eastAsia="fr-FR"/>
        </w:rPr>
      </w:pPr>
      <w:r>
        <w:rPr>
          <w:noProof/>
        </w:rPr>
        <w:t>8.1.4.1</w:t>
      </w:r>
      <w:r w:rsidRPr="00D07295">
        <w:rPr>
          <w:rFonts w:ascii="Calibri" w:hAnsi="Calibri"/>
          <w:noProof/>
          <w:sz w:val="22"/>
          <w:lang w:val="fr-FR" w:eastAsia="fr-FR"/>
        </w:rPr>
        <w:tab/>
      </w:r>
      <w:r>
        <w:rPr>
          <w:noProof/>
        </w:rPr>
        <w:t>Insulin glargine/lixisenatide fixed ratio combination (FRC) group</w:t>
      </w:r>
      <w:r>
        <w:rPr>
          <w:noProof/>
        </w:rPr>
        <w:tab/>
      </w:r>
      <w:r>
        <w:rPr>
          <w:noProof/>
        </w:rPr>
        <w:fldChar w:fldCharType="begin"/>
      </w:r>
      <w:r>
        <w:rPr>
          <w:noProof/>
        </w:rPr>
        <w:instrText xml:space="preserve"> PAGEREF _Toc443035851 \h </w:instrText>
      </w:r>
      <w:r>
        <w:rPr>
          <w:noProof/>
        </w:rPr>
      </w:r>
      <w:r>
        <w:rPr>
          <w:noProof/>
        </w:rPr>
        <w:fldChar w:fldCharType="separate"/>
      </w:r>
      <w:r>
        <w:rPr>
          <w:noProof/>
        </w:rPr>
        <w:t>47</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8.2</w:t>
      </w:r>
      <w:r w:rsidRPr="00D07295">
        <w:rPr>
          <w:rFonts w:ascii="Calibri" w:hAnsi="Calibri"/>
          <w:caps w:val="0"/>
          <w:noProof/>
          <w:sz w:val="22"/>
          <w:szCs w:val="22"/>
          <w:lang w:val="fr-FR" w:eastAsia="fr-FR"/>
        </w:rPr>
        <w:tab/>
      </w:r>
      <w:r>
        <w:rPr>
          <w:noProof/>
        </w:rPr>
        <w:t>NonINVEStigational Medicinal Product(s)</w:t>
      </w:r>
      <w:r>
        <w:rPr>
          <w:noProof/>
        </w:rPr>
        <w:tab/>
      </w:r>
      <w:r>
        <w:rPr>
          <w:noProof/>
        </w:rPr>
        <w:fldChar w:fldCharType="begin"/>
      </w:r>
      <w:r>
        <w:rPr>
          <w:noProof/>
        </w:rPr>
        <w:instrText xml:space="preserve"> PAGEREF _Toc443035852 \h </w:instrText>
      </w:r>
      <w:r>
        <w:rPr>
          <w:noProof/>
        </w:rPr>
      </w:r>
      <w:r>
        <w:rPr>
          <w:noProof/>
        </w:rPr>
        <w:fldChar w:fldCharType="separate"/>
      </w:r>
      <w:r>
        <w:rPr>
          <w:noProof/>
        </w:rPr>
        <w:t>49</w:t>
      </w:r>
      <w:r>
        <w:rPr>
          <w:noProof/>
        </w:rPr>
        <w:fldChar w:fldCharType="end"/>
      </w:r>
    </w:p>
    <w:p w:rsidR="005A26F6" w:rsidRPr="00D07295" w:rsidRDefault="005A26F6">
      <w:pPr>
        <w:pStyle w:val="TOC3"/>
        <w:rPr>
          <w:rFonts w:ascii="Calibri" w:hAnsi="Calibri"/>
          <w:noProof/>
          <w:sz w:val="22"/>
          <w:szCs w:val="22"/>
          <w:lang w:val="fr-FR" w:eastAsia="fr-FR"/>
        </w:rPr>
      </w:pPr>
      <w:r>
        <w:rPr>
          <w:noProof/>
        </w:rPr>
        <w:t>8.2.1</w:t>
      </w:r>
      <w:r w:rsidRPr="00D07295">
        <w:rPr>
          <w:rFonts w:ascii="Calibri" w:hAnsi="Calibri"/>
          <w:noProof/>
          <w:sz w:val="22"/>
          <w:szCs w:val="22"/>
          <w:lang w:val="fr-FR" w:eastAsia="fr-FR"/>
        </w:rPr>
        <w:tab/>
      </w:r>
      <w:r>
        <w:rPr>
          <w:noProof/>
        </w:rPr>
        <w:t>Background therapy</w:t>
      </w:r>
      <w:r>
        <w:rPr>
          <w:noProof/>
        </w:rPr>
        <w:tab/>
      </w:r>
      <w:r>
        <w:rPr>
          <w:noProof/>
        </w:rPr>
        <w:fldChar w:fldCharType="begin"/>
      </w:r>
      <w:r>
        <w:rPr>
          <w:noProof/>
        </w:rPr>
        <w:instrText xml:space="preserve"> PAGEREF _Toc443035853 \h </w:instrText>
      </w:r>
      <w:r>
        <w:rPr>
          <w:noProof/>
        </w:rPr>
      </w:r>
      <w:r>
        <w:rPr>
          <w:noProof/>
        </w:rPr>
        <w:fldChar w:fldCharType="separate"/>
      </w:r>
      <w:r>
        <w:rPr>
          <w:noProof/>
        </w:rPr>
        <w:t>49</w:t>
      </w:r>
      <w:r>
        <w:rPr>
          <w:noProof/>
        </w:rPr>
        <w:fldChar w:fldCharType="end"/>
      </w:r>
    </w:p>
    <w:p w:rsidR="005A26F6" w:rsidRPr="00D07295" w:rsidRDefault="005A26F6">
      <w:pPr>
        <w:pStyle w:val="TOC3"/>
        <w:rPr>
          <w:rFonts w:ascii="Calibri" w:hAnsi="Calibri"/>
          <w:noProof/>
          <w:sz w:val="22"/>
          <w:szCs w:val="22"/>
          <w:lang w:val="fr-FR" w:eastAsia="fr-FR"/>
        </w:rPr>
      </w:pPr>
      <w:r>
        <w:rPr>
          <w:noProof/>
        </w:rPr>
        <w:t>8.2.2</w:t>
      </w:r>
      <w:r w:rsidRPr="00D07295">
        <w:rPr>
          <w:rFonts w:ascii="Calibri" w:hAnsi="Calibri"/>
          <w:noProof/>
          <w:sz w:val="22"/>
          <w:szCs w:val="22"/>
          <w:lang w:val="fr-FR" w:eastAsia="fr-FR"/>
        </w:rPr>
        <w:tab/>
      </w:r>
      <w:r>
        <w:rPr>
          <w:noProof/>
        </w:rPr>
        <w:t>Diet and Exercise</w:t>
      </w:r>
      <w:r>
        <w:rPr>
          <w:noProof/>
        </w:rPr>
        <w:tab/>
      </w:r>
      <w:r>
        <w:rPr>
          <w:noProof/>
        </w:rPr>
        <w:fldChar w:fldCharType="begin"/>
      </w:r>
      <w:r>
        <w:rPr>
          <w:noProof/>
        </w:rPr>
        <w:instrText xml:space="preserve"> PAGEREF _Toc443035854 \h </w:instrText>
      </w:r>
      <w:r>
        <w:rPr>
          <w:noProof/>
        </w:rPr>
      </w:r>
      <w:r>
        <w:rPr>
          <w:noProof/>
        </w:rPr>
        <w:fldChar w:fldCharType="separate"/>
      </w:r>
      <w:r>
        <w:rPr>
          <w:noProof/>
        </w:rPr>
        <w:t>50</w:t>
      </w:r>
      <w:r>
        <w:rPr>
          <w:noProof/>
        </w:rPr>
        <w:fldChar w:fldCharType="end"/>
      </w:r>
    </w:p>
    <w:p w:rsidR="005A26F6" w:rsidRPr="00D07295" w:rsidRDefault="005A26F6">
      <w:pPr>
        <w:pStyle w:val="TOC3"/>
        <w:rPr>
          <w:rFonts w:ascii="Calibri" w:hAnsi="Calibri"/>
          <w:noProof/>
          <w:sz w:val="22"/>
          <w:szCs w:val="22"/>
          <w:lang w:val="fr-FR" w:eastAsia="fr-FR"/>
        </w:rPr>
      </w:pPr>
      <w:r>
        <w:rPr>
          <w:noProof/>
        </w:rPr>
        <w:t>8.2.3</w:t>
      </w:r>
      <w:r w:rsidRPr="00D07295">
        <w:rPr>
          <w:rFonts w:ascii="Calibri" w:hAnsi="Calibri"/>
          <w:noProof/>
          <w:sz w:val="22"/>
          <w:szCs w:val="22"/>
          <w:lang w:val="fr-FR" w:eastAsia="fr-FR"/>
        </w:rPr>
        <w:tab/>
      </w:r>
      <w:r>
        <w:rPr>
          <w:noProof/>
        </w:rPr>
        <w:t>Rescue Therapy</w:t>
      </w:r>
      <w:r>
        <w:rPr>
          <w:noProof/>
        </w:rPr>
        <w:tab/>
      </w:r>
      <w:r>
        <w:rPr>
          <w:noProof/>
        </w:rPr>
        <w:fldChar w:fldCharType="begin"/>
      </w:r>
      <w:r>
        <w:rPr>
          <w:noProof/>
        </w:rPr>
        <w:instrText xml:space="preserve"> PAGEREF _Toc443035855 \h </w:instrText>
      </w:r>
      <w:r>
        <w:rPr>
          <w:noProof/>
        </w:rPr>
      </w:r>
      <w:r>
        <w:rPr>
          <w:noProof/>
        </w:rPr>
        <w:fldChar w:fldCharType="separate"/>
      </w:r>
      <w:r>
        <w:rPr>
          <w:noProof/>
        </w:rPr>
        <w:t>50</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8.3</w:t>
      </w:r>
      <w:r w:rsidRPr="00D07295">
        <w:rPr>
          <w:rFonts w:ascii="Calibri" w:hAnsi="Calibri"/>
          <w:caps w:val="0"/>
          <w:noProof/>
          <w:sz w:val="22"/>
          <w:szCs w:val="22"/>
          <w:lang w:val="fr-FR" w:eastAsia="fr-FR"/>
        </w:rPr>
        <w:tab/>
      </w:r>
      <w:r>
        <w:rPr>
          <w:noProof/>
        </w:rPr>
        <w:t>BLINDING PROCEDURES</w:t>
      </w:r>
      <w:r>
        <w:rPr>
          <w:noProof/>
        </w:rPr>
        <w:tab/>
      </w:r>
      <w:r>
        <w:rPr>
          <w:noProof/>
        </w:rPr>
        <w:fldChar w:fldCharType="begin"/>
      </w:r>
      <w:r>
        <w:rPr>
          <w:noProof/>
        </w:rPr>
        <w:instrText xml:space="preserve"> PAGEREF _Toc443035856 \h </w:instrText>
      </w:r>
      <w:r>
        <w:rPr>
          <w:noProof/>
        </w:rPr>
      </w:r>
      <w:r>
        <w:rPr>
          <w:noProof/>
        </w:rPr>
        <w:fldChar w:fldCharType="separate"/>
      </w:r>
      <w:r>
        <w:rPr>
          <w:noProof/>
        </w:rPr>
        <w:t>51</w:t>
      </w:r>
      <w:r>
        <w:rPr>
          <w:noProof/>
        </w:rPr>
        <w:fldChar w:fldCharType="end"/>
      </w:r>
    </w:p>
    <w:p w:rsidR="005A26F6" w:rsidRPr="00D07295" w:rsidRDefault="005A26F6">
      <w:pPr>
        <w:pStyle w:val="TOC3"/>
        <w:rPr>
          <w:rFonts w:ascii="Calibri" w:hAnsi="Calibri"/>
          <w:noProof/>
          <w:sz w:val="22"/>
          <w:szCs w:val="22"/>
          <w:lang w:val="fr-FR" w:eastAsia="fr-FR"/>
        </w:rPr>
      </w:pPr>
      <w:r>
        <w:rPr>
          <w:noProof/>
        </w:rPr>
        <w:t>8.3.1</w:t>
      </w:r>
      <w:r w:rsidRPr="00D07295">
        <w:rPr>
          <w:rFonts w:ascii="Calibri" w:hAnsi="Calibri"/>
          <w:noProof/>
          <w:sz w:val="22"/>
          <w:szCs w:val="22"/>
          <w:lang w:val="fr-FR" w:eastAsia="fr-FR"/>
        </w:rPr>
        <w:tab/>
      </w:r>
      <w:r>
        <w:rPr>
          <w:noProof/>
        </w:rPr>
        <w:t>Methods of blinding</w:t>
      </w:r>
      <w:r>
        <w:rPr>
          <w:noProof/>
        </w:rPr>
        <w:tab/>
      </w:r>
      <w:r>
        <w:rPr>
          <w:noProof/>
        </w:rPr>
        <w:fldChar w:fldCharType="begin"/>
      </w:r>
      <w:r>
        <w:rPr>
          <w:noProof/>
        </w:rPr>
        <w:instrText xml:space="preserve"> PAGEREF _Toc443035857 \h </w:instrText>
      </w:r>
      <w:r>
        <w:rPr>
          <w:noProof/>
        </w:rPr>
      </w:r>
      <w:r>
        <w:rPr>
          <w:noProof/>
        </w:rPr>
        <w:fldChar w:fldCharType="separate"/>
      </w:r>
      <w:r>
        <w:rPr>
          <w:noProof/>
        </w:rPr>
        <w:t>51</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8.4</w:t>
      </w:r>
      <w:r w:rsidRPr="00D07295">
        <w:rPr>
          <w:rFonts w:ascii="Calibri" w:hAnsi="Calibri"/>
          <w:caps w:val="0"/>
          <w:noProof/>
          <w:sz w:val="22"/>
          <w:szCs w:val="22"/>
          <w:lang w:val="fr-FR" w:eastAsia="fr-FR"/>
        </w:rPr>
        <w:tab/>
      </w:r>
      <w:r>
        <w:rPr>
          <w:noProof/>
        </w:rPr>
        <w:t>Method of assigning patients to treatment group</w:t>
      </w:r>
      <w:r>
        <w:rPr>
          <w:noProof/>
        </w:rPr>
        <w:tab/>
      </w:r>
      <w:r>
        <w:rPr>
          <w:noProof/>
        </w:rPr>
        <w:fldChar w:fldCharType="begin"/>
      </w:r>
      <w:r>
        <w:rPr>
          <w:noProof/>
        </w:rPr>
        <w:instrText xml:space="preserve"> PAGEREF _Toc443035858 \h </w:instrText>
      </w:r>
      <w:r>
        <w:rPr>
          <w:noProof/>
        </w:rPr>
      </w:r>
      <w:r>
        <w:rPr>
          <w:noProof/>
        </w:rPr>
        <w:fldChar w:fldCharType="separate"/>
      </w:r>
      <w:r>
        <w:rPr>
          <w:noProof/>
        </w:rPr>
        <w:t>51</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8.5</w:t>
      </w:r>
      <w:r w:rsidRPr="00D07295">
        <w:rPr>
          <w:rFonts w:ascii="Calibri" w:hAnsi="Calibri"/>
          <w:caps w:val="0"/>
          <w:noProof/>
          <w:sz w:val="22"/>
          <w:szCs w:val="22"/>
          <w:lang w:val="fr-FR" w:eastAsia="fr-FR"/>
        </w:rPr>
        <w:tab/>
      </w:r>
      <w:r>
        <w:rPr>
          <w:noProof/>
        </w:rPr>
        <w:t>Packaging and labeling</w:t>
      </w:r>
      <w:r>
        <w:rPr>
          <w:noProof/>
        </w:rPr>
        <w:tab/>
      </w:r>
      <w:r>
        <w:rPr>
          <w:noProof/>
        </w:rPr>
        <w:fldChar w:fldCharType="begin"/>
      </w:r>
      <w:r>
        <w:rPr>
          <w:noProof/>
        </w:rPr>
        <w:instrText xml:space="preserve"> PAGEREF _Toc443035859 \h </w:instrText>
      </w:r>
      <w:r>
        <w:rPr>
          <w:noProof/>
        </w:rPr>
      </w:r>
      <w:r>
        <w:rPr>
          <w:noProof/>
        </w:rPr>
        <w:fldChar w:fldCharType="separate"/>
      </w:r>
      <w:r>
        <w:rPr>
          <w:noProof/>
        </w:rPr>
        <w:t>52</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8.6</w:t>
      </w:r>
      <w:r w:rsidRPr="00D07295">
        <w:rPr>
          <w:rFonts w:ascii="Calibri" w:hAnsi="Calibri"/>
          <w:caps w:val="0"/>
          <w:noProof/>
          <w:sz w:val="22"/>
          <w:szCs w:val="22"/>
          <w:lang w:val="fr-FR" w:eastAsia="fr-FR"/>
        </w:rPr>
        <w:tab/>
      </w:r>
      <w:r>
        <w:rPr>
          <w:noProof/>
        </w:rPr>
        <w:t>Storage conditions and shelf life</w:t>
      </w:r>
      <w:r>
        <w:rPr>
          <w:noProof/>
        </w:rPr>
        <w:tab/>
      </w:r>
      <w:r>
        <w:rPr>
          <w:noProof/>
        </w:rPr>
        <w:fldChar w:fldCharType="begin"/>
      </w:r>
      <w:r>
        <w:rPr>
          <w:noProof/>
        </w:rPr>
        <w:instrText xml:space="preserve"> PAGEREF _Toc443035860 \h </w:instrText>
      </w:r>
      <w:r>
        <w:rPr>
          <w:noProof/>
        </w:rPr>
      </w:r>
      <w:r>
        <w:rPr>
          <w:noProof/>
        </w:rPr>
        <w:fldChar w:fldCharType="separate"/>
      </w:r>
      <w:r>
        <w:rPr>
          <w:noProof/>
        </w:rPr>
        <w:t>53</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8.7</w:t>
      </w:r>
      <w:r w:rsidRPr="00D07295">
        <w:rPr>
          <w:rFonts w:ascii="Calibri" w:hAnsi="Calibri"/>
          <w:caps w:val="0"/>
          <w:noProof/>
          <w:sz w:val="22"/>
          <w:szCs w:val="22"/>
          <w:lang w:val="fr-FR" w:eastAsia="fr-FR"/>
        </w:rPr>
        <w:tab/>
      </w:r>
      <w:r>
        <w:rPr>
          <w:noProof/>
        </w:rPr>
        <w:t>Responsibilities</w:t>
      </w:r>
      <w:r>
        <w:rPr>
          <w:noProof/>
        </w:rPr>
        <w:tab/>
      </w:r>
      <w:r>
        <w:rPr>
          <w:noProof/>
        </w:rPr>
        <w:fldChar w:fldCharType="begin"/>
      </w:r>
      <w:r>
        <w:rPr>
          <w:noProof/>
        </w:rPr>
        <w:instrText xml:space="preserve"> PAGEREF _Toc443035861 \h </w:instrText>
      </w:r>
      <w:r>
        <w:rPr>
          <w:noProof/>
        </w:rPr>
      </w:r>
      <w:r>
        <w:rPr>
          <w:noProof/>
        </w:rPr>
        <w:fldChar w:fldCharType="separate"/>
      </w:r>
      <w:r>
        <w:rPr>
          <w:noProof/>
        </w:rPr>
        <w:t>54</w:t>
      </w:r>
      <w:r>
        <w:rPr>
          <w:noProof/>
        </w:rPr>
        <w:fldChar w:fldCharType="end"/>
      </w:r>
    </w:p>
    <w:p w:rsidR="005A26F6" w:rsidRPr="00D07295" w:rsidRDefault="005A26F6">
      <w:pPr>
        <w:pStyle w:val="TOC3"/>
        <w:rPr>
          <w:rFonts w:ascii="Calibri" w:hAnsi="Calibri"/>
          <w:noProof/>
          <w:sz w:val="22"/>
          <w:szCs w:val="22"/>
          <w:lang w:val="fr-FR" w:eastAsia="fr-FR"/>
        </w:rPr>
      </w:pPr>
      <w:r>
        <w:rPr>
          <w:noProof/>
        </w:rPr>
        <w:t>8.7.1</w:t>
      </w:r>
      <w:r w:rsidRPr="00D07295">
        <w:rPr>
          <w:rFonts w:ascii="Calibri" w:hAnsi="Calibri"/>
          <w:noProof/>
          <w:sz w:val="22"/>
          <w:szCs w:val="22"/>
          <w:lang w:val="fr-FR" w:eastAsia="fr-FR"/>
        </w:rPr>
        <w:tab/>
      </w:r>
      <w:r>
        <w:rPr>
          <w:noProof/>
        </w:rPr>
        <w:t>Treatment accountability and compliance</w:t>
      </w:r>
      <w:r>
        <w:rPr>
          <w:noProof/>
        </w:rPr>
        <w:tab/>
      </w:r>
      <w:r>
        <w:rPr>
          <w:noProof/>
        </w:rPr>
        <w:fldChar w:fldCharType="begin"/>
      </w:r>
      <w:r>
        <w:rPr>
          <w:noProof/>
        </w:rPr>
        <w:instrText xml:space="preserve"> PAGEREF _Toc443035862 \h </w:instrText>
      </w:r>
      <w:r>
        <w:rPr>
          <w:noProof/>
        </w:rPr>
      </w:r>
      <w:r>
        <w:rPr>
          <w:noProof/>
        </w:rPr>
        <w:fldChar w:fldCharType="separate"/>
      </w:r>
      <w:r>
        <w:rPr>
          <w:noProof/>
        </w:rPr>
        <w:t>55</w:t>
      </w:r>
      <w:r>
        <w:rPr>
          <w:noProof/>
        </w:rPr>
        <w:fldChar w:fldCharType="end"/>
      </w:r>
    </w:p>
    <w:p w:rsidR="005A26F6" w:rsidRPr="00D07295" w:rsidRDefault="005A26F6">
      <w:pPr>
        <w:pStyle w:val="TOC3"/>
        <w:rPr>
          <w:rFonts w:ascii="Calibri" w:hAnsi="Calibri"/>
          <w:noProof/>
          <w:sz w:val="22"/>
          <w:szCs w:val="22"/>
          <w:lang w:val="fr-FR" w:eastAsia="fr-FR"/>
        </w:rPr>
      </w:pPr>
      <w:r>
        <w:rPr>
          <w:noProof/>
        </w:rPr>
        <w:t>8.7.2</w:t>
      </w:r>
      <w:r w:rsidRPr="00D07295">
        <w:rPr>
          <w:rFonts w:ascii="Calibri" w:hAnsi="Calibri"/>
          <w:noProof/>
          <w:sz w:val="22"/>
          <w:szCs w:val="22"/>
          <w:lang w:val="fr-FR" w:eastAsia="fr-FR"/>
        </w:rPr>
        <w:tab/>
      </w:r>
      <w:r>
        <w:rPr>
          <w:noProof/>
        </w:rPr>
        <w:t>Return and/or destruction of treatments</w:t>
      </w:r>
      <w:r>
        <w:rPr>
          <w:noProof/>
        </w:rPr>
        <w:tab/>
      </w:r>
      <w:r>
        <w:rPr>
          <w:noProof/>
        </w:rPr>
        <w:fldChar w:fldCharType="begin"/>
      </w:r>
      <w:r>
        <w:rPr>
          <w:noProof/>
        </w:rPr>
        <w:instrText xml:space="preserve"> PAGEREF _Toc443035863 \h </w:instrText>
      </w:r>
      <w:r>
        <w:rPr>
          <w:noProof/>
        </w:rPr>
      </w:r>
      <w:r>
        <w:rPr>
          <w:noProof/>
        </w:rPr>
        <w:fldChar w:fldCharType="separate"/>
      </w:r>
      <w:r>
        <w:rPr>
          <w:noProof/>
        </w:rPr>
        <w:t>55</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8.8</w:t>
      </w:r>
      <w:r w:rsidRPr="00D07295">
        <w:rPr>
          <w:rFonts w:ascii="Calibri" w:hAnsi="Calibri"/>
          <w:caps w:val="0"/>
          <w:noProof/>
          <w:sz w:val="22"/>
          <w:szCs w:val="22"/>
          <w:lang w:val="fr-FR" w:eastAsia="fr-FR"/>
        </w:rPr>
        <w:tab/>
      </w:r>
      <w:r>
        <w:rPr>
          <w:noProof/>
        </w:rPr>
        <w:t>Concomitant medication</w:t>
      </w:r>
      <w:r>
        <w:rPr>
          <w:noProof/>
        </w:rPr>
        <w:tab/>
      </w:r>
      <w:r>
        <w:rPr>
          <w:noProof/>
        </w:rPr>
        <w:fldChar w:fldCharType="begin"/>
      </w:r>
      <w:r>
        <w:rPr>
          <w:noProof/>
        </w:rPr>
        <w:instrText xml:space="preserve"> PAGEREF _Toc443035864 \h </w:instrText>
      </w:r>
      <w:r>
        <w:rPr>
          <w:noProof/>
        </w:rPr>
      </w:r>
      <w:r>
        <w:rPr>
          <w:noProof/>
        </w:rPr>
        <w:fldChar w:fldCharType="separate"/>
      </w:r>
      <w:r>
        <w:rPr>
          <w:noProof/>
        </w:rPr>
        <w:t>55</w:t>
      </w:r>
      <w:r>
        <w:rPr>
          <w:noProof/>
        </w:rPr>
        <w:fldChar w:fldCharType="end"/>
      </w:r>
    </w:p>
    <w:p w:rsidR="005A26F6" w:rsidRPr="00D07295" w:rsidRDefault="005A26F6">
      <w:pPr>
        <w:pStyle w:val="TOC3"/>
        <w:rPr>
          <w:rFonts w:ascii="Calibri" w:hAnsi="Calibri"/>
          <w:noProof/>
          <w:sz w:val="22"/>
          <w:szCs w:val="22"/>
          <w:lang w:val="fr-FR" w:eastAsia="fr-FR"/>
        </w:rPr>
      </w:pPr>
      <w:r>
        <w:rPr>
          <w:noProof/>
        </w:rPr>
        <w:t>8.8.1</w:t>
      </w:r>
      <w:r w:rsidRPr="00D07295">
        <w:rPr>
          <w:rFonts w:ascii="Calibri" w:hAnsi="Calibri"/>
          <w:noProof/>
          <w:sz w:val="22"/>
          <w:szCs w:val="22"/>
          <w:lang w:val="fr-FR" w:eastAsia="fr-FR"/>
        </w:rPr>
        <w:tab/>
      </w:r>
      <w:r>
        <w:rPr>
          <w:noProof/>
        </w:rPr>
        <w:t>Allowed concomitant therapy</w:t>
      </w:r>
      <w:r>
        <w:rPr>
          <w:noProof/>
        </w:rPr>
        <w:tab/>
      </w:r>
      <w:r>
        <w:rPr>
          <w:noProof/>
        </w:rPr>
        <w:fldChar w:fldCharType="begin"/>
      </w:r>
      <w:r>
        <w:rPr>
          <w:noProof/>
        </w:rPr>
        <w:instrText xml:space="preserve"> PAGEREF _Toc443035865 \h </w:instrText>
      </w:r>
      <w:r>
        <w:rPr>
          <w:noProof/>
        </w:rPr>
      </w:r>
      <w:r>
        <w:rPr>
          <w:noProof/>
        </w:rPr>
        <w:fldChar w:fldCharType="separate"/>
      </w:r>
      <w:r>
        <w:rPr>
          <w:noProof/>
        </w:rPr>
        <w:t>55</w:t>
      </w:r>
      <w:r>
        <w:rPr>
          <w:noProof/>
        </w:rPr>
        <w:fldChar w:fldCharType="end"/>
      </w:r>
    </w:p>
    <w:p w:rsidR="005A26F6" w:rsidRPr="00D07295" w:rsidRDefault="005A26F6">
      <w:pPr>
        <w:pStyle w:val="TOC3"/>
        <w:rPr>
          <w:rFonts w:ascii="Calibri" w:hAnsi="Calibri"/>
          <w:noProof/>
          <w:sz w:val="22"/>
          <w:szCs w:val="22"/>
          <w:lang w:val="fr-FR" w:eastAsia="fr-FR"/>
        </w:rPr>
      </w:pPr>
      <w:r>
        <w:rPr>
          <w:noProof/>
        </w:rPr>
        <w:t>8.8.2</w:t>
      </w:r>
      <w:r w:rsidRPr="00D07295">
        <w:rPr>
          <w:rFonts w:ascii="Calibri" w:hAnsi="Calibri"/>
          <w:noProof/>
          <w:sz w:val="22"/>
          <w:szCs w:val="22"/>
          <w:lang w:val="fr-FR" w:eastAsia="fr-FR"/>
        </w:rPr>
        <w:tab/>
      </w:r>
      <w:r>
        <w:rPr>
          <w:noProof/>
        </w:rPr>
        <w:t>Concomitant diabetes therapy</w:t>
      </w:r>
      <w:r>
        <w:rPr>
          <w:noProof/>
        </w:rPr>
        <w:tab/>
      </w:r>
      <w:r>
        <w:rPr>
          <w:noProof/>
        </w:rPr>
        <w:fldChar w:fldCharType="begin"/>
      </w:r>
      <w:r>
        <w:rPr>
          <w:noProof/>
        </w:rPr>
        <w:instrText xml:space="preserve"> PAGEREF _Toc443035866 \h </w:instrText>
      </w:r>
      <w:r>
        <w:rPr>
          <w:noProof/>
        </w:rPr>
      </w:r>
      <w:r>
        <w:rPr>
          <w:noProof/>
        </w:rPr>
        <w:fldChar w:fldCharType="separate"/>
      </w:r>
      <w:r>
        <w:rPr>
          <w:noProof/>
        </w:rPr>
        <w:t>56</w:t>
      </w:r>
      <w:r>
        <w:rPr>
          <w:noProof/>
        </w:rPr>
        <w:fldChar w:fldCharType="end"/>
      </w:r>
    </w:p>
    <w:p w:rsidR="005A26F6" w:rsidRPr="00D07295" w:rsidRDefault="005A26F6">
      <w:pPr>
        <w:pStyle w:val="TOC3"/>
        <w:rPr>
          <w:rFonts w:ascii="Calibri" w:hAnsi="Calibri"/>
          <w:noProof/>
          <w:sz w:val="22"/>
          <w:szCs w:val="22"/>
          <w:lang w:val="fr-FR" w:eastAsia="fr-FR"/>
        </w:rPr>
      </w:pPr>
      <w:r>
        <w:rPr>
          <w:noProof/>
        </w:rPr>
        <w:t>8.8.3</w:t>
      </w:r>
      <w:r w:rsidRPr="00D07295">
        <w:rPr>
          <w:rFonts w:ascii="Calibri" w:hAnsi="Calibri"/>
          <w:noProof/>
          <w:sz w:val="22"/>
          <w:szCs w:val="22"/>
          <w:lang w:val="fr-FR" w:eastAsia="fr-FR"/>
        </w:rPr>
        <w:tab/>
      </w:r>
      <w:r>
        <w:rPr>
          <w:noProof/>
        </w:rPr>
        <w:t>Prohibited concomitant therapy</w:t>
      </w:r>
      <w:r>
        <w:rPr>
          <w:noProof/>
        </w:rPr>
        <w:tab/>
      </w:r>
      <w:r>
        <w:rPr>
          <w:noProof/>
        </w:rPr>
        <w:fldChar w:fldCharType="begin"/>
      </w:r>
      <w:r>
        <w:rPr>
          <w:noProof/>
        </w:rPr>
        <w:instrText xml:space="preserve"> PAGEREF _Toc443035867 \h </w:instrText>
      </w:r>
      <w:r>
        <w:rPr>
          <w:noProof/>
        </w:rPr>
      </w:r>
      <w:r>
        <w:rPr>
          <w:noProof/>
        </w:rPr>
        <w:fldChar w:fldCharType="separate"/>
      </w:r>
      <w:r>
        <w:rPr>
          <w:noProof/>
        </w:rPr>
        <w:t>56</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9</w:t>
      </w:r>
      <w:r w:rsidRPr="00D07295">
        <w:rPr>
          <w:rFonts w:ascii="Calibri" w:hAnsi="Calibri"/>
          <w:b w:val="0"/>
          <w:caps w:val="0"/>
          <w:noProof/>
          <w:sz w:val="22"/>
          <w:szCs w:val="22"/>
          <w:lang w:val="fr-FR" w:eastAsia="fr-FR"/>
        </w:rPr>
        <w:tab/>
      </w:r>
      <w:r>
        <w:rPr>
          <w:noProof/>
        </w:rPr>
        <w:t>Assessment of Investigational medicinal Product</w:t>
      </w:r>
      <w:r>
        <w:rPr>
          <w:noProof/>
        </w:rPr>
        <w:tab/>
      </w:r>
      <w:r>
        <w:rPr>
          <w:noProof/>
        </w:rPr>
        <w:fldChar w:fldCharType="begin"/>
      </w:r>
      <w:r>
        <w:rPr>
          <w:noProof/>
        </w:rPr>
        <w:instrText xml:space="preserve"> PAGEREF _Toc443035868 \h </w:instrText>
      </w:r>
      <w:r>
        <w:rPr>
          <w:noProof/>
        </w:rPr>
      </w:r>
      <w:r>
        <w:rPr>
          <w:noProof/>
        </w:rPr>
        <w:fldChar w:fldCharType="separate"/>
      </w:r>
      <w:r>
        <w:rPr>
          <w:noProof/>
        </w:rPr>
        <w:t>57</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9.1</w:t>
      </w:r>
      <w:r w:rsidRPr="00D07295">
        <w:rPr>
          <w:rFonts w:ascii="Calibri" w:hAnsi="Calibri"/>
          <w:caps w:val="0"/>
          <w:noProof/>
          <w:sz w:val="22"/>
          <w:szCs w:val="22"/>
          <w:lang w:val="fr-FR" w:eastAsia="fr-FR"/>
        </w:rPr>
        <w:tab/>
      </w:r>
      <w:r>
        <w:rPr>
          <w:noProof/>
        </w:rPr>
        <w:t>Primary endpoint</w:t>
      </w:r>
      <w:r>
        <w:rPr>
          <w:noProof/>
        </w:rPr>
        <w:tab/>
      </w:r>
      <w:r>
        <w:rPr>
          <w:noProof/>
        </w:rPr>
        <w:fldChar w:fldCharType="begin"/>
      </w:r>
      <w:r>
        <w:rPr>
          <w:noProof/>
        </w:rPr>
        <w:instrText xml:space="preserve"> PAGEREF _Toc443035869 \h </w:instrText>
      </w:r>
      <w:r>
        <w:rPr>
          <w:noProof/>
        </w:rPr>
      </w:r>
      <w:r>
        <w:rPr>
          <w:noProof/>
        </w:rPr>
        <w:fldChar w:fldCharType="separate"/>
      </w:r>
      <w:r>
        <w:rPr>
          <w:noProof/>
        </w:rPr>
        <w:t>57</w:t>
      </w:r>
      <w:r>
        <w:rPr>
          <w:noProof/>
        </w:rPr>
        <w:fldChar w:fldCharType="end"/>
      </w:r>
    </w:p>
    <w:p w:rsidR="005A26F6" w:rsidRPr="00D07295" w:rsidRDefault="005A26F6">
      <w:pPr>
        <w:pStyle w:val="TOC3"/>
        <w:rPr>
          <w:rFonts w:ascii="Calibri" w:hAnsi="Calibri"/>
          <w:noProof/>
          <w:sz w:val="22"/>
          <w:szCs w:val="22"/>
          <w:lang w:val="fr-FR" w:eastAsia="fr-FR"/>
        </w:rPr>
      </w:pPr>
      <w:r>
        <w:rPr>
          <w:noProof/>
        </w:rPr>
        <w:t>9.1.1</w:t>
      </w:r>
      <w:r w:rsidRPr="00D07295">
        <w:rPr>
          <w:rFonts w:ascii="Calibri" w:hAnsi="Calibri"/>
          <w:noProof/>
          <w:sz w:val="22"/>
          <w:szCs w:val="22"/>
          <w:lang w:val="fr-FR" w:eastAsia="fr-FR"/>
        </w:rPr>
        <w:tab/>
      </w:r>
      <w:r>
        <w:rPr>
          <w:noProof/>
        </w:rPr>
        <w:t>Primary efficacy endpoint</w:t>
      </w:r>
      <w:r>
        <w:rPr>
          <w:noProof/>
        </w:rPr>
        <w:tab/>
      </w:r>
      <w:r>
        <w:rPr>
          <w:noProof/>
        </w:rPr>
        <w:fldChar w:fldCharType="begin"/>
      </w:r>
      <w:r>
        <w:rPr>
          <w:noProof/>
        </w:rPr>
        <w:instrText xml:space="preserve"> PAGEREF _Toc443035870 \h </w:instrText>
      </w:r>
      <w:r>
        <w:rPr>
          <w:noProof/>
        </w:rPr>
      </w:r>
      <w:r>
        <w:rPr>
          <w:noProof/>
        </w:rPr>
        <w:fldChar w:fldCharType="separate"/>
      </w:r>
      <w:r>
        <w:rPr>
          <w:noProof/>
        </w:rPr>
        <w:t>57</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9.2</w:t>
      </w:r>
      <w:r w:rsidRPr="00D07295">
        <w:rPr>
          <w:rFonts w:ascii="Calibri" w:hAnsi="Calibri"/>
          <w:caps w:val="0"/>
          <w:noProof/>
          <w:sz w:val="22"/>
          <w:szCs w:val="22"/>
          <w:lang w:val="fr-FR" w:eastAsia="fr-FR"/>
        </w:rPr>
        <w:tab/>
      </w:r>
      <w:r>
        <w:rPr>
          <w:noProof/>
        </w:rPr>
        <w:t>Secondary endpoints</w:t>
      </w:r>
      <w:r>
        <w:rPr>
          <w:noProof/>
        </w:rPr>
        <w:tab/>
      </w:r>
      <w:r>
        <w:rPr>
          <w:noProof/>
        </w:rPr>
        <w:fldChar w:fldCharType="begin"/>
      </w:r>
      <w:r>
        <w:rPr>
          <w:noProof/>
        </w:rPr>
        <w:instrText xml:space="preserve"> PAGEREF _Toc443035871 \h </w:instrText>
      </w:r>
      <w:r>
        <w:rPr>
          <w:noProof/>
        </w:rPr>
      </w:r>
      <w:r>
        <w:rPr>
          <w:noProof/>
        </w:rPr>
        <w:fldChar w:fldCharType="separate"/>
      </w:r>
      <w:r>
        <w:rPr>
          <w:noProof/>
        </w:rPr>
        <w:t>57</w:t>
      </w:r>
      <w:r>
        <w:rPr>
          <w:noProof/>
        </w:rPr>
        <w:fldChar w:fldCharType="end"/>
      </w:r>
    </w:p>
    <w:p w:rsidR="005A26F6" w:rsidRPr="00D07295" w:rsidRDefault="005A26F6">
      <w:pPr>
        <w:pStyle w:val="TOC3"/>
        <w:rPr>
          <w:rFonts w:ascii="Calibri" w:hAnsi="Calibri"/>
          <w:noProof/>
          <w:sz w:val="22"/>
          <w:szCs w:val="22"/>
          <w:lang w:val="fr-FR" w:eastAsia="fr-FR"/>
        </w:rPr>
      </w:pPr>
      <w:r>
        <w:rPr>
          <w:noProof/>
        </w:rPr>
        <w:lastRenderedPageBreak/>
        <w:t>9.2.1</w:t>
      </w:r>
      <w:r w:rsidRPr="00D07295">
        <w:rPr>
          <w:rFonts w:ascii="Calibri" w:hAnsi="Calibri"/>
          <w:noProof/>
          <w:sz w:val="22"/>
          <w:szCs w:val="22"/>
          <w:lang w:val="fr-FR" w:eastAsia="fr-FR"/>
        </w:rPr>
        <w:tab/>
      </w:r>
      <w:r>
        <w:rPr>
          <w:noProof/>
        </w:rPr>
        <w:t>Secondary efficacy endpoint(s)</w:t>
      </w:r>
      <w:r>
        <w:rPr>
          <w:noProof/>
        </w:rPr>
        <w:tab/>
      </w:r>
      <w:r>
        <w:rPr>
          <w:noProof/>
        </w:rPr>
        <w:fldChar w:fldCharType="begin"/>
      </w:r>
      <w:r>
        <w:rPr>
          <w:noProof/>
        </w:rPr>
        <w:instrText xml:space="preserve"> PAGEREF _Toc443035872 \h </w:instrText>
      </w:r>
      <w:r>
        <w:rPr>
          <w:noProof/>
        </w:rPr>
      </w:r>
      <w:r>
        <w:rPr>
          <w:noProof/>
        </w:rPr>
        <w:fldChar w:fldCharType="separate"/>
      </w:r>
      <w:r>
        <w:rPr>
          <w:noProof/>
        </w:rPr>
        <w:t>57</w:t>
      </w:r>
      <w:r>
        <w:rPr>
          <w:noProof/>
        </w:rPr>
        <w:fldChar w:fldCharType="end"/>
      </w:r>
    </w:p>
    <w:p w:rsidR="005A26F6" w:rsidRPr="00D07295" w:rsidRDefault="005A26F6">
      <w:pPr>
        <w:pStyle w:val="TOC4"/>
        <w:rPr>
          <w:rFonts w:ascii="Calibri" w:hAnsi="Calibri"/>
          <w:noProof/>
          <w:sz w:val="22"/>
          <w:lang w:val="fr-FR" w:eastAsia="fr-FR"/>
        </w:rPr>
      </w:pPr>
      <w:r>
        <w:rPr>
          <w:noProof/>
        </w:rPr>
        <w:t>9.2.1.1</w:t>
      </w:r>
      <w:r w:rsidRPr="00D07295">
        <w:rPr>
          <w:rFonts w:ascii="Calibri" w:hAnsi="Calibri"/>
          <w:noProof/>
          <w:sz w:val="22"/>
          <w:lang w:val="fr-FR" w:eastAsia="fr-FR"/>
        </w:rPr>
        <w:tab/>
      </w:r>
      <w:r>
        <w:rPr>
          <w:noProof/>
        </w:rPr>
        <w:t>Observation period of efficacy endpoints</w:t>
      </w:r>
      <w:r>
        <w:rPr>
          <w:noProof/>
        </w:rPr>
        <w:tab/>
      </w:r>
      <w:r>
        <w:rPr>
          <w:noProof/>
        </w:rPr>
        <w:fldChar w:fldCharType="begin"/>
      </w:r>
      <w:r>
        <w:rPr>
          <w:noProof/>
        </w:rPr>
        <w:instrText xml:space="preserve"> PAGEREF _Toc443035873 \h </w:instrText>
      </w:r>
      <w:r>
        <w:rPr>
          <w:noProof/>
        </w:rPr>
      </w:r>
      <w:r>
        <w:rPr>
          <w:noProof/>
        </w:rPr>
        <w:fldChar w:fldCharType="separate"/>
      </w:r>
      <w:r>
        <w:rPr>
          <w:noProof/>
        </w:rPr>
        <w:t>57</w:t>
      </w:r>
      <w:r>
        <w:rPr>
          <w:noProof/>
        </w:rPr>
        <w:fldChar w:fldCharType="end"/>
      </w:r>
    </w:p>
    <w:p w:rsidR="005A26F6" w:rsidRPr="00D07295" w:rsidRDefault="005A26F6">
      <w:pPr>
        <w:pStyle w:val="TOC4"/>
        <w:rPr>
          <w:rFonts w:ascii="Calibri" w:hAnsi="Calibri"/>
          <w:noProof/>
          <w:sz w:val="22"/>
          <w:lang w:val="fr-FR" w:eastAsia="fr-FR"/>
        </w:rPr>
      </w:pPr>
      <w:r>
        <w:rPr>
          <w:noProof/>
        </w:rPr>
        <w:t>9.2.1.2</w:t>
      </w:r>
      <w:r w:rsidRPr="00D07295">
        <w:rPr>
          <w:rFonts w:ascii="Calibri" w:hAnsi="Calibri"/>
          <w:noProof/>
          <w:sz w:val="22"/>
          <w:lang w:val="fr-FR" w:eastAsia="fr-FR"/>
        </w:rPr>
        <w:tab/>
      </w:r>
      <w:r>
        <w:rPr>
          <w:noProof/>
        </w:rPr>
        <w:t>Efficacy Assessment Methods</w:t>
      </w:r>
      <w:r>
        <w:rPr>
          <w:noProof/>
        </w:rPr>
        <w:tab/>
      </w:r>
      <w:r>
        <w:rPr>
          <w:noProof/>
        </w:rPr>
        <w:fldChar w:fldCharType="begin"/>
      </w:r>
      <w:r>
        <w:rPr>
          <w:noProof/>
        </w:rPr>
        <w:instrText xml:space="preserve"> PAGEREF _Toc443035874 \h </w:instrText>
      </w:r>
      <w:r>
        <w:rPr>
          <w:noProof/>
        </w:rPr>
      </w:r>
      <w:r>
        <w:rPr>
          <w:noProof/>
        </w:rPr>
        <w:fldChar w:fldCharType="separate"/>
      </w:r>
      <w:r>
        <w:rPr>
          <w:noProof/>
        </w:rPr>
        <w:t>57</w:t>
      </w:r>
      <w:r>
        <w:rPr>
          <w:noProof/>
        </w:rPr>
        <w:fldChar w:fldCharType="end"/>
      </w:r>
    </w:p>
    <w:p w:rsidR="005A26F6" w:rsidRPr="00D07295" w:rsidRDefault="005A26F6">
      <w:pPr>
        <w:pStyle w:val="TOC3"/>
        <w:rPr>
          <w:rFonts w:ascii="Calibri" w:hAnsi="Calibri"/>
          <w:noProof/>
          <w:sz w:val="22"/>
          <w:szCs w:val="22"/>
          <w:lang w:val="fr-FR" w:eastAsia="fr-FR"/>
        </w:rPr>
      </w:pPr>
      <w:r>
        <w:rPr>
          <w:noProof/>
        </w:rPr>
        <w:t>9.2.2</w:t>
      </w:r>
      <w:r w:rsidRPr="00D07295">
        <w:rPr>
          <w:rFonts w:ascii="Calibri" w:hAnsi="Calibri"/>
          <w:noProof/>
          <w:sz w:val="22"/>
          <w:szCs w:val="22"/>
          <w:lang w:val="fr-FR" w:eastAsia="fr-FR"/>
        </w:rPr>
        <w:tab/>
      </w:r>
      <w:r>
        <w:rPr>
          <w:noProof/>
        </w:rPr>
        <w:t>Safety endpoints</w:t>
      </w:r>
      <w:r>
        <w:rPr>
          <w:noProof/>
        </w:rPr>
        <w:tab/>
      </w:r>
      <w:r>
        <w:rPr>
          <w:noProof/>
        </w:rPr>
        <w:fldChar w:fldCharType="begin"/>
      </w:r>
      <w:r>
        <w:rPr>
          <w:noProof/>
        </w:rPr>
        <w:instrText xml:space="preserve"> PAGEREF _Toc443035875 \h </w:instrText>
      </w:r>
      <w:r>
        <w:rPr>
          <w:noProof/>
        </w:rPr>
      </w:r>
      <w:r>
        <w:rPr>
          <w:noProof/>
        </w:rPr>
        <w:fldChar w:fldCharType="separate"/>
      </w:r>
      <w:r>
        <w:rPr>
          <w:noProof/>
        </w:rPr>
        <w:t>62</w:t>
      </w:r>
      <w:r>
        <w:rPr>
          <w:noProof/>
        </w:rPr>
        <w:fldChar w:fldCharType="end"/>
      </w:r>
    </w:p>
    <w:p w:rsidR="005A26F6" w:rsidRPr="00D07295" w:rsidRDefault="005A26F6">
      <w:pPr>
        <w:pStyle w:val="TOC4"/>
        <w:rPr>
          <w:rFonts w:ascii="Calibri" w:hAnsi="Calibri"/>
          <w:noProof/>
          <w:sz w:val="22"/>
          <w:lang w:val="fr-FR" w:eastAsia="fr-FR"/>
        </w:rPr>
      </w:pPr>
      <w:r>
        <w:rPr>
          <w:noProof/>
        </w:rPr>
        <w:t>9.2.2.1</w:t>
      </w:r>
      <w:r w:rsidRPr="00D07295">
        <w:rPr>
          <w:rFonts w:ascii="Calibri" w:hAnsi="Calibri"/>
          <w:noProof/>
          <w:sz w:val="22"/>
          <w:lang w:val="fr-FR" w:eastAsia="fr-FR"/>
        </w:rPr>
        <w:tab/>
      </w:r>
      <w:r>
        <w:rPr>
          <w:noProof/>
        </w:rPr>
        <w:t>Symptomatic hypoglycemia</w:t>
      </w:r>
      <w:r>
        <w:rPr>
          <w:noProof/>
        </w:rPr>
        <w:tab/>
      </w:r>
      <w:r>
        <w:rPr>
          <w:noProof/>
        </w:rPr>
        <w:fldChar w:fldCharType="begin"/>
      </w:r>
      <w:r>
        <w:rPr>
          <w:noProof/>
        </w:rPr>
        <w:instrText xml:space="preserve"> PAGEREF _Toc443035876 \h </w:instrText>
      </w:r>
      <w:r>
        <w:rPr>
          <w:noProof/>
        </w:rPr>
      </w:r>
      <w:r>
        <w:rPr>
          <w:noProof/>
        </w:rPr>
        <w:fldChar w:fldCharType="separate"/>
      </w:r>
      <w:r>
        <w:rPr>
          <w:noProof/>
        </w:rPr>
        <w:t>63</w:t>
      </w:r>
      <w:r>
        <w:rPr>
          <w:noProof/>
        </w:rPr>
        <w:fldChar w:fldCharType="end"/>
      </w:r>
    </w:p>
    <w:p w:rsidR="005A26F6" w:rsidRPr="00D07295" w:rsidRDefault="005A26F6">
      <w:pPr>
        <w:pStyle w:val="TOC4"/>
        <w:rPr>
          <w:rFonts w:ascii="Calibri" w:hAnsi="Calibri"/>
          <w:noProof/>
          <w:sz w:val="22"/>
          <w:lang w:val="fr-FR" w:eastAsia="fr-FR"/>
        </w:rPr>
      </w:pPr>
      <w:r>
        <w:rPr>
          <w:noProof/>
        </w:rPr>
        <w:t>9.2.2.2</w:t>
      </w:r>
      <w:r w:rsidRPr="00D07295">
        <w:rPr>
          <w:rFonts w:ascii="Calibri" w:hAnsi="Calibri"/>
          <w:noProof/>
          <w:sz w:val="22"/>
          <w:lang w:val="fr-FR" w:eastAsia="fr-FR"/>
        </w:rPr>
        <w:tab/>
      </w:r>
      <w:r>
        <w:rPr>
          <w:noProof/>
        </w:rPr>
        <w:t>Adverse events</w:t>
      </w:r>
      <w:r>
        <w:rPr>
          <w:noProof/>
        </w:rPr>
        <w:tab/>
      </w:r>
      <w:r>
        <w:rPr>
          <w:noProof/>
        </w:rPr>
        <w:fldChar w:fldCharType="begin"/>
      </w:r>
      <w:r>
        <w:rPr>
          <w:noProof/>
        </w:rPr>
        <w:instrText xml:space="preserve"> PAGEREF _Toc443035877 \h </w:instrText>
      </w:r>
      <w:r>
        <w:rPr>
          <w:noProof/>
        </w:rPr>
      </w:r>
      <w:r>
        <w:rPr>
          <w:noProof/>
        </w:rPr>
        <w:fldChar w:fldCharType="separate"/>
      </w:r>
      <w:r>
        <w:rPr>
          <w:noProof/>
        </w:rPr>
        <w:t>63</w:t>
      </w:r>
      <w:r>
        <w:rPr>
          <w:noProof/>
        </w:rPr>
        <w:fldChar w:fldCharType="end"/>
      </w:r>
    </w:p>
    <w:p w:rsidR="005A26F6" w:rsidRPr="00D07295" w:rsidRDefault="005A26F6">
      <w:pPr>
        <w:pStyle w:val="TOC4"/>
        <w:rPr>
          <w:rFonts w:ascii="Calibri" w:hAnsi="Calibri"/>
          <w:noProof/>
          <w:sz w:val="22"/>
          <w:lang w:val="fr-FR" w:eastAsia="fr-FR"/>
        </w:rPr>
      </w:pPr>
      <w:r>
        <w:rPr>
          <w:noProof/>
        </w:rPr>
        <w:t>9.2.2.3</w:t>
      </w:r>
      <w:r w:rsidRPr="00D07295">
        <w:rPr>
          <w:rFonts w:ascii="Calibri" w:hAnsi="Calibri"/>
          <w:noProof/>
          <w:sz w:val="22"/>
          <w:lang w:val="fr-FR" w:eastAsia="fr-FR"/>
        </w:rPr>
        <w:tab/>
      </w:r>
      <w:r>
        <w:rPr>
          <w:noProof/>
        </w:rPr>
        <w:t>Laboratory safety variables</w:t>
      </w:r>
      <w:r>
        <w:rPr>
          <w:noProof/>
        </w:rPr>
        <w:tab/>
      </w:r>
      <w:r>
        <w:rPr>
          <w:noProof/>
        </w:rPr>
        <w:fldChar w:fldCharType="begin"/>
      </w:r>
      <w:r>
        <w:rPr>
          <w:noProof/>
        </w:rPr>
        <w:instrText xml:space="preserve"> PAGEREF _Toc443035878 \h </w:instrText>
      </w:r>
      <w:r>
        <w:rPr>
          <w:noProof/>
        </w:rPr>
      </w:r>
      <w:r>
        <w:rPr>
          <w:noProof/>
        </w:rPr>
        <w:fldChar w:fldCharType="separate"/>
      </w:r>
      <w:r>
        <w:rPr>
          <w:noProof/>
        </w:rPr>
        <w:t>63</w:t>
      </w:r>
      <w:r>
        <w:rPr>
          <w:noProof/>
        </w:rPr>
        <w:fldChar w:fldCharType="end"/>
      </w:r>
    </w:p>
    <w:p w:rsidR="005A26F6" w:rsidRPr="00D07295" w:rsidRDefault="005A26F6">
      <w:pPr>
        <w:pStyle w:val="TOC4"/>
        <w:rPr>
          <w:rFonts w:ascii="Calibri" w:hAnsi="Calibri"/>
          <w:noProof/>
          <w:sz w:val="22"/>
          <w:lang w:val="fr-FR" w:eastAsia="fr-FR"/>
        </w:rPr>
      </w:pPr>
      <w:r>
        <w:rPr>
          <w:noProof/>
        </w:rPr>
        <w:t>9.2.2.4</w:t>
      </w:r>
      <w:r w:rsidRPr="00D07295">
        <w:rPr>
          <w:rFonts w:ascii="Calibri" w:hAnsi="Calibri"/>
          <w:noProof/>
          <w:sz w:val="22"/>
          <w:lang w:val="fr-FR" w:eastAsia="fr-FR"/>
        </w:rPr>
        <w:tab/>
      </w:r>
      <w:r>
        <w:rPr>
          <w:noProof/>
        </w:rPr>
        <w:t>Vital signs and physical examination</w:t>
      </w:r>
      <w:r>
        <w:rPr>
          <w:noProof/>
        </w:rPr>
        <w:tab/>
      </w:r>
      <w:r>
        <w:rPr>
          <w:noProof/>
        </w:rPr>
        <w:fldChar w:fldCharType="begin"/>
      </w:r>
      <w:r>
        <w:rPr>
          <w:noProof/>
        </w:rPr>
        <w:instrText xml:space="preserve"> PAGEREF _Toc443035879 \h </w:instrText>
      </w:r>
      <w:r>
        <w:rPr>
          <w:noProof/>
        </w:rPr>
      </w:r>
      <w:r>
        <w:rPr>
          <w:noProof/>
        </w:rPr>
        <w:fldChar w:fldCharType="separate"/>
      </w:r>
      <w:r>
        <w:rPr>
          <w:noProof/>
        </w:rPr>
        <w:t>64</w:t>
      </w:r>
      <w:r>
        <w:rPr>
          <w:noProof/>
        </w:rPr>
        <w:fldChar w:fldCharType="end"/>
      </w:r>
    </w:p>
    <w:p w:rsidR="005A26F6" w:rsidRPr="00D07295" w:rsidRDefault="005A26F6">
      <w:pPr>
        <w:pStyle w:val="TOC4"/>
        <w:rPr>
          <w:rFonts w:ascii="Calibri" w:hAnsi="Calibri"/>
          <w:noProof/>
          <w:sz w:val="22"/>
          <w:lang w:val="fr-FR" w:eastAsia="fr-FR"/>
        </w:rPr>
      </w:pPr>
      <w:r>
        <w:rPr>
          <w:noProof/>
        </w:rPr>
        <w:t>9.2.2.5</w:t>
      </w:r>
      <w:r w:rsidRPr="00D07295">
        <w:rPr>
          <w:rFonts w:ascii="Calibri" w:hAnsi="Calibri"/>
          <w:noProof/>
          <w:sz w:val="22"/>
          <w:lang w:val="fr-FR" w:eastAsia="fr-FR"/>
        </w:rPr>
        <w:tab/>
      </w:r>
      <w:r>
        <w:rPr>
          <w:noProof/>
        </w:rPr>
        <w:t>Electrocardiogram variables</w:t>
      </w:r>
      <w:r>
        <w:rPr>
          <w:noProof/>
        </w:rPr>
        <w:tab/>
      </w:r>
      <w:r>
        <w:rPr>
          <w:noProof/>
        </w:rPr>
        <w:fldChar w:fldCharType="begin"/>
      </w:r>
      <w:r>
        <w:rPr>
          <w:noProof/>
        </w:rPr>
        <w:instrText xml:space="preserve"> PAGEREF _Toc443035880 \h </w:instrText>
      </w:r>
      <w:r>
        <w:rPr>
          <w:noProof/>
        </w:rPr>
      </w:r>
      <w:r>
        <w:rPr>
          <w:noProof/>
        </w:rPr>
        <w:fldChar w:fldCharType="separate"/>
      </w:r>
      <w:r>
        <w:rPr>
          <w:noProof/>
        </w:rPr>
        <w:t>64</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9.3</w:t>
      </w:r>
      <w:r w:rsidRPr="00D07295">
        <w:rPr>
          <w:rFonts w:ascii="Calibri" w:hAnsi="Calibri"/>
          <w:caps w:val="0"/>
          <w:noProof/>
          <w:sz w:val="22"/>
          <w:szCs w:val="22"/>
          <w:lang w:val="fr-FR" w:eastAsia="fr-FR"/>
        </w:rPr>
        <w:tab/>
      </w:r>
      <w:r>
        <w:rPr>
          <w:noProof/>
        </w:rPr>
        <w:t>Other endpoints</w:t>
      </w:r>
      <w:r>
        <w:rPr>
          <w:noProof/>
        </w:rPr>
        <w:tab/>
      </w:r>
      <w:r>
        <w:rPr>
          <w:noProof/>
        </w:rPr>
        <w:fldChar w:fldCharType="begin"/>
      </w:r>
      <w:r>
        <w:rPr>
          <w:noProof/>
        </w:rPr>
        <w:instrText xml:space="preserve"> PAGEREF _Toc443035881 \h </w:instrText>
      </w:r>
      <w:r>
        <w:rPr>
          <w:noProof/>
        </w:rPr>
      </w:r>
      <w:r>
        <w:rPr>
          <w:noProof/>
        </w:rPr>
        <w:fldChar w:fldCharType="separate"/>
      </w:r>
      <w:r>
        <w:rPr>
          <w:noProof/>
        </w:rPr>
        <w:t>65</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9.4</w:t>
      </w:r>
      <w:r w:rsidRPr="00D07295">
        <w:rPr>
          <w:rFonts w:ascii="Calibri" w:hAnsi="Calibri"/>
          <w:caps w:val="0"/>
          <w:noProof/>
          <w:sz w:val="22"/>
          <w:szCs w:val="22"/>
          <w:lang w:val="fr-FR" w:eastAsia="fr-FR"/>
        </w:rPr>
        <w:tab/>
      </w:r>
      <w:r>
        <w:rPr>
          <w:noProof/>
        </w:rPr>
        <w:t>Future use of samples</w:t>
      </w:r>
      <w:r>
        <w:rPr>
          <w:noProof/>
        </w:rPr>
        <w:tab/>
      </w:r>
      <w:r>
        <w:rPr>
          <w:noProof/>
        </w:rPr>
        <w:fldChar w:fldCharType="begin"/>
      </w:r>
      <w:r>
        <w:rPr>
          <w:noProof/>
        </w:rPr>
        <w:instrText xml:space="preserve"> PAGEREF _Toc443035882 \h </w:instrText>
      </w:r>
      <w:r>
        <w:rPr>
          <w:noProof/>
        </w:rPr>
      </w:r>
      <w:r>
        <w:rPr>
          <w:noProof/>
        </w:rPr>
        <w:fldChar w:fldCharType="separate"/>
      </w:r>
      <w:r>
        <w:rPr>
          <w:noProof/>
        </w:rPr>
        <w:t>65</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9.5</w:t>
      </w:r>
      <w:r w:rsidRPr="00D07295">
        <w:rPr>
          <w:rFonts w:ascii="Calibri" w:hAnsi="Calibri"/>
          <w:caps w:val="0"/>
          <w:noProof/>
          <w:sz w:val="22"/>
          <w:szCs w:val="22"/>
          <w:lang w:val="fr-FR" w:eastAsia="fr-FR"/>
        </w:rPr>
        <w:tab/>
      </w:r>
      <w:r>
        <w:rPr>
          <w:noProof/>
        </w:rPr>
        <w:t>Appropriateness of measurements</w:t>
      </w:r>
      <w:r>
        <w:rPr>
          <w:noProof/>
        </w:rPr>
        <w:tab/>
      </w:r>
      <w:r>
        <w:rPr>
          <w:noProof/>
        </w:rPr>
        <w:fldChar w:fldCharType="begin"/>
      </w:r>
      <w:r>
        <w:rPr>
          <w:noProof/>
        </w:rPr>
        <w:instrText xml:space="preserve"> PAGEREF _Toc443035883 \h </w:instrText>
      </w:r>
      <w:r>
        <w:rPr>
          <w:noProof/>
        </w:rPr>
      </w:r>
      <w:r>
        <w:rPr>
          <w:noProof/>
        </w:rPr>
        <w:fldChar w:fldCharType="separate"/>
      </w:r>
      <w:r>
        <w:rPr>
          <w:noProof/>
        </w:rPr>
        <w:t>65</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10</w:t>
      </w:r>
      <w:r w:rsidRPr="00D07295">
        <w:rPr>
          <w:rFonts w:ascii="Calibri" w:hAnsi="Calibri"/>
          <w:b w:val="0"/>
          <w:caps w:val="0"/>
          <w:noProof/>
          <w:sz w:val="22"/>
          <w:szCs w:val="22"/>
          <w:lang w:val="fr-FR" w:eastAsia="fr-FR"/>
        </w:rPr>
        <w:tab/>
      </w:r>
      <w:r>
        <w:rPr>
          <w:noProof/>
        </w:rPr>
        <w:t>Study procedures</w:t>
      </w:r>
      <w:r>
        <w:rPr>
          <w:noProof/>
        </w:rPr>
        <w:tab/>
      </w:r>
      <w:r>
        <w:rPr>
          <w:noProof/>
        </w:rPr>
        <w:fldChar w:fldCharType="begin"/>
      </w:r>
      <w:r>
        <w:rPr>
          <w:noProof/>
        </w:rPr>
        <w:instrText xml:space="preserve"> PAGEREF _Toc443035884 \h </w:instrText>
      </w:r>
      <w:r>
        <w:rPr>
          <w:noProof/>
        </w:rPr>
      </w:r>
      <w:r>
        <w:rPr>
          <w:noProof/>
        </w:rPr>
        <w:fldChar w:fldCharType="separate"/>
      </w:r>
      <w:r>
        <w:rPr>
          <w:noProof/>
        </w:rPr>
        <w:t>67</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10.1</w:t>
      </w:r>
      <w:r w:rsidRPr="00D07295">
        <w:rPr>
          <w:rFonts w:ascii="Calibri" w:hAnsi="Calibri"/>
          <w:caps w:val="0"/>
          <w:noProof/>
          <w:sz w:val="22"/>
          <w:szCs w:val="22"/>
          <w:lang w:val="fr-FR" w:eastAsia="fr-FR"/>
        </w:rPr>
        <w:tab/>
      </w:r>
      <w:r>
        <w:rPr>
          <w:noProof/>
        </w:rPr>
        <w:t>Visit schedule</w:t>
      </w:r>
      <w:r>
        <w:rPr>
          <w:noProof/>
        </w:rPr>
        <w:tab/>
      </w:r>
      <w:r>
        <w:rPr>
          <w:noProof/>
        </w:rPr>
        <w:fldChar w:fldCharType="begin"/>
      </w:r>
      <w:r>
        <w:rPr>
          <w:noProof/>
        </w:rPr>
        <w:instrText xml:space="preserve"> PAGEREF _Toc443035885 \h </w:instrText>
      </w:r>
      <w:r>
        <w:rPr>
          <w:noProof/>
        </w:rPr>
      </w:r>
      <w:r>
        <w:rPr>
          <w:noProof/>
        </w:rPr>
        <w:fldChar w:fldCharType="separate"/>
      </w:r>
      <w:r>
        <w:rPr>
          <w:noProof/>
        </w:rPr>
        <w:t>67</w:t>
      </w:r>
      <w:r>
        <w:rPr>
          <w:noProof/>
        </w:rPr>
        <w:fldChar w:fldCharType="end"/>
      </w:r>
    </w:p>
    <w:p w:rsidR="005A26F6" w:rsidRPr="00D07295" w:rsidRDefault="005A26F6">
      <w:pPr>
        <w:pStyle w:val="TOC3"/>
        <w:rPr>
          <w:rFonts w:ascii="Calibri" w:hAnsi="Calibri"/>
          <w:noProof/>
          <w:sz w:val="22"/>
          <w:szCs w:val="22"/>
          <w:lang w:val="fr-FR" w:eastAsia="fr-FR"/>
        </w:rPr>
      </w:pPr>
      <w:r>
        <w:rPr>
          <w:noProof/>
        </w:rPr>
        <w:t>10.1.1</w:t>
      </w:r>
      <w:r w:rsidRPr="00D07295">
        <w:rPr>
          <w:rFonts w:ascii="Calibri" w:hAnsi="Calibri"/>
          <w:noProof/>
          <w:sz w:val="22"/>
          <w:szCs w:val="22"/>
          <w:lang w:val="fr-FR" w:eastAsia="fr-FR"/>
        </w:rPr>
        <w:tab/>
      </w:r>
      <w:r>
        <w:rPr>
          <w:noProof/>
        </w:rPr>
        <w:t>Screening period (Week -2 up to Week 0)</w:t>
      </w:r>
      <w:r>
        <w:rPr>
          <w:noProof/>
        </w:rPr>
        <w:tab/>
      </w:r>
      <w:r>
        <w:rPr>
          <w:noProof/>
        </w:rPr>
        <w:fldChar w:fldCharType="begin"/>
      </w:r>
      <w:r>
        <w:rPr>
          <w:noProof/>
        </w:rPr>
        <w:instrText xml:space="preserve"> PAGEREF _Toc443035886 \h </w:instrText>
      </w:r>
      <w:r>
        <w:rPr>
          <w:noProof/>
        </w:rPr>
      </w:r>
      <w:r>
        <w:rPr>
          <w:noProof/>
        </w:rPr>
        <w:fldChar w:fldCharType="separate"/>
      </w:r>
      <w:r>
        <w:rPr>
          <w:noProof/>
        </w:rPr>
        <w:t>67</w:t>
      </w:r>
      <w:r>
        <w:rPr>
          <w:noProof/>
        </w:rPr>
        <w:fldChar w:fldCharType="end"/>
      </w:r>
    </w:p>
    <w:p w:rsidR="005A26F6" w:rsidRPr="00D07295" w:rsidRDefault="005A26F6">
      <w:pPr>
        <w:pStyle w:val="TOC4"/>
        <w:rPr>
          <w:rFonts w:ascii="Calibri" w:hAnsi="Calibri"/>
          <w:noProof/>
          <w:sz w:val="22"/>
          <w:lang w:val="fr-FR" w:eastAsia="fr-FR"/>
        </w:rPr>
      </w:pPr>
      <w:r>
        <w:rPr>
          <w:noProof/>
        </w:rPr>
        <w:t>10.1.1.1</w:t>
      </w:r>
      <w:r w:rsidRPr="00D07295">
        <w:rPr>
          <w:rFonts w:ascii="Calibri" w:hAnsi="Calibri"/>
          <w:noProof/>
          <w:sz w:val="22"/>
          <w:lang w:val="fr-FR" w:eastAsia="fr-FR"/>
        </w:rPr>
        <w:tab/>
      </w:r>
      <w:r>
        <w:rPr>
          <w:noProof/>
        </w:rPr>
        <w:t>On-site visits: V1 (screening visit, Week -2); V2 (Week -1)</w:t>
      </w:r>
      <w:r>
        <w:rPr>
          <w:noProof/>
        </w:rPr>
        <w:tab/>
      </w:r>
      <w:r>
        <w:rPr>
          <w:noProof/>
        </w:rPr>
        <w:fldChar w:fldCharType="begin"/>
      </w:r>
      <w:r>
        <w:rPr>
          <w:noProof/>
        </w:rPr>
        <w:instrText xml:space="preserve"> PAGEREF _Toc443035887 \h </w:instrText>
      </w:r>
      <w:r>
        <w:rPr>
          <w:noProof/>
        </w:rPr>
      </w:r>
      <w:r>
        <w:rPr>
          <w:noProof/>
        </w:rPr>
        <w:fldChar w:fldCharType="separate"/>
      </w:r>
      <w:r>
        <w:rPr>
          <w:noProof/>
        </w:rPr>
        <w:t>68</w:t>
      </w:r>
      <w:r>
        <w:rPr>
          <w:noProof/>
        </w:rPr>
        <w:fldChar w:fldCharType="end"/>
      </w:r>
    </w:p>
    <w:p w:rsidR="005A26F6" w:rsidRPr="00D07295" w:rsidRDefault="005A26F6">
      <w:pPr>
        <w:pStyle w:val="TOC3"/>
        <w:rPr>
          <w:rFonts w:ascii="Calibri" w:hAnsi="Calibri"/>
          <w:noProof/>
          <w:sz w:val="22"/>
          <w:szCs w:val="22"/>
          <w:lang w:val="fr-FR" w:eastAsia="fr-FR"/>
        </w:rPr>
      </w:pPr>
      <w:r>
        <w:rPr>
          <w:noProof/>
        </w:rPr>
        <w:t>10.1.2</w:t>
      </w:r>
      <w:r w:rsidRPr="00D07295">
        <w:rPr>
          <w:rFonts w:ascii="Calibri" w:hAnsi="Calibri"/>
          <w:noProof/>
          <w:sz w:val="22"/>
          <w:szCs w:val="22"/>
          <w:lang w:val="fr-FR" w:eastAsia="fr-FR"/>
        </w:rPr>
        <w:tab/>
      </w:r>
      <w:r>
        <w:rPr>
          <w:noProof/>
        </w:rPr>
        <w:t>Open-label randomized treatment period (Week 0 to Week 26)</w:t>
      </w:r>
      <w:r>
        <w:rPr>
          <w:noProof/>
        </w:rPr>
        <w:tab/>
      </w:r>
      <w:r>
        <w:rPr>
          <w:noProof/>
        </w:rPr>
        <w:fldChar w:fldCharType="begin"/>
      </w:r>
      <w:r>
        <w:rPr>
          <w:noProof/>
        </w:rPr>
        <w:instrText xml:space="preserve"> PAGEREF _Toc443035888 \h </w:instrText>
      </w:r>
      <w:r>
        <w:rPr>
          <w:noProof/>
        </w:rPr>
      </w:r>
      <w:r>
        <w:rPr>
          <w:noProof/>
        </w:rPr>
        <w:fldChar w:fldCharType="separate"/>
      </w:r>
      <w:r>
        <w:rPr>
          <w:noProof/>
        </w:rPr>
        <w:t>69</w:t>
      </w:r>
      <w:r>
        <w:rPr>
          <w:noProof/>
        </w:rPr>
        <w:fldChar w:fldCharType="end"/>
      </w:r>
    </w:p>
    <w:p w:rsidR="005A26F6" w:rsidRPr="00D07295" w:rsidRDefault="005A26F6">
      <w:pPr>
        <w:pStyle w:val="TOC4"/>
        <w:rPr>
          <w:rFonts w:ascii="Calibri" w:hAnsi="Calibri"/>
          <w:noProof/>
          <w:sz w:val="22"/>
          <w:lang w:val="fr-FR" w:eastAsia="fr-FR"/>
        </w:rPr>
      </w:pPr>
      <w:r>
        <w:rPr>
          <w:noProof/>
        </w:rPr>
        <w:t>10.1.2.1</w:t>
      </w:r>
      <w:r w:rsidRPr="00D07295">
        <w:rPr>
          <w:rFonts w:ascii="Calibri" w:hAnsi="Calibri"/>
          <w:noProof/>
          <w:sz w:val="22"/>
          <w:lang w:val="fr-FR" w:eastAsia="fr-FR"/>
        </w:rPr>
        <w:tab/>
      </w:r>
      <w:r>
        <w:rPr>
          <w:noProof/>
        </w:rPr>
        <w:t>Baseline visit (V3, Week 0 and Day 1)</w:t>
      </w:r>
      <w:r>
        <w:rPr>
          <w:noProof/>
        </w:rPr>
        <w:tab/>
      </w:r>
      <w:r>
        <w:rPr>
          <w:noProof/>
        </w:rPr>
        <w:fldChar w:fldCharType="begin"/>
      </w:r>
      <w:r>
        <w:rPr>
          <w:noProof/>
        </w:rPr>
        <w:instrText xml:space="preserve"> PAGEREF _Toc443035889 \h </w:instrText>
      </w:r>
      <w:r>
        <w:rPr>
          <w:noProof/>
        </w:rPr>
      </w:r>
      <w:r>
        <w:rPr>
          <w:noProof/>
        </w:rPr>
        <w:fldChar w:fldCharType="separate"/>
      </w:r>
      <w:r>
        <w:rPr>
          <w:noProof/>
        </w:rPr>
        <w:t>70</w:t>
      </w:r>
      <w:r>
        <w:rPr>
          <w:noProof/>
        </w:rPr>
        <w:fldChar w:fldCharType="end"/>
      </w:r>
    </w:p>
    <w:p w:rsidR="005A26F6" w:rsidRPr="00D07295" w:rsidRDefault="005A26F6">
      <w:pPr>
        <w:pStyle w:val="TOC4"/>
        <w:rPr>
          <w:rFonts w:ascii="Calibri" w:hAnsi="Calibri"/>
          <w:noProof/>
          <w:sz w:val="22"/>
          <w:lang w:val="fr-FR" w:eastAsia="fr-FR"/>
        </w:rPr>
      </w:pPr>
      <w:r>
        <w:rPr>
          <w:noProof/>
        </w:rPr>
        <w:t>10.1.2.2</w:t>
      </w:r>
      <w:r w:rsidRPr="00D07295">
        <w:rPr>
          <w:rFonts w:ascii="Calibri" w:hAnsi="Calibri"/>
          <w:noProof/>
          <w:sz w:val="22"/>
          <w:lang w:val="fr-FR" w:eastAsia="fr-FR"/>
        </w:rPr>
        <w:tab/>
      </w:r>
      <w:r>
        <w:rPr>
          <w:noProof/>
        </w:rPr>
        <w:t>Phone call visits: V5 (Week 1); V9 (Week 3); V13 (Week 5); V15 (Week 6); V17 (Week 7); V20 (Week 10); V22 (Week V14); V23 (Week 16); V25 (Week 20); V27 (Week 24)</w:t>
      </w:r>
      <w:r>
        <w:rPr>
          <w:noProof/>
        </w:rPr>
        <w:tab/>
      </w:r>
      <w:r>
        <w:rPr>
          <w:noProof/>
        </w:rPr>
        <w:fldChar w:fldCharType="begin"/>
      </w:r>
      <w:r>
        <w:rPr>
          <w:noProof/>
        </w:rPr>
        <w:instrText xml:space="preserve"> PAGEREF _Toc443035890 \h </w:instrText>
      </w:r>
      <w:r>
        <w:rPr>
          <w:noProof/>
        </w:rPr>
      </w:r>
      <w:r>
        <w:rPr>
          <w:noProof/>
        </w:rPr>
        <w:fldChar w:fldCharType="separate"/>
      </w:r>
      <w:r>
        <w:rPr>
          <w:noProof/>
        </w:rPr>
        <w:t>71</w:t>
      </w:r>
      <w:r>
        <w:rPr>
          <w:noProof/>
        </w:rPr>
        <w:fldChar w:fldCharType="end"/>
      </w:r>
    </w:p>
    <w:p w:rsidR="005A26F6" w:rsidRPr="00D07295" w:rsidRDefault="005A26F6">
      <w:pPr>
        <w:pStyle w:val="TOC4"/>
        <w:rPr>
          <w:rFonts w:ascii="Calibri" w:hAnsi="Calibri"/>
          <w:noProof/>
          <w:sz w:val="22"/>
          <w:lang w:val="fr-FR" w:eastAsia="fr-FR"/>
        </w:rPr>
      </w:pPr>
      <w:r>
        <w:rPr>
          <w:noProof/>
        </w:rPr>
        <w:t>10.1.2.3</w:t>
      </w:r>
      <w:r w:rsidRPr="00D07295">
        <w:rPr>
          <w:rFonts w:ascii="Calibri" w:hAnsi="Calibri"/>
          <w:noProof/>
          <w:sz w:val="22"/>
          <w:lang w:val="fr-FR" w:eastAsia="fr-FR"/>
        </w:rPr>
        <w:tab/>
      </w:r>
      <w:r>
        <w:rPr>
          <w:noProof/>
        </w:rPr>
        <w:t>On-Site visits: V7 (Week 2); V11 (Week 4); V19 (Week 8); V21 (Week 12); V24 (Week 18); V26 (Week 22); V28 (Week 26)</w:t>
      </w:r>
      <w:r>
        <w:rPr>
          <w:noProof/>
        </w:rPr>
        <w:tab/>
      </w:r>
      <w:r>
        <w:rPr>
          <w:noProof/>
        </w:rPr>
        <w:fldChar w:fldCharType="begin"/>
      </w:r>
      <w:r>
        <w:rPr>
          <w:noProof/>
        </w:rPr>
        <w:instrText xml:space="preserve"> PAGEREF _Toc443035891 \h </w:instrText>
      </w:r>
      <w:r>
        <w:rPr>
          <w:noProof/>
        </w:rPr>
      </w:r>
      <w:r>
        <w:rPr>
          <w:noProof/>
        </w:rPr>
        <w:fldChar w:fldCharType="separate"/>
      </w:r>
      <w:r>
        <w:rPr>
          <w:noProof/>
        </w:rPr>
        <w:t>72</w:t>
      </w:r>
      <w:r>
        <w:rPr>
          <w:noProof/>
        </w:rPr>
        <w:fldChar w:fldCharType="end"/>
      </w:r>
    </w:p>
    <w:p w:rsidR="005A26F6" w:rsidRPr="00D07295" w:rsidRDefault="005A26F6">
      <w:pPr>
        <w:pStyle w:val="TOC4"/>
        <w:rPr>
          <w:rFonts w:ascii="Calibri" w:hAnsi="Calibri"/>
          <w:noProof/>
          <w:sz w:val="22"/>
          <w:lang w:val="fr-FR" w:eastAsia="fr-FR"/>
        </w:rPr>
      </w:pPr>
      <w:r>
        <w:rPr>
          <w:noProof/>
        </w:rPr>
        <w:t>10.1.2.4</w:t>
      </w:r>
      <w:r w:rsidRPr="00D07295">
        <w:rPr>
          <w:rFonts w:ascii="Calibri" w:hAnsi="Calibri"/>
          <w:noProof/>
          <w:sz w:val="22"/>
          <w:lang w:val="fr-FR" w:eastAsia="fr-FR"/>
        </w:rPr>
        <w:tab/>
      </w:r>
      <w:r>
        <w:rPr>
          <w:noProof/>
        </w:rPr>
        <w:t>Additional titration phone call visits: V4 (Week 0.5), V6 (Week 1.5), V8 (Week 2.5), V10 (Week 3.5), V12 (Week 4.5), V14 (Week 5.5), V16 (Week 6.5) and V18 (Week 7.5)</w:t>
      </w:r>
      <w:r>
        <w:rPr>
          <w:noProof/>
        </w:rPr>
        <w:tab/>
      </w:r>
      <w:r>
        <w:rPr>
          <w:noProof/>
        </w:rPr>
        <w:fldChar w:fldCharType="begin"/>
      </w:r>
      <w:r>
        <w:rPr>
          <w:noProof/>
        </w:rPr>
        <w:instrText xml:space="preserve"> PAGEREF _Toc443035892 \h </w:instrText>
      </w:r>
      <w:r>
        <w:rPr>
          <w:noProof/>
        </w:rPr>
      </w:r>
      <w:r>
        <w:rPr>
          <w:noProof/>
        </w:rPr>
        <w:fldChar w:fldCharType="separate"/>
      </w:r>
      <w:r>
        <w:rPr>
          <w:noProof/>
        </w:rPr>
        <w:t>73</w:t>
      </w:r>
      <w:r>
        <w:rPr>
          <w:noProof/>
        </w:rPr>
        <w:fldChar w:fldCharType="end"/>
      </w:r>
    </w:p>
    <w:p w:rsidR="005A26F6" w:rsidRPr="00D07295" w:rsidRDefault="005A26F6">
      <w:pPr>
        <w:pStyle w:val="TOC4"/>
        <w:rPr>
          <w:rFonts w:ascii="Calibri" w:hAnsi="Calibri"/>
          <w:noProof/>
          <w:sz w:val="22"/>
          <w:lang w:val="fr-FR" w:eastAsia="fr-FR"/>
        </w:rPr>
      </w:pPr>
      <w:r>
        <w:rPr>
          <w:noProof/>
        </w:rPr>
        <w:t>10.1.2.5</w:t>
      </w:r>
      <w:r w:rsidRPr="00D07295">
        <w:rPr>
          <w:rFonts w:ascii="Calibri" w:hAnsi="Calibri"/>
          <w:noProof/>
          <w:sz w:val="22"/>
          <w:lang w:val="fr-FR" w:eastAsia="fr-FR"/>
        </w:rPr>
        <w:tab/>
      </w:r>
      <w:r>
        <w:rPr>
          <w:noProof/>
        </w:rPr>
        <w:t>Final on-treatment assessment/end of treatment visit (V28, Week 26)</w:t>
      </w:r>
      <w:r>
        <w:rPr>
          <w:noProof/>
        </w:rPr>
        <w:tab/>
      </w:r>
      <w:r>
        <w:rPr>
          <w:noProof/>
        </w:rPr>
        <w:fldChar w:fldCharType="begin"/>
      </w:r>
      <w:r>
        <w:rPr>
          <w:noProof/>
        </w:rPr>
        <w:instrText xml:space="preserve"> PAGEREF _Toc443035893 \h </w:instrText>
      </w:r>
      <w:r>
        <w:rPr>
          <w:noProof/>
        </w:rPr>
      </w:r>
      <w:r>
        <w:rPr>
          <w:noProof/>
        </w:rPr>
        <w:fldChar w:fldCharType="separate"/>
      </w:r>
      <w:r>
        <w:rPr>
          <w:noProof/>
        </w:rPr>
        <w:t>73</w:t>
      </w:r>
      <w:r>
        <w:rPr>
          <w:noProof/>
        </w:rPr>
        <w:fldChar w:fldCharType="end"/>
      </w:r>
    </w:p>
    <w:p w:rsidR="005A26F6" w:rsidRPr="00D07295" w:rsidRDefault="005A26F6">
      <w:pPr>
        <w:pStyle w:val="TOC3"/>
        <w:rPr>
          <w:rFonts w:ascii="Calibri" w:hAnsi="Calibri"/>
          <w:noProof/>
          <w:sz w:val="22"/>
          <w:szCs w:val="22"/>
          <w:lang w:val="fr-FR" w:eastAsia="fr-FR"/>
        </w:rPr>
      </w:pPr>
      <w:r>
        <w:rPr>
          <w:noProof/>
        </w:rPr>
        <w:t>10.1.3</w:t>
      </w:r>
      <w:r w:rsidRPr="00D07295">
        <w:rPr>
          <w:rFonts w:ascii="Calibri" w:hAnsi="Calibri"/>
          <w:noProof/>
          <w:sz w:val="22"/>
          <w:szCs w:val="22"/>
          <w:lang w:val="fr-FR" w:eastAsia="fr-FR"/>
        </w:rPr>
        <w:tab/>
      </w:r>
      <w:r>
        <w:rPr>
          <w:noProof/>
        </w:rPr>
        <w:t>Post-treatment follow-up phone call visit (V29)</w:t>
      </w:r>
      <w:r>
        <w:rPr>
          <w:noProof/>
        </w:rPr>
        <w:tab/>
      </w:r>
      <w:r>
        <w:rPr>
          <w:noProof/>
        </w:rPr>
        <w:fldChar w:fldCharType="begin"/>
      </w:r>
      <w:r>
        <w:rPr>
          <w:noProof/>
        </w:rPr>
        <w:instrText xml:space="preserve"> PAGEREF _Toc443035894 \h </w:instrText>
      </w:r>
      <w:r>
        <w:rPr>
          <w:noProof/>
        </w:rPr>
      </w:r>
      <w:r>
        <w:rPr>
          <w:noProof/>
        </w:rPr>
        <w:fldChar w:fldCharType="separate"/>
      </w:r>
      <w:r>
        <w:rPr>
          <w:noProof/>
        </w:rPr>
        <w:t>74</w:t>
      </w:r>
      <w:r>
        <w:rPr>
          <w:noProof/>
        </w:rPr>
        <w:fldChar w:fldCharType="end"/>
      </w:r>
    </w:p>
    <w:p w:rsidR="005A26F6" w:rsidRPr="00D07295" w:rsidRDefault="005A26F6">
      <w:pPr>
        <w:pStyle w:val="TOC3"/>
        <w:rPr>
          <w:rFonts w:ascii="Calibri" w:hAnsi="Calibri"/>
          <w:noProof/>
          <w:sz w:val="22"/>
          <w:szCs w:val="22"/>
          <w:lang w:val="fr-FR" w:eastAsia="fr-FR"/>
        </w:rPr>
      </w:pPr>
      <w:r>
        <w:rPr>
          <w:noProof/>
        </w:rPr>
        <w:t>10.1.4</w:t>
      </w:r>
      <w:r w:rsidRPr="00D07295">
        <w:rPr>
          <w:rFonts w:ascii="Calibri" w:hAnsi="Calibri"/>
          <w:noProof/>
          <w:sz w:val="22"/>
          <w:szCs w:val="22"/>
          <w:lang w:val="fr-FR" w:eastAsia="fr-FR"/>
        </w:rPr>
        <w:tab/>
      </w:r>
      <w:r>
        <w:rPr>
          <w:noProof/>
        </w:rPr>
        <w:t>Unscheduled phone call</w:t>
      </w:r>
      <w:r>
        <w:rPr>
          <w:noProof/>
        </w:rPr>
        <w:tab/>
      </w:r>
      <w:r>
        <w:rPr>
          <w:noProof/>
        </w:rPr>
        <w:fldChar w:fldCharType="begin"/>
      </w:r>
      <w:r>
        <w:rPr>
          <w:noProof/>
        </w:rPr>
        <w:instrText xml:space="preserve"> PAGEREF _Toc443035895 \h </w:instrText>
      </w:r>
      <w:r>
        <w:rPr>
          <w:noProof/>
        </w:rPr>
      </w:r>
      <w:r>
        <w:rPr>
          <w:noProof/>
        </w:rPr>
        <w:fldChar w:fldCharType="separate"/>
      </w:r>
      <w:r>
        <w:rPr>
          <w:noProof/>
        </w:rPr>
        <w:t>74</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10.2</w:t>
      </w:r>
      <w:r w:rsidRPr="00D07295">
        <w:rPr>
          <w:rFonts w:ascii="Calibri" w:hAnsi="Calibri"/>
          <w:caps w:val="0"/>
          <w:noProof/>
          <w:sz w:val="22"/>
          <w:szCs w:val="22"/>
          <w:lang w:val="fr-FR" w:eastAsia="fr-FR"/>
        </w:rPr>
        <w:tab/>
      </w:r>
      <w:r>
        <w:rPr>
          <w:noProof/>
        </w:rPr>
        <w:t>Definition of source data</w:t>
      </w:r>
      <w:r>
        <w:rPr>
          <w:noProof/>
        </w:rPr>
        <w:tab/>
      </w:r>
      <w:r>
        <w:rPr>
          <w:noProof/>
        </w:rPr>
        <w:fldChar w:fldCharType="begin"/>
      </w:r>
      <w:r>
        <w:rPr>
          <w:noProof/>
        </w:rPr>
        <w:instrText xml:space="preserve"> PAGEREF _Toc443035896 \h </w:instrText>
      </w:r>
      <w:r>
        <w:rPr>
          <w:noProof/>
        </w:rPr>
      </w:r>
      <w:r>
        <w:rPr>
          <w:noProof/>
        </w:rPr>
        <w:fldChar w:fldCharType="separate"/>
      </w:r>
      <w:r>
        <w:rPr>
          <w:noProof/>
        </w:rPr>
        <w:t>75</w:t>
      </w:r>
      <w:r>
        <w:rPr>
          <w:noProof/>
        </w:rPr>
        <w:fldChar w:fldCharType="end"/>
      </w:r>
    </w:p>
    <w:p w:rsidR="005A26F6" w:rsidRPr="00D07295" w:rsidRDefault="005A26F6">
      <w:pPr>
        <w:pStyle w:val="TOC3"/>
        <w:rPr>
          <w:rFonts w:ascii="Calibri" w:hAnsi="Calibri"/>
          <w:noProof/>
          <w:sz w:val="22"/>
          <w:szCs w:val="22"/>
          <w:lang w:val="fr-FR" w:eastAsia="fr-FR"/>
        </w:rPr>
      </w:pPr>
      <w:r>
        <w:rPr>
          <w:noProof/>
        </w:rPr>
        <w:t>10.2.1</w:t>
      </w:r>
      <w:r w:rsidRPr="00D07295">
        <w:rPr>
          <w:rFonts w:ascii="Calibri" w:hAnsi="Calibri"/>
          <w:noProof/>
          <w:sz w:val="22"/>
          <w:szCs w:val="22"/>
          <w:lang w:val="fr-FR" w:eastAsia="fr-FR"/>
        </w:rPr>
        <w:tab/>
      </w:r>
      <w:r>
        <w:rPr>
          <w:noProof/>
        </w:rPr>
        <w:t>Source data to be found in the patient's file</w:t>
      </w:r>
      <w:r>
        <w:rPr>
          <w:noProof/>
        </w:rPr>
        <w:tab/>
      </w:r>
      <w:r>
        <w:rPr>
          <w:noProof/>
        </w:rPr>
        <w:fldChar w:fldCharType="begin"/>
      </w:r>
      <w:r>
        <w:rPr>
          <w:noProof/>
        </w:rPr>
        <w:instrText xml:space="preserve"> PAGEREF _Toc443035897 \h </w:instrText>
      </w:r>
      <w:r>
        <w:rPr>
          <w:noProof/>
        </w:rPr>
      </w:r>
      <w:r>
        <w:rPr>
          <w:noProof/>
        </w:rPr>
        <w:fldChar w:fldCharType="separate"/>
      </w:r>
      <w:r>
        <w:rPr>
          <w:noProof/>
        </w:rPr>
        <w:t>75</w:t>
      </w:r>
      <w:r>
        <w:rPr>
          <w:noProof/>
        </w:rPr>
        <w:fldChar w:fldCharType="end"/>
      </w:r>
    </w:p>
    <w:p w:rsidR="005A26F6" w:rsidRPr="00D07295" w:rsidRDefault="005A26F6">
      <w:pPr>
        <w:pStyle w:val="TOC3"/>
        <w:rPr>
          <w:rFonts w:ascii="Calibri" w:hAnsi="Calibri"/>
          <w:noProof/>
          <w:sz w:val="22"/>
          <w:szCs w:val="22"/>
          <w:lang w:val="fr-FR" w:eastAsia="fr-FR"/>
        </w:rPr>
      </w:pPr>
      <w:r>
        <w:rPr>
          <w:noProof/>
        </w:rPr>
        <w:t>10.2.2</w:t>
      </w:r>
      <w:r w:rsidRPr="00D07295">
        <w:rPr>
          <w:rFonts w:ascii="Calibri" w:hAnsi="Calibri"/>
          <w:noProof/>
          <w:sz w:val="22"/>
          <w:szCs w:val="22"/>
          <w:lang w:val="fr-FR" w:eastAsia="fr-FR"/>
        </w:rPr>
        <w:tab/>
      </w:r>
      <w:r>
        <w:rPr>
          <w:noProof/>
        </w:rPr>
        <w:t>Source data verification requirements for patients not randomized</w:t>
      </w:r>
      <w:r>
        <w:rPr>
          <w:noProof/>
        </w:rPr>
        <w:tab/>
      </w:r>
      <w:r>
        <w:rPr>
          <w:noProof/>
        </w:rPr>
        <w:fldChar w:fldCharType="begin"/>
      </w:r>
      <w:r>
        <w:rPr>
          <w:noProof/>
        </w:rPr>
        <w:instrText xml:space="preserve"> PAGEREF _Toc443035898 \h </w:instrText>
      </w:r>
      <w:r>
        <w:rPr>
          <w:noProof/>
        </w:rPr>
      </w:r>
      <w:r>
        <w:rPr>
          <w:noProof/>
        </w:rPr>
        <w:fldChar w:fldCharType="separate"/>
      </w:r>
      <w:r>
        <w:rPr>
          <w:noProof/>
        </w:rPr>
        <w:t>76</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10.3</w:t>
      </w:r>
      <w:r w:rsidRPr="00D07295">
        <w:rPr>
          <w:rFonts w:ascii="Calibri" w:hAnsi="Calibri"/>
          <w:caps w:val="0"/>
          <w:noProof/>
          <w:sz w:val="22"/>
          <w:szCs w:val="22"/>
          <w:lang w:val="fr-FR" w:eastAsia="fr-FR"/>
        </w:rPr>
        <w:tab/>
      </w:r>
      <w:r>
        <w:rPr>
          <w:noProof/>
        </w:rPr>
        <w:t>Handling of patient TEMPORARY OR permanent TREATMENT DISCONTINUATION AND OF PATIENT STUDY DISCONTINUATION</w:t>
      </w:r>
      <w:r>
        <w:rPr>
          <w:noProof/>
        </w:rPr>
        <w:tab/>
      </w:r>
      <w:r>
        <w:rPr>
          <w:noProof/>
        </w:rPr>
        <w:fldChar w:fldCharType="begin"/>
      </w:r>
      <w:r>
        <w:rPr>
          <w:noProof/>
        </w:rPr>
        <w:instrText xml:space="preserve"> PAGEREF _Toc443035899 \h </w:instrText>
      </w:r>
      <w:r>
        <w:rPr>
          <w:noProof/>
        </w:rPr>
      </w:r>
      <w:r>
        <w:rPr>
          <w:noProof/>
        </w:rPr>
        <w:fldChar w:fldCharType="separate"/>
      </w:r>
      <w:r>
        <w:rPr>
          <w:noProof/>
        </w:rPr>
        <w:t>76</w:t>
      </w:r>
      <w:r>
        <w:rPr>
          <w:noProof/>
        </w:rPr>
        <w:fldChar w:fldCharType="end"/>
      </w:r>
    </w:p>
    <w:p w:rsidR="005A26F6" w:rsidRPr="00D07295" w:rsidRDefault="005A26F6">
      <w:pPr>
        <w:pStyle w:val="TOC3"/>
        <w:rPr>
          <w:rFonts w:ascii="Calibri" w:hAnsi="Calibri"/>
          <w:noProof/>
          <w:sz w:val="22"/>
          <w:szCs w:val="22"/>
          <w:lang w:val="fr-FR" w:eastAsia="fr-FR"/>
        </w:rPr>
      </w:pPr>
      <w:r>
        <w:rPr>
          <w:noProof/>
        </w:rPr>
        <w:t>10.3.1</w:t>
      </w:r>
      <w:r w:rsidRPr="00D07295">
        <w:rPr>
          <w:rFonts w:ascii="Calibri" w:hAnsi="Calibri"/>
          <w:noProof/>
          <w:sz w:val="22"/>
          <w:szCs w:val="22"/>
          <w:lang w:val="fr-FR" w:eastAsia="fr-FR"/>
        </w:rPr>
        <w:tab/>
      </w:r>
      <w:r>
        <w:rPr>
          <w:noProof/>
        </w:rPr>
        <w:t>Temporary treatment discontinuation with investigational medicinal product(s)</w:t>
      </w:r>
      <w:r>
        <w:rPr>
          <w:noProof/>
        </w:rPr>
        <w:tab/>
      </w:r>
      <w:r>
        <w:rPr>
          <w:noProof/>
        </w:rPr>
        <w:fldChar w:fldCharType="begin"/>
      </w:r>
      <w:r>
        <w:rPr>
          <w:noProof/>
        </w:rPr>
        <w:instrText xml:space="preserve"> PAGEREF _Toc443035900 \h </w:instrText>
      </w:r>
      <w:r>
        <w:rPr>
          <w:noProof/>
        </w:rPr>
      </w:r>
      <w:r>
        <w:rPr>
          <w:noProof/>
        </w:rPr>
        <w:fldChar w:fldCharType="separate"/>
      </w:r>
      <w:r>
        <w:rPr>
          <w:noProof/>
        </w:rPr>
        <w:t>77</w:t>
      </w:r>
      <w:r>
        <w:rPr>
          <w:noProof/>
        </w:rPr>
        <w:fldChar w:fldCharType="end"/>
      </w:r>
    </w:p>
    <w:p w:rsidR="005A26F6" w:rsidRPr="00D07295" w:rsidRDefault="005A26F6">
      <w:pPr>
        <w:pStyle w:val="TOC3"/>
        <w:rPr>
          <w:rFonts w:ascii="Calibri" w:hAnsi="Calibri"/>
          <w:noProof/>
          <w:sz w:val="22"/>
          <w:szCs w:val="22"/>
          <w:lang w:val="fr-FR" w:eastAsia="fr-FR"/>
        </w:rPr>
      </w:pPr>
      <w:r>
        <w:rPr>
          <w:noProof/>
        </w:rPr>
        <w:t>10.3.2</w:t>
      </w:r>
      <w:r w:rsidRPr="00D07295">
        <w:rPr>
          <w:rFonts w:ascii="Calibri" w:hAnsi="Calibri"/>
          <w:noProof/>
          <w:sz w:val="22"/>
          <w:szCs w:val="22"/>
          <w:lang w:val="fr-FR" w:eastAsia="fr-FR"/>
        </w:rPr>
        <w:tab/>
      </w:r>
      <w:r>
        <w:rPr>
          <w:noProof/>
        </w:rPr>
        <w:t>Permanent treatment discontinuation with investigational medicinal product(s)</w:t>
      </w:r>
      <w:r>
        <w:rPr>
          <w:noProof/>
        </w:rPr>
        <w:tab/>
      </w:r>
      <w:r>
        <w:rPr>
          <w:noProof/>
        </w:rPr>
        <w:fldChar w:fldCharType="begin"/>
      </w:r>
      <w:r>
        <w:rPr>
          <w:noProof/>
        </w:rPr>
        <w:instrText xml:space="preserve"> PAGEREF _Toc443035901 \h </w:instrText>
      </w:r>
      <w:r>
        <w:rPr>
          <w:noProof/>
        </w:rPr>
      </w:r>
      <w:r>
        <w:rPr>
          <w:noProof/>
        </w:rPr>
        <w:fldChar w:fldCharType="separate"/>
      </w:r>
      <w:r>
        <w:rPr>
          <w:noProof/>
        </w:rPr>
        <w:t>77</w:t>
      </w:r>
      <w:r>
        <w:rPr>
          <w:noProof/>
        </w:rPr>
        <w:fldChar w:fldCharType="end"/>
      </w:r>
    </w:p>
    <w:p w:rsidR="005A26F6" w:rsidRPr="00D07295" w:rsidRDefault="005A26F6">
      <w:pPr>
        <w:pStyle w:val="TOC3"/>
        <w:rPr>
          <w:rFonts w:ascii="Calibri" w:hAnsi="Calibri"/>
          <w:noProof/>
          <w:sz w:val="22"/>
          <w:szCs w:val="22"/>
          <w:lang w:val="fr-FR" w:eastAsia="fr-FR"/>
        </w:rPr>
      </w:pPr>
      <w:r>
        <w:rPr>
          <w:noProof/>
        </w:rPr>
        <w:t>10.3.3</w:t>
      </w:r>
      <w:r w:rsidRPr="00D07295">
        <w:rPr>
          <w:rFonts w:ascii="Calibri" w:hAnsi="Calibri"/>
          <w:noProof/>
          <w:sz w:val="22"/>
          <w:szCs w:val="22"/>
          <w:lang w:val="fr-FR" w:eastAsia="fr-FR"/>
        </w:rPr>
        <w:tab/>
      </w:r>
      <w:r>
        <w:rPr>
          <w:noProof/>
        </w:rPr>
        <w:t>List of criteria for permanent treatment discontinuation</w:t>
      </w:r>
      <w:r>
        <w:rPr>
          <w:noProof/>
        </w:rPr>
        <w:tab/>
      </w:r>
      <w:r>
        <w:rPr>
          <w:noProof/>
        </w:rPr>
        <w:fldChar w:fldCharType="begin"/>
      </w:r>
      <w:r>
        <w:rPr>
          <w:noProof/>
        </w:rPr>
        <w:instrText xml:space="preserve"> PAGEREF _Toc443035902 \h </w:instrText>
      </w:r>
      <w:r>
        <w:rPr>
          <w:noProof/>
        </w:rPr>
      </w:r>
      <w:r>
        <w:rPr>
          <w:noProof/>
        </w:rPr>
        <w:fldChar w:fldCharType="separate"/>
      </w:r>
      <w:r>
        <w:rPr>
          <w:noProof/>
        </w:rPr>
        <w:t>77</w:t>
      </w:r>
      <w:r>
        <w:rPr>
          <w:noProof/>
        </w:rPr>
        <w:fldChar w:fldCharType="end"/>
      </w:r>
    </w:p>
    <w:p w:rsidR="005A26F6" w:rsidRPr="00D07295" w:rsidRDefault="005A26F6">
      <w:pPr>
        <w:pStyle w:val="TOC3"/>
        <w:rPr>
          <w:rFonts w:ascii="Calibri" w:hAnsi="Calibri"/>
          <w:noProof/>
          <w:sz w:val="22"/>
          <w:szCs w:val="22"/>
          <w:lang w:val="fr-FR" w:eastAsia="fr-FR"/>
        </w:rPr>
      </w:pPr>
      <w:r>
        <w:rPr>
          <w:noProof/>
        </w:rPr>
        <w:t>10.3.4</w:t>
      </w:r>
      <w:r w:rsidRPr="00D07295">
        <w:rPr>
          <w:rFonts w:ascii="Calibri" w:hAnsi="Calibri"/>
          <w:noProof/>
          <w:sz w:val="22"/>
          <w:szCs w:val="22"/>
          <w:lang w:val="fr-FR" w:eastAsia="fr-FR"/>
        </w:rPr>
        <w:tab/>
      </w:r>
      <w:r>
        <w:rPr>
          <w:noProof/>
        </w:rPr>
        <w:t>Handling of patients after permanent treatment discontinuation</w:t>
      </w:r>
      <w:r>
        <w:rPr>
          <w:noProof/>
        </w:rPr>
        <w:tab/>
      </w:r>
      <w:r>
        <w:rPr>
          <w:noProof/>
        </w:rPr>
        <w:fldChar w:fldCharType="begin"/>
      </w:r>
      <w:r>
        <w:rPr>
          <w:noProof/>
        </w:rPr>
        <w:instrText xml:space="preserve"> PAGEREF _Toc443035903 \h </w:instrText>
      </w:r>
      <w:r>
        <w:rPr>
          <w:noProof/>
        </w:rPr>
      </w:r>
      <w:r>
        <w:rPr>
          <w:noProof/>
        </w:rPr>
        <w:fldChar w:fldCharType="separate"/>
      </w:r>
      <w:r>
        <w:rPr>
          <w:noProof/>
        </w:rPr>
        <w:t>78</w:t>
      </w:r>
      <w:r>
        <w:rPr>
          <w:noProof/>
        </w:rPr>
        <w:fldChar w:fldCharType="end"/>
      </w:r>
    </w:p>
    <w:p w:rsidR="005A26F6" w:rsidRPr="00D07295" w:rsidRDefault="005A26F6">
      <w:pPr>
        <w:pStyle w:val="TOC3"/>
        <w:rPr>
          <w:rFonts w:ascii="Calibri" w:hAnsi="Calibri"/>
          <w:noProof/>
          <w:sz w:val="22"/>
          <w:szCs w:val="22"/>
          <w:lang w:val="fr-FR" w:eastAsia="fr-FR"/>
        </w:rPr>
      </w:pPr>
      <w:r>
        <w:rPr>
          <w:noProof/>
        </w:rPr>
        <w:t>10.3.5</w:t>
      </w:r>
      <w:r w:rsidRPr="00D07295">
        <w:rPr>
          <w:rFonts w:ascii="Calibri" w:hAnsi="Calibri"/>
          <w:noProof/>
          <w:sz w:val="22"/>
          <w:szCs w:val="22"/>
          <w:lang w:val="fr-FR" w:eastAsia="fr-FR"/>
        </w:rPr>
        <w:tab/>
      </w:r>
      <w:r>
        <w:rPr>
          <w:noProof/>
        </w:rPr>
        <w:t>Procedure and consequence for patient withdrawal from study</w:t>
      </w:r>
      <w:r>
        <w:rPr>
          <w:noProof/>
        </w:rPr>
        <w:tab/>
      </w:r>
      <w:r>
        <w:rPr>
          <w:noProof/>
        </w:rPr>
        <w:fldChar w:fldCharType="begin"/>
      </w:r>
      <w:r>
        <w:rPr>
          <w:noProof/>
        </w:rPr>
        <w:instrText xml:space="preserve"> PAGEREF _Toc443035904 \h </w:instrText>
      </w:r>
      <w:r>
        <w:rPr>
          <w:noProof/>
        </w:rPr>
      </w:r>
      <w:r>
        <w:rPr>
          <w:noProof/>
        </w:rPr>
        <w:fldChar w:fldCharType="separate"/>
      </w:r>
      <w:r>
        <w:rPr>
          <w:noProof/>
        </w:rPr>
        <w:t>78</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10.4</w:t>
      </w:r>
      <w:r w:rsidRPr="00D07295">
        <w:rPr>
          <w:rFonts w:ascii="Calibri" w:hAnsi="Calibri"/>
          <w:caps w:val="0"/>
          <w:noProof/>
          <w:sz w:val="22"/>
          <w:szCs w:val="22"/>
          <w:lang w:val="fr-FR" w:eastAsia="fr-FR"/>
        </w:rPr>
        <w:tab/>
      </w:r>
      <w:r>
        <w:rPr>
          <w:noProof/>
        </w:rPr>
        <w:t>Obligation of the Investigator regarding safety reporting</w:t>
      </w:r>
      <w:r>
        <w:rPr>
          <w:noProof/>
        </w:rPr>
        <w:tab/>
      </w:r>
      <w:r>
        <w:rPr>
          <w:noProof/>
        </w:rPr>
        <w:fldChar w:fldCharType="begin"/>
      </w:r>
      <w:r>
        <w:rPr>
          <w:noProof/>
        </w:rPr>
        <w:instrText xml:space="preserve"> PAGEREF _Toc443035905 \h </w:instrText>
      </w:r>
      <w:r>
        <w:rPr>
          <w:noProof/>
        </w:rPr>
      </w:r>
      <w:r>
        <w:rPr>
          <w:noProof/>
        </w:rPr>
        <w:fldChar w:fldCharType="separate"/>
      </w:r>
      <w:r>
        <w:rPr>
          <w:noProof/>
        </w:rPr>
        <w:t>79</w:t>
      </w:r>
      <w:r>
        <w:rPr>
          <w:noProof/>
        </w:rPr>
        <w:fldChar w:fldCharType="end"/>
      </w:r>
    </w:p>
    <w:p w:rsidR="005A26F6" w:rsidRPr="00D07295" w:rsidRDefault="005A26F6">
      <w:pPr>
        <w:pStyle w:val="TOC3"/>
        <w:rPr>
          <w:rFonts w:ascii="Calibri" w:hAnsi="Calibri"/>
          <w:noProof/>
          <w:sz w:val="22"/>
          <w:szCs w:val="22"/>
          <w:lang w:val="fr-FR" w:eastAsia="fr-FR"/>
        </w:rPr>
      </w:pPr>
      <w:r>
        <w:rPr>
          <w:noProof/>
        </w:rPr>
        <w:lastRenderedPageBreak/>
        <w:t>10.4.1</w:t>
      </w:r>
      <w:r w:rsidRPr="00D07295">
        <w:rPr>
          <w:rFonts w:ascii="Calibri" w:hAnsi="Calibri"/>
          <w:noProof/>
          <w:sz w:val="22"/>
          <w:szCs w:val="22"/>
          <w:lang w:val="fr-FR" w:eastAsia="fr-FR"/>
        </w:rPr>
        <w:tab/>
      </w:r>
      <w:r>
        <w:rPr>
          <w:noProof/>
        </w:rPr>
        <w:t>Definitions of adverse events</w:t>
      </w:r>
      <w:r>
        <w:rPr>
          <w:noProof/>
        </w:rPr>
        <w:tab/>
      </w:r>
      <w:r>
        <w:rPr>
          <w:noProof/>
        </w:rPr>
        <w:fldChar w:fldCharType="begin"/>
      </w:r>
      <w:r>
        <w:rPr>
          <w:noProof/>
        </w:rPr>
        <w:instrText xml:space="preserve"> PAGEREF _Toc443035906 \h </w:instrText>
      </w:r>
      <w:r>
        <w:rPr>
          <w:noProof/>
        </w:rPr>
      </w:r>
      <w:r>
        <w:rPr>
          <w:noProof/>
        </w:rPr>
        <w:fldChar w:fldCharType="separate"/>
      </w:r>
      <w:r>
        <w:rPr>
          <w:noProof/>
        </w:rPr>
        <w:t>79</w:t>
      </w:r>
      <w:r>
        <w:rPr>
          <w:noProof/>
        </w:rPr>
        <w:fldChar w:fldCharType="end"/>
      </w:r>
    </w:p>
    <w:p w:rsidR="005A26F6" w:rsidRPr="00D07295" w:rsidRDefault="005A26F6">
      <w:pPr>
        <w:pStyle w:val="TOC4"/>
        <w:rPr>
          <w:rFonts w:ascii="Calibri" w:hAnsi="Calibri"/>
          <w:noProof/>
          <w:sz w:val="22"/>
          <w:lang w:val="fr-FR" w:eastAsia="fr-FR"/>
        </w:rPr>
      </w:pPr>
      <w:r>
        <w:rPr>
          <w:noProof/>
        </w:rPr>
        <w:t>10.4.1.1</w:t>
      </w:r>
      <w:r w:rsidRPr="00D07295">
        <w:rPr>
          <w:rFonts w:ascii="Calibri" w:hAnsi="Calibri"/>
          <w:noProof/>
          <w:sz w:val="22"/>
          <w:lang w:val="fr-FR" w:eastAsia="fr-FR"/>
        </w:rPr>
        <w:tab/>
      </w:r>
      <w:r>
        <w:rPr>
          <w:noProof/>
        </w:rPr>
        <w:t>Adverse event</w:t>
      </w:r>
      <w:r>
        <w:rPr>
          <w:noProof/>
        </w:rPr>
        <w:tab/>
      </w:r>
      <w:r>
        <w:rPr>
          <w:noProof/>
        </w:rPr>
        <w:fldChar w:fldCharType="begin"/>
      </w:r>
      <w:r>
        <w:rPr>
          <w:noProof/>
        </w:rPr>
        <w:instrText xml:space="preserve"> PAGEREF _Toc443035907 \h </w:instrText>
      </w:r>
      <w:r>
        <w:rPr>
          <w:noProof/>
        </w:rPr>
      </w:r>
      <w:r>
        <w:rPr>
          <w:noProof/>
        </w:rPr>
        <w:fldChar w:fldCharType="separate"/>
      </w:r>
      <w:r>
        <w:rPr>
          <w:noProof/>
        </w:rPr>
        <w:t>79</w:t>
      </w:r>
      <w:r>
        <w:rPr>
          <w:noProof/>
        </w:rPr>
        <w:fldChar w:fldCharType="end"/>
      </w:r>
    </w:p>
    <w:p w:rsidR="005A26F6" w:rsidRPr="00D07295" w:rsidRDefault="005A26F6">
      <w:pPr>
        <w:pStyle w:val="TOC4"/>
        <w:rPr>
          <w:rFonts w:ascii="Calibri" w:hAnsi="Calibri"/>
          <w:noProof/>
          <w:sz w:val="22"/>
          <w:lang w:val="fr-FR" w:eastAsia="fr-FR"/>
        </w:rPr>
      </w:pPr>
      <w:r>
        <w:rPr>
          <w:noProof/>
        </w:rPr>
        <w:t>10.4.1.2</w:t>
      </w:r>
      <w:r w:rsidRPr="00D07295">
        <w:rPr>
          <w:rFonts w:ascii="Calibri" w:hAnsi="Calibri"/>
          <w:noProof/>
          <w:sz w:val="22"/>
          <w:lang w:val="fr-FR" w:eastAsia="fr-FR"/>
        </w:rPr>
        <w:tab/>
      </w:r>
      <w:r>
        <w:rPr>
          <w:noProof/>
        </w:rPr>
        <w:t>Serious adverse event</w:t>
      </w:r>
      <w:r>
        <w:rPr>
          <w:noProof/>
        </w:rPr>
        <w:tab/>
      </w:r>
      <w:r>
        <w:rPr>
          <w:noProof/>
        </w:rPr>
        <w:fldChar w:fldCharType="begin"/>
      </w:r>
      <w:r>
        <w:rPr>
          <w:noProof/>
        </w:rPr>
        <w:instrText xml:space="preserve"> PAGEREF _Toc443035908 \h </w:instrText>
      </w:r>
      <w:r>
        <w:rPr>
          <w:noProof/>
        </w:rPr>
      </w:r>
      <w:r>
        <w:rPr>
          <w:noProof/>
        </w:rPr>
        <w:fldChar w:fldCharType="separate"/>
      </w:r>
      <w:r>
        <w:rPr>
          <w:noProof/>
        </w:rPr>
        <w:t>79</w:t>
      </w:r>
      <w:r>
        <w:rPr>
          <w:noProof/>
        </w:rPr>
        <w:fldChar w:fldCharType="end"/>
      </w:r>
    </w:p>
    <w:p w:rsidR="005A26F6" w:rsidRPr="00D07295" w:rsidRDefault="005A26F6">
      <w:pPr>
        <w:pStyle w:val="TOC4"/>
        <w:rPr>
          <w:rFonts w:ascii="Calibri" w:hAnsi="Calibri"/>
          <w:noProof/>
          <w:sz w:val="22"/>
          <w:lang w:val="fr-FR" w:eastAsia="fr-FR"/>
        </w:rPr>
      </w:pPr>
      <w:r>
        <w:rPr>
          <w:noProof/>
        </w:rPr>
        <w:t>10.4.1.3</w:t>
      </w:r>
      <w:r w:rsidRPr="00D07295">
        <w:rPr>
          <w:rFonts w:ascii="Calibri" w:hAnsi="Calibri"/>
          <w:noProof/>
          <w:sz w:val="22"/>
          <w:lang w:val="fr-FR" w:eastAsia="fr-FR"/>
        </w:rPr>
        <w:tab/>
      </w:r>
      <w:r>
        <w:rPr>
          <w:noProof/>
        </w:rPr>
        <w:t>Adverse event of special interest</w:t>
      </w:r>
      <w:r>
        <w:rPr>
          <w:noProof/>
        </w:rPr>
        <w:tab/>
      </w:r>
      <w:r>
        <w:rPr>
          <w:noProof/>
        </w:rPr>
        <w:fldChar w:fldCharType="begin"/>
      </w:r>
      <w:r>
        <w:rPr>
          <w:noProof/>
        </w:rPr>
        <w:instrText xml:space="preserve"> PAGEREF _Toc443035909 \h </w:instrText>
      </w:r>
      <w:r>
        <w:rPr>
          <w:noProof/>
        </w:rPr>
      </w:r>
      <w:r>
        <w:rPr>
          <w:noProof/>
        </w:rPr>
        <w:fldChar w:fldCharType="separate"/>
      </w:r>
      <w:r>
        <w:rPr>
          <w:noProof/>
        </w:rPr>
        <w:t>80</w:t>
      </w:r>
      <w:r>
        <w:rPr>
          <w:noProof/>
        </w:rPr>
        <w:fldChar w:fldCharType="end"/>
      </w:r>
    </w:p>
    <w:p w:rsidR="005A26F6" w:rsidRPr="00D07295" w:rsidRDefault="005A26F6">
      <w:pPr>
        <w:pStyle w:val="TOC4"/>
        <w:rPr>
          <w:rFonts w:ascii="Calibri" w:hAnsi="Calibri"/>
          <w:noProof/>
          <w:sz w:val="22"/>
          <w:lang w:val="fr-FR" w:eastAsia="fr-FR"/>
        </w:rPr>
      </w:pPr>
      <w:r>
        <w:rPr>
          <w:noProof/>
        </w:rPr>
        <w:t>10.4.1.4</w:t>
      </w:r>
      <w:r w:rsidRPr="00D07295">
        <w:rPr>
          <w:rFonts w:ascii="Calibri" w:hAnsi="Calibri"/>
          <w:noProof/>
          <w:sz w:val="22"/>
          <w:lang w:val="fr-FR" w:eastAsia="fr-FR"/>
        </w:rPr>
        <w:tab/>
      </w:r>
      <w:r>
        <w:rPr>
          <w:noProof/>
        </w:rPr>
        <w:t>AEs requiring specific monitoring and reporting on specific e-CRFs</w:t>
      </w:r>
      <w:r>
        <w:rPr>
          <w:noProof/>
        </w:rPr>
        <w:tab/>
      </w:r>
      <w:r>
        <w:rPr>
          <w:noProof/>
        </w:rPr>
        <w:fldChar w:fldCharType="begin"/>
      </w:r>
      <w:r>
        <w:rPr>
          <w:noProof/>
        </w:rPr>
        <w:instrText xml:space="preserve"> PAGEREF _Toc443035910 \h </w:instrText>
      </w:r>
      <w:r>
        <w:rPr>
          <w:noProof/>
        </w:rPr>
      </w:r>
      <w:r>
        <w:rPr>
          <w:noProof/>
        </w:rPr>
        <w:fldChar w:fldCharType="separate"/>
      </w:r>
      <w:r>
        <w:rPr>
          <w:noProof/>
        </w:rPr>
        <w:t>81</w:t>
      </w:r>
      <w:r>
        <w:rPr>
          <w:noProof/>
        </w:rPr>
        <w:fldChar w:fldCharType="end"/>
      </w:r>
    </w:p>
    <w:p w:rsidR="005A26F6" w:rsidRPr="00D07295" w:rsidRDefault="005A26F6">
      <w:pPr>
        <w:pStyle w:val="TOC3"/>
        <w:rPr>
          <w:rFonts w:ascii="Calibri" w:hAnsi="Calibri"/>
          <w:noProof/>
          <w:sz w:val="22"/>
          <w:szCs w:val="22"/>
          <w:lang w:val="fr-FR" w:eastAsia="fr-FR"/>
        </w:rPr>
      </w:pPr>
      <w:r>
        <w:rPr>
          <w:noProof/>
        </w:rPr>
        <w:t>10.4.2</w:t>
      </w:r>
      <w:r w:rsidRPr="00D07295">
        <w:rPr>
          <w:rFonts w:ascii="Calibri" w:hAnsi="Calibri"/>
          <w:noProof/>
          <w:sz w:val="22"/>
          <w:szCs w:val="22"/>
          <w:lang w:val="fr-FR" w:eastAsia="fr-FR"/>
        </w:rPr>
        <w:tab/>
      </w:r>
      <w:r>
        <w:rPr>
          <w:noProof/>
        </w:rPr>
        <w:t>General guidelines for reporting adverse events</w:t>
      </w:r>
      <w:r>
        <w:rPr>
          <w:noProof/>
        </w:rPr>
        <w:tab/>
      </w:r>
      <w:r>
        <w:rPr>
          <w:noProof/>
        </w:rPr>
        <w:fldChar w:fldCharType="begin"/>
      </w:r>
      <w:r>
        <w:rPr>
          <w:noProof/>
        </w:rPr>
        <w:instrText xml:space="preserve"> PAGEREF _Toc443035911 \h </w:instrText>
      </w:r>
      <w:r>
        <w:rPr>
          <w:noProof/>
        </w:rPr>
      </w:r>
      <w:r>
        <w:rPr>
          <w:noProof/>
        </w:rPr>
        <w:fldChar w:fldCharType="separate"/>
      </w:r>
      <w:r>
        <w:rPr>
          <w:noProof/>
        </w:rPr>
        <w:t>81</w:t>
      </w:r>
      <w:r>
        <w:rPr>
          <w:noProof/>
        </w:rPr>
        <w:fldChar w:fldCharType="end"/>
      </w:r>
    </w:p>
    <w:p w:rsidR="005A26F6" w:rsidRPr="00D07295" w:rsidRDefault="005A26F6">
      <w:pPr>
        <w:pStyle w:val="TOC3"/>
        <w:rPr>
          <w:rFonts w:ascii="Calibri" w:hAnsi="Calibri"/>
          <w:noProof/>
          <w:sz w:val="22"/>
          <w:szCs w:val="22"/>
          <w:lang w:val="fr-FR" w:eastAsia="fr-FR"/>
        </w:rPr>
      </w:pPr>
      <w:r>
        <w:rPr>
          <w:noProof/>
        </w:rPr>
        <w:t>10.4.3</w:t>
      </w:r>
      <w:r w:rsidRPr="00D07295">
        <w:rPr>
          <w:rFonts w:ascii="Calibri" w:hAnsi="Calibri"/>
          <w:noProof/>
          <w:sz w:val="22"/>
          <w:szCs w:val="22"/>
          <w:lang w:val="fr-FR" w:eastAsia="fr-FR"/>
        </w:rPr>
        <w:tab/>
      </w:r>
      <w:r>
        <w:rPr>
          <w:noProof/>
        </w:rPr>
        <w:t>Instructions for reporting serious adverse events</w:t>
      </w:r>
      <w:r>
        <w:rPr>
          <w:noProof/>
        </w:rPr>
        <w:tab/>
      </w:r>
      <w:r>
        <w:rPr>
          <w:noProof/>
        </w:rPr>
        <w:fldChar w:fldCharType="begin"/>
      </w:r>
      <w:r>
        <w:rPr>
          <w:noProof/>
        </w:rPr>
        <w:instrText xml:space="preserve"> PAGEREF _Toc443035912 \h </w:instrText>
      </w:r>
      <w:r>
        <w:rPr>
          <w:noProof/>
        </w:rPr>
      </w:r>
      <w:r>
        <w:rPr>
          <w:noProof/>
        </w:rPr>
        <w:fldChar w:fldCharType="separate"/>
      </w:r>
      <w:r>
        <w:rPr>
          <w:noProof/>
        </w:rPr>
        <w:t>82</w:t>
      </w:r>
      <w:r>
        <w:rPr>
          <w:noProof/>
        </w:rPr>
        <w:fldChar w:fldCharType="end"/>
      </w:r>
    </w:p>
    <w:p w:rsidR="005A26F6" w:rsidRPr="00D07295" w:rsidRDefault="005A26F6">
      <w:pPr>
        <w:pStyle w:val="TOC3"/>
        <w:rPr>
          <w:rFonts w:ascii="Calibri" w:hAnsi="Calibri"/>
          <w:noProof/>
          <w:sz w:val="22"/>
          <w:szCs w:val="22"/>
          <w:lang w:val="fr-FR" w:eastAsia="fr-FR"/>
        </w:rPr>
      </w:pPr>
      <w:r>
        <w:rPr>
          <w:noProof/>
        </w:rPr>
        <w:t>10.4.4</w:t>
      </w:r>
      <w:r w:rsidRPr="00D07295">
        <w:rPr>
          <w:rFonts w:ascii="Calibri" w:hAnsi="Calibri"/>
          <w:noProof/>
          <w:sz w:val="22"/>
          <w:szCs w:val="22"/>
          <w:lang w:val="fr-FR" w:eastAsia="fr-FR"/>
        </w:rPr>
        <w:tab/>
      </w:r>
      <w:r>
        <w:rPr>
          <w:noProof/>
        </w:rPr>
        <w:t>Guidelines for reporting adverse events of special interest</w:t>
      </w:r>
      <w:r>
        <w:rPr>
          <w:noProof/>
        </w:rPr>
        <w:tab/>
      </w:r>
      <w:r>
        <w:rPr>
          <w:noProof/>
        </w:rPr>
        <w:fldChar w:fldCharType="begin"/>
      </w:r>
      <w:r>
        <w:rPr>
          <w:noProof/>
        </w:rPr>
        <w:instrText xml:space="preserve"> PAGEREF _Toc443035913 \h </w:instrText>
      </w:r>
      <w:r>
        <w:rPr>
          <w:noProof/>
        </w:rPr>
      </w:r>
      <w:r>
        <w:rPr>
          <w:noProof/>
        </w:rPr>
        <w:fldChar w:fldCharType="separate"/>
      </w:r>
      <w:r>
        <w:rPr>
          <w:noProof/>
        </w:rPr>
        <w:t>82</w:t>
      </w:r>
      <w:r>
        <w:rPr>
          <w:noProof/>
        </w:rPr>
        <w:fldChar w:fldCharType="end"/>
      </w:r>
    </w:p>
    <w:p w:rsidR="005A26F6" w:rsidRPr="00D07295" w:rsidRDefault="005A26F6">
      <w:pPr>
        <w:pStyle w:val="TOC3"/>
        <w:rPr>
          <w:rFonts w:ascii="Calibri" w:hAnsi="Calibri"/>
          <w:noProof/>
          <w:sz w:val="22"/>
          <w:szCs w:val="22"/>
          <w:lang w:val="fr-FR" w:eastAsia="fr-FR"/>
        </w:rPr>
      </w:pPr>
      <w:r>
        <w:rPr>
          <w:noProof/>
        </w:rPr>
        <w:t>10.4.5</w:t>
      </w:r>
      <w:r w:rsidRPr="00D07295">
        <w:rPr>
          <w:rFonts w:ascii="Calibri" w:hAnsi="Calibri"/>
          <w:noProof/>
          <w:sz w:val="22"/>
          <w:szCs w:val="22"/>
          <w:lang w:val="fr-FR" w:eastAsia="fr-FR"/>
        </w:rPr>
        <w:tab/>
      </w:r>
      <w:r>
        <w:rPr>
          <w:noProof/>
        </w:rPr>
        <w:t>Guidelines for management of specific laboratory abnormalities</w:t>
      </w:r>
      <w:r>
        <w:rPr>
          <w:noProof/>
        </w:rPr>
        <w:tab/>
      </w:r>
      <w:r>
        <w:rPr>
          <w:noProof/>
        </w:rPr>
        <w:fldChar w:fldCharType="begin"/>
      </w:r>
      <w:r>
        <w:rPr>
          <w:noProof/>
        </w:rPr>
        <w:instrText xml:space="preserve"> PAGEREF _Toc443035914 \h </w:instrText>
      </w:r>
      <w:r>
        <w:rPr>
          <w:noProof/>
        </w:rPr>
      </w:r>
      <w:r>
        <w:rPr>
          <w:noProof/>
        </w:rPr>
        <w:fldChar w:fldCharType="separate"/>
      </w:r>
      <w:r>
        <w:rPr>
          <w:noProof/>
        </w:rPr>
        <w:t>83</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10.5</w:t>
      </w:r>
      <w:r w:rsidRPr="00D07295">
        <w:rPr>
          <w:rFonts w:ascii="Calibri" w:hAnsi="Calibri"/>
          <w:caps w:val="0"/>
          <w:noProof/>
          <w:sz w:val="22"/>
          <w:szCs w:val="22"/>
          <w:lang w:val="fr-FR" w:eastAsia="fr-FR"/>
        </w:rPr>
        <w:tab/>
      </w:r>
      <w:r>
        <w:rPr>
          <w:noProof/>
        </w:rPr>
        <w:t>Obligations of the Sponsor</w:t>
      </w:r>
      <w:r>
        <w:rPr>
          <w:noProof/>
        </w:rPr>
        <w:tab/>
      </w:r>
      <w:r>
        <w:rPr>
          <w:noProof/>
        </w:rPr>
        <w:fldChar w:fldCharType="begin"/>
      </w:r>
      <w:r>
        <w:rPr>
          <w:noProof/>
        </w:rPr>
        <w:instrText xml:space="preserve"> PAGEREF _Toc443035915 \h </w:instrText>
      </w:r>
      <w:r>
        <w:rPr>
          <w:noProof/>
        </w:rPr>
      </w:r>
      <w:r>
        <w:rPr>
          <w:noProof/>
        </w:rPr>
        <w:fldChar w:fldCharType="separate"/>
      </w:r>
      <w:r>
        <w:rPr>
          <w:noProof/>
        </w:rPr>
        <w:t>84</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10.6</w:t>
      </w:r>
      <w:r w:rsidRPr="00D07295">
        <w:rPr>
          <w:rFonts w:ascii="Calibri" w:hAnsi="Calibri"/>
          <w:caps w:val="0"/>
          <w:noProof/>
          <w:sz w:val="22"/>
          <w:szCs w:val="22"/>
          <w:lang w:val="fr-FR" w:eastAsia="fr-FR"/>
        </w:rPr>
        <w:tab/>
      </w:r>
      <w:r>
        <w:rPr>
          <w:noProof/>
        </w:rPr>
        <w:t>Safety instructions</w:t>
      </w:r>
      <w:r>
        <w:rPr>
          <w:noProof/>
        </w:rPr>
        <w:tab/>
      </w:r>
      <w:r>
        <w:rPr>
          <w:noProof/>
        </w:rPr>
        <w:fldChar w:fldCharType="begin"/>
      </w:r>
      <w:r>
        <w:rPr>
          <w:noProof/>
        </w:rPr>
        <w:instrText xml:space="preserve"> PAGEREF _Toc443035916 \h </w:instrText>
      </w:r>
      <w:r>
        <w:rPr>
          <w:noProof/>
        </w:rPr>
      </w:r>
      <w:r>
        <w:rPr>
          <w:noProof/>
        </w:rPr>
        <w:fldChar w:fldCharType="separate"/>
      </w:r>
      <w:r>
        <w:rPr>
          <w:noProof/>
        </w:rPr>
        <w:t>84</w:t>
      </w:r>
      <w:r>
        <w:rPr>
          <w:noProof/>
        </w:rPr>
        <w:fldChar w:fldCharType="end"/>
      </w:r>
    </w:p>
    <w:p w:rsidR="005A26F6" w:rsidRPr="00D07295" w:rsidRDefault="005A26F6">
      <w:pPr>
        <w:pStyle w:val="TOC3"/>
        <w:rPr>
          <w:rFonts w:ascii="Calibri" w:hAnsi="Calibri"/>
          <w:noProof/>
          <w:sz w:val="22"/>
          <w:szCs w:val="22"/>
          <w:lang w:val="fr-FR" w:eastAsia="fr-FR"/>
        </w:rPr>
      </w:pPr>
      <w:r>
        <w:rPr>
          <w:noProof/>
        </w:rPr>
        <w:t>10.6.1</w:t>
      </w:r>
      <w:r w:rsidRPr="00D07295">
        <w:rPr>
          <w:rFonts w:ascii="Calibri" w:hAnsi="Calibri"/>
          <w:noProof/>
          <w:sz w:val="22"/>
          <w:szCs w:val="22"/>
          <w:lang w:val="fr-FR" w:eastAsia="fr-FR"/>
        </w:rPr>
        <w:tab/>
      </w:r>
      <w:r>
        <w:rPr>
          <w:noProof/>
        </w:rPr>
        <w:t>Symptomatic Hypoglycemia</w:t>
      </w:r>
      <w:r>
        <w:rPr>
          <w:noProof/>
        </w:rPr>
        <w:tab/>
      </w:r>
      <w:r>
        <w:rPr>
          <w:noProof/>
        </w:rPr>
        <w:fldChar w:fldCharType="begin"/>
      </w:r>
      <w:r>
        <w:rPr>
          <w:noProof/>
        </w:rPr>
        <w:instrText xml:space="preserve"> PAGEREF _Toc443035917 \h </w:instrText>
      </w:r>
      <w:r>
        <w:rPr>
          <w:noProof/>
        </w:rPr>
      </w:r>
      <w:r>
        <w:rPr>
          <w:noProof/>
        </w:rPr>
        <w:fldChar w:fldCharType="separate"/>
      </w:r>
      <w:r>
        <w:rPr>
          <w:noProof/>
        </w:rPr>
        <w:t>84</w:t>
      </w:r>
      <w:r>
        <w:rPr>
          <w:noProof/>
        </w:rPr>
        <w:fldChar w:fldCharType="end"/>
      </w:r>
    </w:p>
    <w:p w:rsidR="005A26F6" w:rsidRPr="00D07295" w:rsidRDefault="005A26F6">
      <w:pPr>
        <w:pStyle w:val="TOC3"/>
        <w:rPr>
          <w:rFonts w:ascii="Calibri" w:hAnsi="Calibri"/>
          <w:noProof/>
          <w:sz w:val="22"/>
          <w:szCs w:val="22"/>
          <w:lang w:val="fr-FR" w:eastAsia="fr-FR"/>
        </w:rPr>
      </w:pPr>
      <w:r>
        <w:rPr>
          <w:noProof/>
        </w:rPr>
        <w:t>10.6.2</w:t>
      </w:r>
      <w:r w:rsidRPr="00D07295">
        <w:rPr>
          <w:rFonts w:ascii="Calibri" w:hAnsi="Calibri"/>
          <w:noProof/>
          <w:sz w:val="22"/>
          <w:szCs w:val="22"/>
          <w:lang w:val="fr-FR" w:eastAsia="fr-FR"/>
        </w:rPr>
        <w:tab/>
      </w:r>
      <w:r>
        <w:rPr>
          <w:noProof/>
        </w:rPr>
        <w:t>Local tolerability at injection site</w:t>
      </w:r>
      <w:r>
        <w:rPr>
          <w:noProof/>
        </w:rPr>
        <w:tab/>
      </w:r>
      <w:r>
        <w:rPr>
          <w:noProof/>
        </w:rPr>
        <w:fldChar w:fldCharType="begin"/>
      </w:r>
      <w:r>
        <w:rPr>
          <w:noProof/>
        </w:rPr>
        <w:instrText xml:space="preserve"> PAGEREF _Toc443035918 \h </w:instrText>
      </w:r>
      <w:r>
        <w:rPr>
          <w:noProof/>
        </w:rPr>
      </w:r>
      <w:r>
        <w:rPr>
          <w:noProof/>
        </w:rPr>
        <w:fldChar w:fldCharType="separate"/>
      </w:r>
      <w:r>
        <w:rPr>
          <w:noProof/>
        </w:rPr>
        <w:t>85</w:t>
      </w:r>
      <w:r>
        <w:rPr>
          <w:noProof/>
        </w:rPr>
        <w:fldChar w:fldCharType="end"/>
      </w:r>
    </w:p>
    <w:p w:rsidR="005A26F6" w:rsidRPr="00D07295" w:rsidRDefault="005A26F6">
      <w:pPr>
        <w:pStyle w:val="TOC3"/>
        <w:rPr>
          <w:rFonts w:ascii="Calibri" w:hAnsi="Calibri"/>
          <w:noProof/>
          <w:sz w:val="22"/>
          <w:szCs w:val="22"/>
          <w:lang w:val="fr-FR" w:eastAsia="fr-FR"/>
        </w:rPr>
      </w:pPr>
      <w:r>
        <w:rPr>
          <w:noProof/>
        </w:rPr>
        <w:t>10.6.3</w:t>
      </w:r>
      <w:r w:rsidRPr="00D07295">
        <w:rPr>
          <w:rFonts w:ascii="Calibri" w:hAnsi="Calibri"/>
          <w:noProof/>
          <w:sz w:val="22"/>
          <w:szCs w:val="22"/>
          <w:lang w:val="fr-FR" w:eastAsia="fr-FR"/>
        </w:rPr>
        <w:tab/>
      </w:r>
      <w:r>
        <w:rPr>
          <w:noProof/>
        </w:rPr>
        <w:t>Allergic or allergic-like reaction</w:t>
      </w:r>
      <w:r>
        <w:rPr>
          <w:noProof/>
        </w:rPr>
        <w:tab/>
      </w:r>
      <w:r>
        <w:rPr>
          <w:noProof/>
        </w:rPr>
        <w:fldChar w:fldCharType="begin"/>
      </w:r>
      <w:r>
        <w:rPr>
          <w:noProof/>
        </w:rPr>
        <w:instrText xml:space="preserve"> PAGEREF _Toc443035919 \h </w:instrText>
      </w:r>
      <w:r>
        <w:rPr>
          <w:noProof/>
        </w:rPr>
      </w:r>
      <w:r>
        <w:rPr>
          <w:noProof/>
        </w:rPr>
        <w:fldChar w:fldCharType="separate"/>
      </w:r>
      <w:r>
        <w:rPr>
          <w:noProof/>
        </w:rPr>
        <w:t>85</w:t>
      </w:r>
      <w:r>
        <w:rPr>
          <w:noProof/>
        </w:rPr>
        <w:fldChar w:fldCharType="end"/>
      </w:r>
    </w:p>
    <w:p w:rsidR="005A26F6" w:rsidRPr="00D07295" w:rsidRDefault="005A26F6">
      <w:pPr>
        <w:pStyle w:val="TOC3"/>
        <w:rPr>
          <w:rFonts w:ascii="Calibri" w:hAnsi="Calibri"/>
          <w:noProof/>
          <w:sz w:val="22"/>
          <w:szCs w:val="22"/>
          <w:lang w:val="fr-FR" w:eastAsia="fr-FR"/>
        </w:rPr>
      </w:pPr>
      <w:r>
        <w:rPr>
          <w:noProof/>
        </w:rPr>
        <w:t>10.6.4</w:t>
      </w:r>
      <w:r w:rsidRPr="00D07295">
        <w:rPr>
          <w:rFonts w:ascii="Calibri" w:hAnsi="Calibri"/>
          <w:noProof/>
          <w:sz w:val="22"/>
          <w:szCs w:val="22"/>
          <w:lang w:val="fr-FR" w:eastAsia="fr-FR"/>
        </w:rPr>
        <w:tab/>
      </w:r>
      <w:r>
        <w:rPr>
          <w:noProof/>
        </w:rPr>
        <w:t>Monitoring of patients with increased lipase and/or amylase &gt;2x ULN</w:t>
      </w:r>
      <w:r>
        <w:rPr>
          <w:noProof/>
        </w:rPr>
        <w:tab/>
      </w:r>
      <w:r>
        <w:rPr>
          <w:noProof/>
        </w:rPr>
        <w:fldChar w:fldCharType="begin"/>
      </w:r>
      <w:r>
        <w:rPr>
          <w:noProof/>
        </w:rPr>
        <w:instrText xml:space="preserve"> PAGEREF _Toc443035920 \h </w:instrText>
      </w:r>
      <w:r>
        <w:rPr>
          <w:noProof/>
        </w:rPr>
      </w:r>
      <w:r>
        <w:rPr>
          <w:noProof/>
        </w:rPr>
        <w:fldChar w:fldCharType="separate"/>
      </w:r>
      <w:r>
        <w:rPr>
          <w:noProof/>
        </w:rPr>
        <w:t>86</w:t>
      </w:r>
      <w:r>
        <w:rPr>
          <w:noProof/>
        </w:rPr>
        <w:fldChar w:fldCharType="end"/>
      </w:r>
    </w:p>
    <w:p w:rsidR="005A26F6" w:rsidRPr="00D07295" w:rsidRDefault="005A26F6">
      <w:pPr>
        <w:pStyle w:val="TOC3"/>
        <w:rPr>
          <w:rFonts w:ascii="Calibri" w:hAnsi="Calibri"/>
          <w:noProof/>
          <w:sz w:val="22"/>
          <w:szCs w:val="22"/>
          <w:lang w:val="fr-FR" w:eastAsia="fr-FR"/>
        </w:rPr>
      </w:pPr>
      <w:r>
        <w:rPr>
          <w:noProof/>
        </w:rPr>
        <w:t>10.6.5</w:t>
      </w:r>
      <w:r w:rsidRPr="00D07295">
        <w:rPr>
          <w:rFonts w:ascii="Calibri" w:hAnsi="Calibri"/>
          <w:noProof/>
          <w:sz w:val="22"/>
          <w:szCs w:val="22"/>
          <w:lang w:val="fr-FR" w:eastAsia="fr-FR"/>
        </w:rPr>
        <w:tab/>
      </w:r>
      <w:r>
        <w:rPr>
          <w:noProof/>
        </w:rPr>
        <w:t>Management of patients with increased calcitonin values</w:t>
      </w:r>
      <w:r>
        <w:rPr>
          <w:noProof/>
        </w:rPr>
        <w:tab/>
      </w:r>
      <w:r>
        <w:rPr>
          <w:noProof/>
        </w:rPr>
        <w:fldChar w:fldCharType="begin"/>
      </w:r>
      <w:r>
        <w:rPr>
          <w:noProof/>
        </w:rPr>
        <w:instrText xml:space="preserve"> PAGEREF _Toc443035921 \h </w:instrText>
      </w:r>
      <w:r>
        <w:rPr>
          <w:noProof/>
        </w:rPr>
      </w:r>
      <w:r>
        <w:rPr>
          <w:noProof/>
        </w:rPr>
        <w:fldChar w:fldCharType="separate"/>
      </w:r>
      <w:r>
        <w:rPr>
          <w:noProof/>
        </w:rPr>
        <w:t>87</w:t>
      </w:r>
      <w:r>
        <w:rPr>
          <w:noProof/>
        </w:rPr>
        <w:fldChar w:fldCharType="end"/>
      </w:r>
    </w:p>
    <w:p w:rsidR="005A26F6" w:rsidRPr="00D07295" w:rsidRDefault="005A26F6">
      <w:pPr>
        <w:pStyle w:val="TOC3"/>
        <w:rPr>
          <w:rFonts w:ascii="Calibri" w:hAnsi="Calibri"/>
          <w:noProof/>
          <w:sz w:val="22"/>
          <w:szCs w:val="22"/>
          <w:lang w:val="fr-FR" w:eastAsia="fr-FR"/>
        </w:rPr>
      </w:pPr>
      <w:r>
        <w:rPr>
          <w:noProof/>
        </w:rPr>
        <w:t>10.6.6</w:t>
      </w:r>
      <w:r w:rsidRPr="00D07295">
        <w:rPr>
          <w:rFonts w:ascii="Calibri" w:hAnsi="Calibri"/>
          <w:noProof/>
          <w:sz w:val="22"/>
          <w:szCs w:val="22"/>
          <w:lang w:val="fr-FR" w:eastAsia="fr-FR"/>
        </w:rPr>
        <w:tab/>
      </w:r>
      <w:r>
        <w:rPr>
          <w:noProof/>
        </w:rPr>
        <w:t>Monitoring of renal function in case of prolonged and severe nausea and vomiting</w:t>
      </w:r>
      <w:r>
        <w:rPr>
          <w:noProof/>
        </w:rPr>
        <w:tab/>
      </w:r>
      <w:r>
        <w:rPr>
          <w:noProof/>
        </w:rPr>
        <w:fldChar w:fldCharType="begin"/>
      </w:r>
      <w:r>
        <w:rPr>
          <w:noProof/>
        </w:rPr>
        <w:instrText xml:space="preserve"> PAGEREF _Toc443035922 \h </w:instrText>
      </w:r>
      <w:r>
        <w:rPr>
          <w:noProof/>
        </w:rPr>
      </w:r>
      <w:r>
        <w:rPr>
          <w:noProof/>
        </w:rPr>
        <w:fldChar w:fldCharType="separate"/>
      </w:r>
      <w:r>
        <w:rPr>
          <w:noProof/>
        </w:rPr>
        <w:t>88</w:t>
      </w:r>
      <w:r>
        <w:rPr>
          <w:noProof/>
        </w:rPr>
        <w:fldChar w:fldCharType="end"/>
      </w:r>
    </w:p>
    <w:p w:rsidR="005A26F6" w:rsidRPr="00D07295" w:rsidRDefault="005A26F6">
      <w:pPr>
        <w:pStyle w:val="TOC3"/>
        <w:rPr>
          <w:rFonts w:ascii="Calibri" w:hAnsi="Calibri"/>
          <w:noProof/>
          <w:sz w:val="22"/>
          <w:szCs w:val="22"/>
          <w:lang w:val="fr-FR" w:eastAsia="fr-FR"/>
        </w:rPr>
      </w:pPr>
      <w:r>
        <w:rPr>
          <w:noProof/>
        </w:rPr>
        <w:t>10.6.7</w:t>
      </w:r>
      <w:r w:rsidRPr="00D07295">
        <w:rPr>
          <w:rFonts w:ascii="Calibri" w:hAnsi="Calibri"/>
          <w:noProof/>
          <w:sz w:val="22"/>
          <w:szCs w:val="22"/>
          <w:lang w:val="fr-FR" w:eastAsia="fr-FR"/>
        </w:rPr>
        <w:tab/>
      </w:r>
      <w:r>
        <w:rPr>
          <w:noProof/>
        </w:rPr>
        <w:t>Follow-up of laboratory abnormalities</w:t>
      </w:r>
      <w:r>
        <w:rPr>
          <w:noProof/>
        </w:rPr>
        <w:tab/>
      </w:r>
      <w:r>
        <w:rPr>
          <w:noProof/>
        </w:rPr>
        <w:fldChar w:fldCharType="begin"/>
      </w:r>
      <w:r>
        <w:rPr>
          <w:noProof/>
        </w:rPr>
        <w:instrText xml:space="preserve"> PAGEREF _Toc443035923 \h </w:instrText>
      </w:r>
      <w:r>
        <w:rPr>
          <w:noProof/>
        </w:rPr>
      </w:r>
      <w:r>
        <w:rPr>
          <w:noProof/>
        </w:rPr>
        <w:fldChar w:fldCharType="separate"/>
      </w:r>
      <w:r>
        <w:rPr>
          <w:noProof/>
        </w:rPr>
        <w:t>88</w:t>
      </w:r>
      <w:r>
        <w:rPr>
          <w:noProof/>
        </w:rPr>
        <w:fldChar w:fldCharType="end"/>
      </w:r>
    </w:p>
    <w:p w:rsidR="005A26F6" w:rsidRPr="00D07295" w:rsidRDefault="005A26F6">
      <w:pPr>
        <w:pStyle w:val="TOC3"/>
        <w:rPr>
          <w:rFonts w:ascii="Calibri" w:hAnsi="Calibri"/>
          <w:noProof/>
          <w:sz w:val="22"/>
          <w:szCs w:val="22"/>
          <w:lang w:val="fr-FR" w:eastAsia="fr-FR"/>
        </w:rPr>
      </w:pPr>
      <w:r>
        <w:rPr>
          <w:noProof/>
        </w:rPr>
        <w:t>10.6.8</w:t>
      </w:r>
      <w:r w:rsidRPr="00D07295">
        <w:rPr>
          <w:rFonts w:ascii="Calibri" w:hAnsi="Calibri"/>
          <w:noProof/>
          <w:sz w:val="22"/>
          <w:szCs w:val="22"/>
          <w:lang w:val="fr-FR" w:eastAsia="fr-FR"/>
        </w:rPr>
        <w:tab/>
      </w:r>
      <w:r>
        <w:rPr>
          <w:noProof/>
        </w:rPr>
        <w:t>Monitoring of pen-related events (device-related events)</w:t>
      </w:r>
      <w:r>
        <w:rPr>
          <w:noProof/>
        </w:rPr>
        <w:tab/>
      </w:r>
      <w:r>
        <w:rPr>
          <w:noProof/>
        </w:rPr>
        <w:fldChar w:fldCharType="begin"/>
      </w:r>
      <w:r>
        <w:rPr>
          <w:noProof/>
        </w:rPr>
        <w:instrText xml:space="preserve"> PAGEREF _Toc443035924 \h </w:instrText>
      </w:r>
      <w:r>
        <w:rPr>
          <w:noProof/>
        </w:rPr>
      </w:r>
      <w:r>
        <w:rPr>
          <w:noProof/>
        </w:rPr>
        <w:fldChar w:fldCharType="separate"/>
      </w:r>
      <w:r>
        <w:rPr>
          <w:noProof/>
        </w:rPr>
        <w:t>88</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10.7</w:t>
      </w:r>
      <w:r w:rsidRPr="00D07295">
        <w:rPr>
          <w:rFonts w:ascii="Calibri" w:hAnsi="Calibri"/>
          <w:caps w:val="0"/>
          <w:noProof/>
          <w:sz w:val="22"/>
          <w:szCs w:val="22"/>
          <w:lang w:val="fr-FR" w:eastAsia="fr-FR"/>
        </w:rPr>
        <w:tab/>
      </w:r>
      <w:r>
        <w:rPr>
          <w:noProof/>
        </w:rPr>
        <w:t>Adverse Events monitoring</w:t>
      </w:r>
      <w:r>
        <w:rPr>
          <w:noProof/>
        </w:rPr>
        <w:tab/>
      </w:r>
      <w:r>
        <w:rPr>
          <w:noProof/>
        </w:rPr>
        <w:fldChar w:fldCharType="begin"/>
      </w:r>
      <w:r>
        <w:rPr>
          <w:noProof/>
        </w:rPr>
        <w:instrText xml:space="preserve"> PAGEREF _Toc443035925 \h </w:instrText>
      </w:r>
      <w:r>
        <w:rPr>
          <w:noProof/>
        </w:rPr>
      </w:r>
      <w:r>
        <w:rPr>
          <w:noProof/>
        </w:rPr>
        <w:fldChar w:fldCharType="separate"/>
      </w:r>
      <w:r>
        <w:rPr>
          <w:noProof/>
        </w:rPr>
        <w:t>89</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11</w:t>
      </w:r>
      <w:r w:rsidRPr="00D07295">
        <w:rPr>
          <w:rFonts w:ascii="Calibri" w:hAnsi="Calibri"/>
          <w:b w:val="0"/>
          <w:caps w:val="0"/>
          <w:noProof/>
          <w:sz w:val="22"/>
          <w:szCs w:val="22"/>
          <w:lang w:val="fr-FR" w:eastAsia="fr-FR"/>
        </w:rPr>
        <w:tab/>
      </w:r>
      <w:r>
        <w:rPr>
          <w:noProof/>
        </w:rPr>
        <w:t>Statistical considerations</w:t>
      </w:r>
      <w:r>
        <w:rPr>
          <w:noProof/>
        </w:rPr>
        <w:tab/>
      </w:r>
      <w:r>
        <w:rPr>
          <w:noProof/>
        </w:rPr>
        <w:fldChar w:fldCharType="begin"/>
      </w:r>
      <w:r>
        <w:rPr>
          <w:noProof/>
        </w:rPr>
        <w:instrText xml:space="preserve"> PAGEREF _Toc443035926 \h </w:instrText>
      </w:r>
      <w:r>
        <w:rPr>
          <w:noProof/>
        </w:rPr>
      </w:r>
      <w:r>
        <w:rPr>
          <w:noProof/>
        </w:rPr>
        <w:fldChar w:fldCharType="separate"/>
      </w:r>
      <w:r>
        <w:rPr>
          <w:noProof/>
        </w:rPr>
        <w:t>90</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11.1</w:t>
      </w:r>
      <w:r w:rsidRPr="00D07295">
        <w:rPr>
          <w:rFonts w:ascii="Calibri" w:hAnsi="Calibri"/>
          <w:caps w:val="0"/>
          <w:noProof/>
          <w:sz w:val="22"/>
          <w:szCs w:val="22"/>
          <w:lang w:val="fr-FR" w:eastAsia="fr-FR"/>
        </w:rPr>
        <w:tab/>
      </w:r>
      <w:r>
        <w:rPr>
          <w:noProof/>
        </w:rPr>
        <w:t>Determination of sample size</w:t>
      </w:r>
      <w:r>
        <w:rPr>
          <w:noProof/>
        </w:rPr>
        <w:tab/>
      </w:r>
      <w:r>
        <w:rPr>
          <w:noProof/>
        </w:rPr>
        <w:fldChar w:fldCharType="begin"/>
      </w:r>
      <w:r>
        <w:rPr>
          <w:noProof/>
        </w:rPr>
        <w:instrText xml:space="preserve"> PAGEREF _Toc443035927 \h </w:instrText>
      </w:r>
      <w:r>
        <w:rPr>
          <w:noProof/>
        </w:rPr>
      </w:r>
      <w:r>
        <w:rPr>
          <w:noProof/>
        </w:rPr>
        <w:fldChar w:fldCharType="separate"/>
      </w:r>
      <w:r>
        <w:rPr>
          <w:noProof/>
        </w:rPr>
        <w:t>90</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11.2</w:t>
      </w:r>
      <w:r w:rsidRPr="00D07295">
        <w:rPr>
          <w:rFonts w:ascii="Calibri" w:hAnsi="Calibri"/>
          <w:caps w:val="0"/>
          <w:noProof/>
          <w:sz w:val="22"/>
          <w:szCs w:val="22"/>
          <w:lang w:val="fr-FR" w:eastAsia="fr-FR"/>
        </w:rPr>
        <w:tab/>
      </w:r>
      <w:r>
        <w:rPr>
          <w:noProof/>
        </w:rPr>
        <w:t>Disposition of patients</w:t>
      </w:r>
      <w:r>
        <w:rPr>
          <w:noProof/>
        </w:rPr>
        <w:tab/>
      </w:r>
      <w:r>
        <w:rPr>
          <w:noProof/>
        </w:rPr>
        <w:fldChar w:fldCharType="begin"/>
      </w:r>
      <w:r>
        <w:rPr>
          <w:noProof/>
        </w:rPr>
        <w:instrText xml:space="preserve"> PAGEREF _Toc443035928 \h </w:instrText>
      </w:r>
      <w:r>
        <w:rPr>
          <w:noProof/>
        </w:rPr>
      </w:r>
      <w:r>
        <w:rPr>
          <w:noProof/>
        </w:rPr>
        <w:fldChar w:fldCharType="separate"/>
      </w:r>
      <w:r>
        <w:rPr>
          <w:noProof/>
        </w:rPr>
        <w:t>90</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11.3</w:t>
      </w:r>
      <w:r w:rsidRPr="00D07295">
        <w:rPr>
          <w:rFonts w:ascii="Calibri" w:hAnsi="Calibri"/>
          <w:caps w:val="0"/>
          <w:noProof/>
          <w:sz w:val="22"/>
          <w:szCs w:val="22"/>
          <w:lang w:val="fr-FR" w:eastAsia="fr-FR"/>
        </w:rPr>
        <w:tab/>
      </w:r>
      <w:r>
        <w:rPr>
          <w:noProof/>
        </w:rPr>
        <w:t>Analysis populations</w:t>
      </w:r>
      <w:r>
        <w:rPr>
          <w:noProof/>
        </w:rPr>
        <w:tab/>
      </w:r>
      <w:r>
        <w:rPr>
          <w:noProof/>
        </w:rPr>
        <w:fldChar w:fldCharType="begin"/>
      </w:r>
      <w:r>
        <w:rPr>
          <w:noProof/>
        </w:rPr>
        <w:instrText xml:space="preserve"> PAGEREF _Toc443035929 \h </w:instrText>
      </w:r>
      <w:r>
        <w:rPr>
          <w:noProof/>
        </w:rPr>
      </w:r>
      <w:r>
        <w:rPr>
          <w:noProof/>
        </w:rPr>
        <w:fldChar w:fldCharType="separate"/>
      </w:r>
      <w:r>
        <w:rPr>
          <w:noProof/>
        </w:rPr>
        <w:t>91</w:t>
      </w:r>
      <w:r>
        <w:rPr>
          <w:noProof/>
        </w:rPr>
        <w:fldChar w:fldCharType="end"/>
      </w:r>
    </w:p>
    <w:p w:rsidR="005A26F6" w:rsidRPr="00D07295" w:rsidRDefault="005A26F6">
      <w:pPr>
        <w:pStyle w:val="TOC3"/>
        <w:rPr>
          <w:rFonts w:ascii="Calibri" w:hAnsi="Calibri"/>
          <w:noProof/>
          <w:sz w:val="22"/>
          <w:szCs w:val="22"/>
          <w:lang w:val="fr-FR" w:eastAsia="fr-FR"/>
        </w:rPr>
      </w:pPr>
      <w:r>
        <w:rPr>
          <w:noProof/>
        </w:rPr>
        <w:t>11.3.1</w:t>
      </w:r>
      <w:r w:rsidRPr="00D07295">
        <w:rPr>
          <w:rFonts w:ascii="Calibri" w:hAnsi="Calibri"/>
          <w:noProof/>
          <w:sz w:val="22"/>
          <w:szCs w:val="22"/>
          <w:lang w:val="fr-FR" w:eastAsia="fr-FR"/>
        </w:rPr>
        <w:tab/>
      </w:r>
      <w:r>
        <w:rPr>
          <w:noProof/>
        </w:rPr>
        <w:t>Efficacy populations</w:t>
      </w:r>
      <w:r>
        <w:rPr>
          <w:noProof/>
        </w:rPr>
        <w:tab/>
      </w:r>
      <w:r>
        <w:rPr>
          <w:noProof/>
        </w:rPr>
        <w:fldChar w:fldCharType="begin"/>
      </w:r>
      <w:r>
        <w:rPr>
          <w:noProof/>
        </w:rPr>
        <w:instrText xml:space="preserve"> PAGEREF _Toc443035930 \h </w:instrText>
      </w:r>
      <w:r>
        <w:rPr>
          <w:noProof/>
        </w:rPr>
      </w:r>
      <w:r>
        <w:rPr>
          <w:noProof/>
        </w:rPr>
        <w:fldChar w:fldCharType="separate"/>
      </w:r>
      <w:r>
        <w:rPr>
          <w:noProof/>
        </w:rPr>
        <w:t>91</w:t>
      </w:r>
      <w:r>
        <w:rPr>
          <w:noProof/>
        </w:rPr>
        <w:fldChar w:fldCharType="end"/>
      </w:r>
    </w:p>
    <w:p w:rsidR="005A26F6" w:rsidRPr="00D07295" w:rsidRDefault="005A26F6">
      <w:pPr>
        <w:pStyle w:val="TOC4"/>
        <w:rPr>
          <w:rFonts w:ascii="Calibri" w:hAnsi="Calibri"/>
          <w:noProof/>
          <w:sz w:val="22"/>
          <w:lang w:val="fr-FR" w:eastAsia="fr-FR"/>
        </w:rPr>
      </w:pPr>
      <w:r>
        <w:rPr>
          <w:noProof/>
        </w:rPr>
        <w:t>11.3.1.1</w:t>
      </w:r>
      <w:r w:rsidRPr="00D07295">
        <w:rPr>
          <w:rFonts w:ascii="Calibri" w:hAnsi="Calibri"/>
          <w:noProof/>
          <w:sz w:val="22"/>
          <w:lang w:val="fr-FR" w:eastAsia="fr-FR"/>
        </w:rPr>
        <w:tab/>
      </w:r>
      <w:r>
        <w:rPr>
          <w:noProof/>
        </w:rPr>
        <w:t>Modified intent-to-treat population</w:t>
      </w:r>
      <w:r>
        <w:rPr>
          <w:noProof/>
        </w:rPr>
        <w:tab/>
      </w:r>
      <w:r>
        <w:rPr>
          <w:noProof/>
        </w:rPr>
        <w:fldChar w:fldCharType="begin"/>
      </w:r>
      <w:r>
        <w:rPr>
          <w:noProof/>
        </w:rPr>
        <w:instrText xml:space="preserve"> PAGEREF _Toc443035931 \h </w:instrText>
      </w:r>
      <w:r>
        <w:rPr>
          <w:noProof/>
        </w:rPr>
      </w:r>
      <w:r>
        <w:rPr>
          <w:noProof/>
        </w:rPr>
        <w:fldChar w:fldCharType="separate"/>
      </w:r>
      <w:r>
        <w:rPr>
          <w:noProof/>
        </w:rPr>
        <w:t>91</w:t>
      </w:r>
      <w:r>
        <w:rPr>
          <w:noProof/>
        </w:rPr>
        <w:fldChar w:fldCharType="end"/>
      </w:r>
    </w:p>
    <w:p w:rsidR="005A26F6" w:rsidRPr="00D07295" w:rsidRDefault="005A26F6">
      <w:pPr>
        <w:pStyle w:val="TOC3"/>
        <w:rPr>
          <w:rFonts w:ascii="Calibri" w:hAnsi="Calibri"/>
          <w:noProof/>
          <w:sz w:val="22"/>
          <w:szCs w:val="22"/>
          <w:lang w:val="fr-FR" w:eastAsia="fr-FR"/>
        </w:rPr>
      </w:pPr>
      <w:r>
        <w:rPr>
          <w:noProof/>
        </w:rPr>
        <w:t>11.3.2</w:t>
      </w:r>
      <w:r w:rsidRPr="00D07295">
        <w:rPr>
          <w:rFonts w:ascii="Calibri" w:hAnsi="Calibri"/>
          <w:noProof/>
          <w:sz w:val="22"/>
          <w:szCs w:val="22"/>
          <w:lang w:val="fr-FR" w:eastAsia="fr-FR"/>
        </w:rPr>
        <w:tab/>
      </w:r>
      <w:r>
        <w:rPr>
          <w:noProof/>
        </w:rPr>
        <w:t>Safety population</w:t>
      </w:r>
      <w:r>
        <w:rPr>
          <w:noProof/>
        </w:rPr>
        <w:tab/>
      </w:r>
      <w:r>
        <w:rPr>
          <w:noProof/>
        </w:rPr>
        <w:fldChar w:fldCharType="begin"/>
      </w:r>
      <w:r>
        <w:rPr>
          <w:noProof/>
        </w:rPr>
        <w:instrText xml:space="preserve"> PAGEREF _Toc443035932 \h </w:instrText>
      </w:r>
      <w:r>
        <w:rPr>
          <w:noProof/>
        </w:rPr>
      </w:r>
      <w:r>
        <w:rPr>
          <w:noProof/>
        </w:rPr>
        <w:fldChar w:fldCharType="separate"/>
      </w:r>
      <w:r>
        <w:rPr>
          <w:noProof/>
        </w:rPr>
        <w:t>91</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11.4</w:t>
      </w:r>
      <w:r w:rsidRPr="00D07295">
        <w:rPr>
          <w:rFonts w:ascii="Calibri" w:hAnsi="Calibri"/>
          <w:caps w:val="0"/>
          <w:noProof/>
          <w:sz w:val="22"/>
          <w:szCs w:val="22"/>
          <w:lang w:val="fr-FR" w:eastAsia="fr-FR"/>
        </w:rPr>
        <w:tab/>
      </w:r>
      <w:r>
        <w:rPr>
          <w:noProof/>
        </w:rPr>
        <w:t>Statistical methods</w:t>
      </w:r>
      <w:r>
        <w:rPr>
          <w:noProof/>
        </w:rPr>
        <w:tab/>
      </w:r>
      <w:r>
        <w:rPr>
          <w:noProof/>
        </w:rPr>
        <w:fldChar w:fldCharType="begin"/>
      </w:r>
      <w:r>
        <w:rPr>
          <w:noProof/>
        </w:rPr>
        <w:instrText xml:space="preserve"> PAGEREF _Toc443035933 \h </w:instrText>
      </w:r>
      <w:r>
        <w:rPr>
          <w:noProof/>
        </w:rPr>
      </w:r>
      <w:r>
        <w:rPr>
          <w:noProof/>
        </w:rPr>
        <w:fldChar w:fldCharType="separate"/>
      </w:r>
      <w:r>
        <w:rPr>
          <w:noProof/>
        </w:rPr>
        <w:t>92</w:t>
      </w:r>
      <w:r>
        <w:rPr>
          <w:noProof/>
        </w:rPr>
        <w:fldChar w:fldCharType="end"/>
      </w:r>
    </w:p>
    <w:p w:rsidR="005A26F6" w:rsidRPr="00D07295" w:rsidRDefault="005A26F6">
      <w:pPr>
        <w:pStyle w:val="TOC3"/>
        <w:rPr>
          <w:rFonts w:ascii="Calibri" w:hAnsi="Calibri"/>
          <w:noProof/>
          <w:sz w:val="22"/>
          <w:szCs w:val="22"/>
          <w:lang w:val="fr-FR" w:eastAsia="fr-FR"/>
        </w:rPr>
      </w:pPr>
      <w:r>
        <w:rPr>
          <w:noProof/>
        </w:rPr>
        <w:t>11.4.1</w:t>
      </w:r>
      <w:r w:rsidRPr="00D07295">
        <w:rPr>
          <w:rFonts w:ascii="Calibri" w:hAnsi="Calibri"/>
          <w:noProof/>
          <w:sz w:val="22"/>
          <w:szCs w:val="22"/>
          <w:lang w:val="fr-FR" w:eastAsia="fr-FR"/>
        </w:rPr>
        <w:tab/>
      </w:r>
      <w:r>
        <w:rPr>
          <w:noProof/>
        </w:rPr>
        <w:t>Demographic and baseline characteristics</w:t>
      </w:r>
      <w:r>
        <w:rPr>
          <w:noProof/>
        </w:rPr>
        <w:tab/>
      </w:r>
      <w:r>
        <w:rPr>
          <w:noProof/>
        </w:rPr>
        <w:fldChar w:fldCharType="begin"/>
      </w:r>
      <w:r>
        <w:rPr>
          <w:noProof/>
        </w:rPr>
        <w:instrText xml:space="preserve"> PAGEREF _Toc443035934 \h </w:instrText>
      </w:r>
      <w:r>
        <w:rPr>
          <w:noProof/>
        </w:rPr>
      </w:r>
      <w:r>
        <w:rPr>
          <w:noProof/>
        </w:rPr>
        <w:fldChar w:fldCharType="separate"/>
      </w:r>
      <w:r>
        <w:rPr>
          <w:noProof/>
        </w:rPr>
        <w:t>92</w:t>
      </w:r>
      <w:r>
        <w:rPr>
          <w:noProof/>
        </w:rPr>
        <w:fldChar w:fldCharType="end"/>
      </w:r>
    </w:p>
    <w:p w:rsidR="005A26F6" w:rsidRPr="00D07295" w:rsidRDefault="005A26F6">
      <w:pPr>
        <w:pStyle w:val="TOC3"/>
        <w:rPr>
          <w:rFonts w:ascii="Calibri" w:hAnsi="Calibri"/>
          <w:noProof/>
          <w:sz w:val="22"/>
          <w:szCs w:val="22"/>
          <w:lang w:val="fr-FR" w:eastAsia="fr-FR"/>
        </w:rPr>
      </w:pPr>
      <w:r>
        <w:rPr>
          <w:noProof/>
        </w:rPr>
        <w:t>11.4.2</w:t>
      </w:r>
      <w:r w:rsidRPr="00D07295">
        <w:rPr>
          <w:rFonts w:ascii="Calibri" w:hAnsi="Calibri"/>
          <w:noProof/>
          <w:sz w:val="22"/>
          <w:szCs w:val="22"/>
          <w:lang w:val="fr-FR" w:eastAsia="fr-FR"/>
        </w:rPr>
        <w:tab/>
      </w:r>
      <w:r>
        <w:rPr>
          <w:noProof/>
        </w:rPr>
        <w:t>Prior and concomitant medications</w:t>
      </w:r>
      <w:r>
        <w:rPr>
          <w:noProof/>
        </w:rPr>
        <w:tab/>
      </w:r>
      <w:r>
        <w:rPr>
          <w:noProof/>
        </w:rPr>
        <w:fldChar w:fldCharType="begin"/>
      </w:r>
      <w:r>
        <w:rPr>
          <w:noProof/>
        </w:rPr>
        <w:instrText xml:space="preserve"> PAGEREF _Toc443035935 \h </w:instrText>
      </w:r>
      <w:r>
        <w:rPr>
          <w:noProof/>
        </w:rPr>
      </w:r>
      <w:r>
        <w:rPr>
          <w:noProof/>
        </w:rPr>
        <w:fldChar w:fldCharType="separate"/>
      </w:r>
      <w:r>
        <w:rPr>
          <w:noProof/>
        </w:rPr>
        <w:t>94</w:t>
      </w:r>
      <w:r>
        <w:rPr>
          <w:noProof/>
        </w:rPr>
        <w:fldChar w:fldCharType="end"/>
      </w:r>
    </w:p>
    <w:p w:rsidR="005A26F6" w:rsidRPr="00D07295" w:rsidRDefault="005A26F6">
      <w:pPr>
        <w:pStyle w:val="TOC3"/>
        <w:rPr>
          <w:rFonts w:ascii="Calibri" w:hAnsi="Calibri"/>
          <w:noProof/>
          <w:sz w:val="22"/>
          <w:szCs w:val="22"/>
          <w:lang w:val="fr-FR" w:eastAsia="fr-FR"/>
        </w:rPr>
      </w:pPr>
      <w:r>
        <w:rPr>
          <w:noProof/>
        </w:rPr>
        <w:t>11.4.3</w:t>
      </w:r>
      <w:r w:rsidRPr="00D07295">
        <w:rPr>
          <w:rFonts w:ascii="Calibri" w:hAnsi="Calibri"/>
          <w:noProof/>
          <w:sz w:val="22"/>
          <w:szCs w:val="22"/>
          <w:lang w:val="fr-FR" w:eastAsia="fr-FR"/>
        </w:rPr>
        <w:tab/>
      </w:r>
      <w:r>
        <w:rPr>
          <w:noProof/>
        </w:rPr>
        <w:t>Extent of study treatment exposure and compliance</w:t>
      </w:r>
      <w:r>
        <w:rPr>
          <w:noProof/>
        </w:rPr>
        <w:tab/>
      </w:r>
      <w:r>
        <w:rPr>
          <w:noProof/>
        </w:rPr>
        <w:fldChar w:fldCharType="begin"/>
      </w:r>
      <w:r>
        <w:rPr>
          <w:noProof/>
        </w:rPr>
        <w:instrText xml:space="preserve"> PAGEREF _Toc443035936 \h </w:instrText>
      </w:r>
      <w:r>
        <w:rPr>
          <w:noProof/>
        </w:rPr>
      </w:r>
      <w:r>
        <w:rPr>
          <w:noProof/>
        </w:rPr>
        <w:fldChar w:fldCharType="separate"/>
      </w:r>
      <w:r>
        <w:rPr>
          <w:noProof/>
        </w:rPr>
        <w:t>95</w:t>
      </w:r>
      <w:r>
        <w:rPr>
          <w:noProof/>
        </w:rPr>
        <w:fldChar w:fldCharType="end"/>
      </w:r>
    </w:p>
    <w:p w:rsidR="005A26F6" w:rsidRPr="00D07295" w:rsidRDefault="005A26F6">
      <w:pPr>
        <w:pStyle w:val="TOC4"/>
        <w:rPr>
          <w:rFonts w:ascii="Calibri" w:hAnsi="Calibri"/>
          <w:noProof/>
          <w:sz w:val="22"/>
          <w:lang w:val="fr-FR" w:eastAsia="fr-FR"/>
        </w:rPr>
      </w:pPr>
      <w:r>
        <w:rPr>
          <w:noProof/>
        </w:rPr>
        <w:t>11.4.3.1</w:t>
      </w:r>
      <w:r w:rsidRPr="00D07295">
        <w:rPr>
          <w:rFonts w:ascii="Calibri" w:hAnsi="Calibri"/>
          <w:noProof/>
          <w:sz w:val="22"/>
          <w:lang w:val="fr-FR" w:eastAsia="fr-FR"/>
        </w:rPr>
        <w:tab/>
      </w:r>
      <w:r>
        <w:rPr>
          <w:noProof/>
        </w:rPr>
        <w:t>Extent of investigational medicinal product exposure</w:t>
      </w:r>
      <w:r>
        <w:rPr>
          <w:noProof/>
        </w:rPr>
        <w:tab/>
      </w:r>
      <w:r>
        <w:rPr>
          <w:noProof/>
        </w:rPr>
        <w:fldChar w:fldCharType="begin"/>
      </w:r>
      <w:r>
        <w:rPr>
          <w:noProof/>
        </w:rPr>
        <w:instrText xml:space="preserve"> PAGEREF _Toc443035937 \h </w:instrText>
      </w:r>
      <w:r>
        <w:rPr>
          <w:noProof/>
        </w:rPr>
      </w:r>
      <w:r>
        <w:rPr>
          <w:noProof/>
        </w:rPr>
        <w:fldChar w:fldCharType="separate"/>
      </w:r>
      <w:r>
        <w:rPr>
          <w:noProof/>
        </w:rPr>
        <w:t>95</w:t>
      </w:r>
      <w:r>
        <w:rPr>
          <w:noProof/>
        </w:rPr>
        <w:fldChar w:fldCharType="end"/>
      </w:r>
    </w:p>
    <w:p w:rsidR="005A26F6" w:rsidRPr="00D07295" w:rsidRDefault="005A26F6">
      <w:pPr>
        <w:pStyle w:val="TOC4"/>
        <w:rPr>
          <w:rFonts w:ascii="Calibri" w:hAnsi="Calibri"/>
          <w:noProof/>
          <w:sz w:val="22"/>
          <w:lang w:val="fr-FR" w:eastAsia="fr-FR"/>
        </w:rPr>
      </w:pPr>
      <w:r>
        <w:rPr>
          <w:noProof/>
        </w:rPr>
        <w:t>11.4.3.2</w:t>
      </w:r>
      <w:r w:rsidRPr="00D07295">
        <w:rPr>
          <w:rFonts w:ascii="Calibri" w:hAnsi="Calibri"/>
          <w:noProof/>
          <w:sz w:val="22"/>
          <w:lang w:val="fr-FR" w:eastAsia="fr-FR"/>
        </w:rPr>
        <w:tab/>
      </w:r>
      <w:r>
        <w:rPr>
          <w:noProof/>
        </w:rPr>
        <w:t>Compliance</w:t>
      </w:r>
      <w:r>
        <w:rPr>
          <w:noProof/>
        </w:rPr>
        <w:tab/>
      </w:r>
      <w:r>
        <w:rPr>
          <w:noProof/>
        </w:rPr>
        <w:fldChar w:fldCharType="begin"/>
      </w:r>
      <w:r>
        <w:rPr>
          <w:noProof/>
        </w:rPr>
        <w:instrText xml:space="preserve"> PAGEREF _Toc443035938 \h </w:instrText>
      </w:r>
      <w:r>
        <w:rPr>
          <w:noProof/>
        </w:rPr>
      </w:r>
      <w:r>
        <w:rPr>
          <w:noProof/>
        </w:rPr>
        <w:fldChar w:fldCharType="separate"/>
      </w:r>
      <w:r>
        <w:rPr>
          <w:noProof/>
        </w:rPr>
        <w:t>95</w:t>
      </w:r>
      <w:r>
        <w:rPr>
          <w:noProof/>
        </w:rPr>
        <w:fldChar w:fldCharType="end"/>
      </w:r>
    </w:p>
    <w:p w:rsidR="005A26F6" w:rsidRPr="00D07295" w:rsidRDefault="005A26F6">
      <w:pPr>
        <w:pStyle w:val="TOC3"/>
        <w:rPr>
          <w:rFonts w:ascii="Calibri" w:hAnsi="Calibri"/>
          <w:noProof/>
          <w:sz w:val="22"/>
          <w:szCs w:val="22"/>
          <w:lang w:val="fr-FR" w:eastAsia="fr-FR"/>
        </w:rPr>
      </w:pPr>
      <w:r>
        <w:rPr>
          <w:noProof/>
        </w:rPr>
        <w:t>11.4.4</w:t>
      </w:r>
      <w:r w:rsidRPr="00D07295">
        <w:rPr>
          <w:rFonts w:ascii="Calibri" w:hAnsi="Calibri"/>
          <w:noProof/>
          <w:sz w:val="22"/>
          <w:szCs w:val="22"/>
          <w:lang w:val="fr-FR" w:eastAsia="fr-FR"/>
        </w:rPr>
        <w:tab/>
      </w:r>
      <w:r>
        <w:rPr>
          <w:noProof/>
        </w:rPr>
        <w:t>Analyses of efficacy endpoints</w:t>
      </w:r>
      <w:r>
        <w:rPr>
          <w:noProof/>
        </w:rPr>
        <w:tab/>
      </w:r>
      <w:r>
        <w:rPr>
          <w:noProof/>
        </w:rPr>
        <w:fldChar w:fldCharType="begin"/>
      </w:r>
      <w:r>
        <w:rPr>
          <w:noProof/>
        </w:rPr>
        <w:instrText xml:space="preserve"> PAGEREF _Toc443035939 \h </w:instrText>
      </w:r>
      <w:r>
        <w:rPr>
          <w:noProof/>
        </w:rPr>
      </w:r>
      <w:r>
        <w:rPr>
          <w:noProof/>
        </w:rPr>
        <w:fldChar w:fldCharType="separate"/>
      </w:r>
      <w:r>
        <w:rPr>
          <w:noProof/>
        </w:rPr>
        <w:t>96</w:t>
      </w:r>
      <w:r>
        <w:rPr>
          <w:noProof/>
        </w:rPr>
        <w:fldChar w:fldCharType="end"/>
      </w:r>
    </w:p>
    <w:p w:rsidR="005A26F6" w:rsidRPr="00D07295" w:rsidRDefault="005A26F6">
      <w:pPr>
        <w:pStyle w:val="TOC4"/>
        <w:rPr>
          <w:rFonts w:ascii="Calibri" w:hAnsi="Calibri"/>
          <w:noProof/>
          <w:sz w:val="22"/>
          <w:lang w:val="fr-FR" w:eastAsia="fr-FR"/>
        </w:rPr>
      </w:pPr>
      <w:r>
        <w:rPr>
          <w:noProof/>
        </w:rPr>
        <w:t>11.4.4.1</w:t>
      </w:r>
      <w:r w:rsidRPr="00D07295">
        <w:rPr>
          <w:rFonts w:ascii="Calibri" w:hAnsi="Calibri"/>
          <w:noProof/>
          <w:sz w:val="22"/>
          <w:lang w:val="fr-FR" w:eastAsia="fr-FR"/>
        </w:rPr>
        <w:tab/>
      </w:r>
      <w:r>
        <w:rPr>
          <w:noProof/>
        </w:rPr>
        <w:t>Analysis of primary efficacy endpoint</w:t>
      </w:r>
      <w:r>
        <w:rPr>
          <w:noProof/>
        </w:rPr>
        <w:tab/>
      </w:r>
      <w:r>
        <w:rPr>
          <w:noProof/>
        </w:rPr>
        <w:fldChar w:fldCharType="begin"/>
      </w:r>
      <w:r>
        <w:rPr>
          <w:noProof/>
        </w:rPr>
        <w:instrText xml:space="preserve"> PAGEREF _Toc443035940 \h </w:instrText>
      </w:r>
      <w:r>
        <w:rPr>
          <w:noProof/>
        </w:rPr>
      </w:r>
      <w:r>
        <w:rPr>
          <w:noProof/>
        </w:rPr>
        <w:fldChar w:fldCharType="separate"/>
      </w:r>
      <w:r>
        <w:rPr>
          <w:noProof/>
        </w:rPr>
        <w:t>96</w:t>
      </w:r>
      <w:r>
        <w:rPr>
          <w:noProof/>
        </w:rPr>
        <w:fldChar w:fldCharType="end"/>
      </w:r>
    </w:p>
    <w:p w:rsidR="005A26F6" w:rsidRPr="00D07295" w:rsidRDefault="005A26F6">
      <w:pPr>
        <w:pStyle w:val="TOC4"/>
        <w:rPr>
          <w:rFonts w:ascii="Calibri" w:hAnsi="Calibri"/>
          <w:noProof/>
          <w:sz w:val="22"/>
          <w:lang w:val="fr-FR" w:eastAsia="fr-FR"/>
        </w:rPr>
      </w:pPr>
      <w:r>
        <w:rPr>
          <w:noProof/>
        </w:rPr>
        <w:t>11.4.4.2</w:t>
      </w:r>
      <w:r w:rsidRPr="00D07295">
        <w:rPr>
          <w:rFonts w:ascii="Calibri" w:hAnsi="Calibri"/>
          <w:noProof/>
          <w:sz w:val="22"/>
          <w:lang w:val="fr-FR" w:eastAsia="fr-FR"/>
        </w:rPr>
        <w:tab/>
      </w:r>
      <w:r>
        <w:rPr>
          <w:noProof/>
        </w:rPr>
        <w:t>Analyses of secondary efficacy endpoints</w:t>
      </w:r>
      <w:r>
        <w:rPr>
          <w:noProof/>
        </w:rPr>
        <w:tab/>
      </w:r>
      <w:r>
        <w:rPr>
          <w:noProof/>
        </w:rPr>
        <w:fldChar w:fldCharType="begin"/>
      </w:r>
      <w:r>
        <w:rPr>
          <w:noProof/>
        </w:rPr>
        <w:instrText xml:space="preserve"> PAGEREF _Toc443035941 \h </w:instrText>
      </w:r>
      <w:r>
        <w:rPr>
          <w:noProof/>
        </w:rPr>
      </w:r>
      <w:r>
        <w:rPr>
          <w:noProof/>
        </w:rPr>
        <w:fldChar w:fldCharType="separate"/>
      </w:r>
      <w:r>
        <w:rPr>
          <w:noProof/>
        </w:rPr>
        <w:t>98</w:t>
      </w:r>
      <w:r>
        <w:rPr>
          <w:noProof/>
        </w:rPr>
        <w:fldChar w:fldCharType="end"/>
      </w:r>
    </w:p>
    <w:p w:rsidR="005A26F6" w:rsidRPr="00D07295" w:rsidRDefault="005A26F6">
      <w:pPr>
        <w:pStyle w:val="TOC4"/>
        <w:rPr>
          <w:rFonts w:ascii="Calibri" w:hAnsi="Calibri"/>
          <w:noProof/>
          <w:sz w:val="22"/>
          <w:lang w:val="fr-FR" w:eastAsia="fr-FR"/>
        </w:rPr>
      </w:pPr>
      <w:r>
        <w:rPr>
          <w:noProof/>
        </w:rPr>
        <w:lastRenderedPageBreak/>
        <w:t>11.4.4.3</w:t>
      </w:r>
      <w:r w:rsidRPr="00D07295">
        <w:rPr>
          <w:rFonts w:ascii="Calibri" w:hAnsi="Calibri"/>
          <w:noProof/>
          <w:sz w:val="22"/>
          <w:lang w:val="fr-FR" w:eastAsia="fr-FR"/>
        </w:rPr>
        <w:tab/>
      </w:r>
      <w:r>
        <w:rPr>
          <w:noProof/>
        </w:rPr>
        <w:t>Multiplicity considerations</w:t>
      </w:r>
      <w:r>
        <w:rPr>
          <w:noProof/>
        </w:rPr>
        <w:tab/>
      </w:r>
      <w:r>
        <w:rPr>
          <w:noProof/>
        </w:rPr>
        <w:fldChar w:fldCharType="begin"/>
      </w:r>
      <w:r>
        <w:rPr>
          <w:noProof/>
        </w:rPr>
        <w:instrText xml:space="preserve"> PAGEREF _Toc443035942 \h </w:instrText>
      </w:r>
      <w:r>
        <w:rPr>
          <w:noProof/>
        </w:rPr>
      </w:r>
      <w:r>
        <w:rPr>
          <w:noProof/>
        </w:rPr>
        <w:fldChar w:fldCharType="separate"/>
      </w:r>
      <w:r>
        <w:rPr>
          <w:noProof/>
        </w:rPr>
        <w:t>99</w:t>
      </w:r>
      <w:r>
        <w:rPr>
          <w:noProof/>
        </w:rPr>
        <w:fldChar w:fldCharType="end"/>
      </w:r>
    </w:p>
    <w:p w:rsidR="005A26F6" w:rsidRPr="00D07295" w:rsidRDefault="005A26F6">
      <w:pPr>
        <w:pStyle w:val="TOC3"/>
        <w:rPr>
          <w:rFonts w:ascii="Calibri" w:hAnsi="Calibri"/>
          <w:noProof/>
          <w:sz w:val="22"/>
          <w:szCs w:val="22"/>
          <w:lang w:val="fr-FR" w:eastAsia="fr-FR"/>
        </w:rPr>
      </w:pPr>
      <w:r>
        <w:rPr>
          <w:noProof/>
        </w:rPr>
        <w:t>11.4.5</w:t>
      </w:r>
      <w:r w:rsidRPr="00D07295">
        <w:rPr>
          <w:rFonts w:ascii="Calibri" w:hAnsi="Calibri"/>
          <w:noProof/>
          <w:sz w:val="22"/>
          <w:szCs w:val="22"/>
          <w:lang w:val="fr-FR" w:eastAsia="fr-FR"/>
        </w:rPr>
        <w:tab/>
      </w:r>
      <w:r>
        <w:rPr>
          <w:noProof/>
        </w:rPr>
        <w:t>Analyses of safety data</w:t>
      </w:r>
      <w:r>
        <w:rPr>
          <w:noProof/>
        </w:rPr>
        <w:tab/>
      </w:r>
      <w:r>
        <w:rPr>
          <w:noProof/>
        </w:rPr>
        <w:fldChar w:fldCharType="begin"/>
      </w:r>
      <w:r>
        <w:rPr>
          <w:noProof/>
        </w:rPr>
        <w:instrText xml:space="preserve"> PAGEREF _Toc443035943 \h </w:instrText>
      </w:r>
      <w:r>
        <w:rPr>
          <w:noProof/>
        </w:rPr>
      </w:r>
      <w:r>
        <w:rPr>
          <w:noProof/>
        </w:rPr>
        <w:fldChar w:fldCharType="separate"/>
      </w:r>
      <w:r>
        <w:rPr>
          <w:noProof/>
        </w:rPr>
        <w:t>100</w:t>
      </w:r>
      <w:r>
        <w:rPr>
          <w:noProof/>
        </w:rPr>
        <w:fldChar w:fldCharType="end"/>
      </w:r>
    </w:p>
    <w:p w:rsidR="005A26F6" w:rsidRPr="00D07295" w:rsidRDefault="005A26F6">
      <w:pPr>
        <w:pStyle w:val="TOC4"/>
        <w:rPr>
          <w:rFonts w:ascii="Calibri" w:hAnsi="Calibri"/>
          <w:noProof/>
          <w:sz w:val="22"/>
          <w:lang w:val="fr-FR" w:eastAsia="fr-FR"/>
        </w:rPr>
      </w:pPr>
      <w:r>
        <w:rPr>
          <w:noProof/>
        </w:rPr>
        <w:t>11.4.5.1</w:t>
      </w:r>
      <w:r w:rsidRPr="00D07295">
        <w:rPr>
          <w:rFonts w:ascii="Calibri" w:hAnsi="Calibri"/>
          <w:noProof/>
          <w:sz w:val="22"/>
          <w:lang w:val="fr-FR" w:eastAsia="fr-FR"/>
        </w:rPr>
        <w:tab/>
      </w:r>
      <w:r>
        <w:rPr>
          <w:noProof/>
        </w:rPr>
        <w:t>Analyses of symptomatic hypoglycemia</w:t>
      </w:r>
      <w:r>
        <w:rPr>
          <w:noProof/>
        </w:rPr>
        <w:tab/>
      </w:r>
      <w:r>
        <w:rPr>
          <w:noProof/>
        </w:rPr>
        <w:fldChar w:fldCharType="begin"/>
      </w:r>
      <w:r>
        <w:rPr>
          <w:noProof/>
        </w:rPr>
        <w:instrText xml:space="preserve"> PAGEREF _Toc443035944 \h </w:instrText>
      </w:r>
      <w:r>
        <w:rPr>
          <w:noProof/>
        </w:rPr>
      </w:r>
      <w:r>
        <w:rPr>
          <w:noProof/>
        </w:rPr>
        <w:fldChar w:fldCharType="separate"/>
      </w:r>
      <w:r>
        <w:rPr>
          <w:noProof/>
        </w:rPr>
        <w:t>101</w:t>
      </w:r>
      <w:r>
        <w:rPr>
          <w:noProof/>
        </w:rPr>
        <w:fldChar w:fldCharType="end"/>
      </w:r>
    </w:p>
    <w:p w:rsidR="005A26F6" w:rsidRPr="00D07295" w:rsidRDefault="005A26F6">
      <w:pPr>
        <w:pStyle w:val="TOC4"/>
        <w:rPr>
          <w:rFonts w:ascii="Calibri" w:hAnsi="Calibri"/>
          <w:noProof/>
          <w:sz w:val="22"/>
          <w:lang w:val="fr-FR" w:eastAsia="fr-FR"/>
        </w:rPr>
      </w:pPr>
      <w:r>
        <w:rPr>
          <w:noProof/>
        </w:rPr>
        <w:t>11.4.5.2</w:t>
      </w:r>
      <w:r w:rsidRPr="00D07295">
        <w:rPr>
          <w:rFonts w:ascii="Calibri" w:hAnsi="Calibri"/>
          <w:noProof/>
          <w:sz w:val="22"/>
          <w:lang w:val="fr-FR" w:eastAsia="fr-FR"/>
        </w:rPr>
        <w:tab/>
      </w:r>
      <w:r>
        <w:rPr>
          <w:noProof/>
        </w:rPr>
        <w:t>Analyses of adverse events</w:t>
      </w:r>
      <w:r>
        <w:rPr>
          <w:noProof/>
        </w:rPr>
        <w:tab/>
      </w:r>
      <w:r>
        <w:rPr>
          <w:noProof/>
        </w:rPr>
        <w:fldChar w:fldCharType="begin"/>
      </w:r>
      <w:r>
        <w:rPr>
          <w:noProof/>
        </w:rPr>
        <w:instrText xml:space="preserve"> PAGEREF _Toc443035945 \h </w:instrText>
      </w:r>
      <w:r>
        <w:rPr>
          <w:noProof/>
        </w:rPr>
      </w:r>
      <w:r>
        <w:rPr>
          <w:noProof/>
        </w:rPr>
        <w:fldChar w:fldCharType="separate"/>
      </w:r>
      <w:r>
        <w:rPr>
          <w:noProof/>
        </w:rPr>
        <w:t>101</w:t>
      </w:r>
      <w:r>
        <w:rPr>
          <w:noProof/>
        </w:rPr>
        <w:fldChar w:fldCharType="end"/>
      </w:r>
    </w:p>
    <w:p w:rsidR="005A26F6" w:rsidRPr="00D07295" w:rsidRDefault="005A26F6">
      <w:pPr>
        <w:pStyle w:val="TOC4"/>
        <w:rPr>
          <w:rFonts w:ascii="Calibri" w:hAnsi="Calibri"/>
          <w:noProof/>
          <w:sz w:val="22"/>
          <w:lang w:val="fr-FR" w:eastAsia="fr-FR"/>
        </w:rPr>
      </w:pPr>
      <w:r>
        <w:rPr>
          <w:noProof/>
        </w:rPr>
        <w:t>11.4.5.3</w:t>
      </w:r>
      <w:r w:rsidRPr="00D07295">
        <w:rPr>
          <w:rFonts w:ascii="Calibri" w:hAnsi="Calibri"/>
          <w:noProof/>
          <w:sz w:val="22"/>
          <w:lang w:val="fr-FR" w:eastAsia="fr-FR"/>
        </w:rPr>
        <w:tab/>
      </w:r>
      <w:r>
        <w:rPr>
          <w:noProof/>
        </w:rPr>
        <w:t>Analyses of laboratory variables</w:t>
      </w:r>
      <w:r>
        <w:rPr>
          <w:noProof/>
        </w:rPr>
        <w:tab/>
      </w:r>
      <w:r>
        <w:rPr>
          <w:noProof/>
        </w:rPr>
        <w:fldChar w:fldCharType="begin"/>
      </w:r>
      <w:r>
        <w:rPr>
          <w:noProof/>
        </w:rPr>
        <w:instrText xml:space="preserve"> PAGEREF _Toc443035946 \h </w:instrText>
      </w:r>
      <w:r>
        <w:rPr>
          <w:noProof/>
        </w:rPr>
      </w:r>
      <w:r>
        <w:rPr>
          <w:noProof/>
        </w:rPr>
        <w:fldChar w:fldCharType="separate"/>
      </w:r>
      <w:r>
        <w:rPr>
          <w:noProof/>
        </w:rPr>
        <w:t>103</w:t>
      </w:r>
      <w:r>
        <w:rPr>
          <w:noProof/>
        </w:rPr>
        <w:fldChar w:fldCharType="end"/>
      </w:r>
    </w:p>
    <w:p w:rsidR="005A26F6" w:rsidRPr="00D07295" w:rsidRDefault="005A26F6">
      <w:pPr>
        <w:pStyle w:val="TOC4"/>
        <w:rPr>
          <w:rFonts w:ascii="Calibri" w:hAnsi="Calibri"/>
          <w:noProof/>
          <w:sz w:val="22"/>
          <w:lang w:val="fr-FR" w:eastAsia="fr-FR"/>
        </w:rPr>
      </w:pPr>
      <w:r>
        <w:rPr>
          <w:noProof/>
        </w:rPr>
        <w:t>11.4.5.4</w:t>
      </w:r>
      <w:r w:rsidRPr="00D07295">
        <w:rPr>
          <w:rFonts w:ascii="Calibri" w:hAnsi="Calibri"/>
          <w:noProof/>
          <w:sz w:val="22"/>
          <w:lang w:val="fr-FR" w:eastAsia="fr-FR"/>
        </w:rPr>
        <w:tab/>
      </w:r>
      <w:r>
        <w:rPr>
          <w:noProof/>
        </w:rPr>
        <w:t>Analyses of vital sign variables</w:t>
      </w:r>
      <w:r>
        <w:rPr>
          <w:noProof/>
        </w:rPr>
        <w:tab/>
      </w:r>
      <w:r>
        <w:rPr>
          <w:noProof/>
        </w:rPr>
        <w:fldChar w:fldCharType="begin"/>
      </w:r>
      <w:r>
        <w:rPr>
          <w:noProof/>
        </w:rPr>
        <w:instrText xml:space="preserve"> PAGEREF _Toc443035947 \h </w:instrText>
      </w:r>
      <w:r>
        <w:rPr>
          <w:noProof/>
        </w:rPr>
      </w:r>
      <w:r>
        <w:rPr>
          <w:noProof/>
        </w:rPr>
        <w:fldChar w:fldCharType="separate"/>
      </w:r>
      <w:r>
        <w:rPr>
          <w:noProof/>
        </w:rPr>
        <w:t>104</w:t>
      </w:r>
      <w:r>
        <w:rPr>
          <w:noProof/>
        </w:rPr>
        <w:fldChar w:fldCharType="end"/>
      </w:r>
    </w:p>
    <w:p w:rsidR="005A26F6" w:rsidRPr="00D07295" w:rsidRDefault="005A26F6">
      <w:pPr>
        <w:pStyle w:val="TOC4"/>
        <w:rPr>
          <w:rFonts w:ascii="Calibri" w:hAnsi="Calibri"/>
          <w:noProof/>
          <w:sz w:val="22"/>
          <w:lang w:val="fr-FR" w:eastAsia="fr-FR"/>
        </w:rPr>
      </w:pPr>
      <w:r>
        <w:rPr>
          <w:noProof/>
        </w:rPr>
        <w:t>11.4.5.5</w:t>
      </w:r>
      <w:r w:rsidRPr="00D07295">
        <w:rPr>
          <w:rFonts w:ascii="Calibri" w:hAnsi="Calibri"/>
          <w:noProof/>
          <w:sz w:val="22"/>
          <w:lang w:val="fr-FR" w:eastAsia="fr-FR"/>
        </w:rPr>
        <w:tab/>
      </w:r>
      <w:r>
        <w:rPr>
          <w:noProof/>
        </w:rPr>
        <w:t>Analysis of 12 lead ECG status</w:t>
      </w:r>
      <w:r>
        <w:rPr>
          <w:noProof/>
        </w:rPr>
        <w:tab/>
      </w:r>
      <w:r>
        <w:rPr>
          <w:noProof/>
        </w:rPr>
        <w:fldChar w:fldCharType="begin"/>
      </w:r>
      <w:r>
        <w:rPr>
          <w:noProof/>
        </w:rPr>
        <w:instrText xml:space="preserve"> PAGEREF _Toc443035948 \h </w:instrText>
      </w:r>
      <w:r>
        <w:rPr>
          <w:noProof/>
        </w:rPr>
      </w:r>
      <w:r>
        <w:rPr>
          <w:noProof/>
        </w:rPr>
        <w:fldChar w:fldCharType="separate"/>
      </w:r>
      <w:r>
        <w:rPr>
          <w:noProof/>
        </w:rPr>
        <w:t>105</w:t>
      </w:r>
      <w:r>
        <w:rPr>
          <w:noProof/>
        </w:rPr>
        <w:fldChar w:fldCharType="end"/>
      </w:r>
    </w:p>
    <w:p w:rsidR="005A26F6" w:rsidRPr="00D07295" w:rsidRDefault="005A26F6">
      <w:pPr>
        <w:pStyle w:val="TOC3"/>
        <w:rPr>
          <w:rFonts w:ascii="Calibri" w:hAnsi="Calibri"/>
          <w:noProof/>
          <w:sz w:val="22"/>
          <w:szCs w:val="22"/>
          <w:lang w:val="fr-FR" w:eastAsia="fr-FR"/>
        </w:rPr>
      </w:pPr>
      <w:r>
        <w:rPr>
          <w:noProof/>
        </w:rPr>
        <w:t>11.4.6</w:t>
      </w:r>
      <w:r w:rsidRPr="00D07295">
        <w:rPr>
          <w:rFonts w:ascii="Calibri" w:hAnsi="Calibri"/>
          <w:noProof/>
          <w:sz w:val="22"/>
          <w:szCs w:val="22"/>
          <w:lang w:val="fr-FR" w:eastAsia="fr-FR"/>
        </w:rPr>
        <w:tab/>
      </w:r>
      <w:r>
        <w:rPr>
          <w:noProof/>
        </w:rPr>
        <w:t>Analyses of other endpoints</w:t>
      </w:r>
      <w:r>
        <w:rPr>
          <w:noProof/>
        </w:rPr>
        <w:tab/>
      </w:r>
      <w:r>
        <w:rPr>
          <w:noProof/>
        </w:rPr>
        <w:fldChar w:fldCharType="begin"/>
      </w:r>
      <w:r>
        <w:rPr>
          <w:noProof/>
        </w:rPr>
        <w:instrText xml:space="preserve"> PAGEREF _Toc443035949 \h </w:instrText>
      </w:r>
      <w:r>
        <w:rPr>
          <w:noProof/>
        </w:rPr>
      </w:r>
      <w:r>
        <w:rPr>
          <w:noProof/>
        </w:rPr>
        <w:fldChar w:fldCharType="separate"/>
      </w:r>
      <w:r>
        <w:rPr>
          <w:noProof/>
        </w:rPr>
        <w:t>105</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11.5</w:t>
      </w:r>
      <w:r w:rsidRPr="00D07295">
        <w:rPr>
          <w:rFonts w:ascii="Calibri" w:hAnsi="Calibri"/>
          <w:caps w:val="0"/>
          <w:noProof/>
          <w:sz w:val="22"/>
          <w:szCs w:val="22"/>
          <w:lang w:val="fr-FR" w:eastAsia="fr-FR"/>
        </w:rPr>
        <w:tab/>
      </w:r>
      <w:r>
        <w:rPr>
          <w:noProof/>
        </w:rPr>
        <w:t>Interim analysis</w:t>
      </w:r>
      <w:r>
        <w:rPr>
          <w:noProof/>
        </w:rPr>
        <w:tab/>
      </w:r>
      <w:r>
        <w:rPr>
          <w:noProof/>
        </w:rPr>
        <w:fldChar w:fldCharType="begin"/>
      </w:r>
      <w:r>
        <w:rPr>
          <w:noProof/>
        </w:rPr>
        <w:instrText xml:space="preserve"> PAGEREF _Toc443035950 \h </w:instrText>
      </w:r>
      <w:r>
        <w:rPr>
          <w:noProof/>
        </w:rPr>
      </w:r>
      <w:r>
        <w:rPr>
          <w:noProof/>
        </w:rPr>
        <w:fldChar w:fldCharType="separate"/>
      </w:r>
      <w:r>
        <w:rPr>
          <w:noProof/>
        </w:rPr>
        <w:t>105</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12</w:t>
      </w:r>
      <w:r w:rsidRPr="00D07295">
        <w:rPr>
          <w:rFonts w:ascii="Calibri" w:hAnsi="Calibri"/>
          <w:b w:val="0"/>
          <w:caps w:val="0"/>
          <w:noProof/>
          <w:sz w:val="22"/>
          <w:szCs w:val="22"/>
          <w:lang w:val="fr-FR" w:eastAsia="fr-FR"/>
        </w:rPr>
        <w:tab/>
      </w:r>
      <w:r>
        <w:rPr>
          <w:noProof/>
        </w:rPr>
        <w:t>Ethical and regulatory considerations</w:t>
      </w:r>
      <w:r>
        <w:rPr>
          <w:noProof/>
        </w:rPr>
        <w:tab/>
      </w:r>
      <w:r>
        <w:rPr>
          <w:noProof/>
        </w:rPr>
        <w:fldChar w:fldCharType="begin"/>
      </w:r>
      <w:r>
        <w:rPr>
          <w:noProof/>
        </w:rPr>
        <w:instrText xml:space="preserve"> PAGEREF _Toc443035951 \h </w:instrText>
      </w:r>
      <w:r>
        <w:rPr>
          <w:noProof/>
        </w:rPr>
      </w:r>
      <w:r>
        <w:rPr>
          <w:noProof/>
        </w:rPr>
        <w:fldChar w:fldCharType="separate"/>
      </w:r>
      <w:r>
        <w:rPr>
          <w:noProof/>
        </w:rPr>
        <w:t>106</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12.1</w:t>
      </w:r>
      <w:r w:rsidRPr="00D07295">
        <w:rPr>
          <w:rFonts w:ascii="Calibri" w:hAnsi="Calibri"/>
          <w:caps w:val="0"/>
          <w:noProof/>
          <w:sz w:val="22"/>
          <w:szCs w:val="22"/>
          <w:lang w:val="fr-FR" w:eastAsia="fr-FR"/>
        </w:rPr>
        <w:tab/>
      </w:r>
      <w:r>
        <w:rPr>
          <w:noProof/>
        </w:rPr>
        <w:t>Ethical and regulatory standards</w:t>
      </w:r>
      <w:r>
        <w:rPr>
          <w:noProof/>
        </w:rPr>
        <w:tab/>
      </w:r>
      <w:r>
        <w:rPr>
          <w:noProof/>
        </w:rPr>
        <w:fldChar w:fldCharType="begin"/>
      </w:r>
      <w:r>
        <w:rPr>
          <w:noProof/>
        </w:rPr>
        <w:instrText xml:space="preserve"> PAGEREF _Toc443035952 \h </w:instrText>
      </w:r>
      <w:r>
        <w:rPr>
          <w:noProof/>
        </w:rPr>
      </w:r>
      <w:r>
        <w:rPr>
          <w:noProof/>
        </w:rPr>
        <w:fldChar w:fldCharType="separate"/>
      </w:r>
      <w:r>
        <w:rPr>
          <w:noProof/>
        </w:rPr>
        <w:t>106</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12.2</w:t>
      </w:r>
      <w:r w:rsidRPr="00D07295">
        <w:rPr>
          <w:rFonts w:ascii="Calibri" w:hAnsi="Calibri"/>
          <w:caps w:val="0"/>
          <w:noProof/>
          <w:sz w:val="22"/>
          <w:szCs w:val="22"/>
          <w:lang w:val="fr-FR" w:eastAsia="fr-FR"/>
        </w:rPr>
        <w:tab/>
      </w:r>
      <w:r>
        <w:rPr>
          <w:noProof/>
        </w:rPr>
        <w:t>Informed consent</w:t>
      </w:r>
      <w:r>
        <w:rPr>
          <w:noProof/>
        </w:rPr>
        <w:tab/>
      </w:r>
      <w:r>
        <w:rPr>
          <w:noProof/>
        </w:rPr>
        <w:fldChar w:fldCharType="begin"/>
      </w:r>
      <w:r>
        <w:rPr>
          <w:noProof/>
        </w:rPr>
        <w:instrText xml:space="preserve"> PAGEREF _Toc443035953 \h </w:instrText>
      </w:r>
      <w:r>
        <w:rPr>
          <w:noProof/>
        </w:rPr>
      </w:r>
      <w:r>
        <w:rPr>
          <w:noProof/>
        </w:rPr>
        <w:fldChar w:fldCharType="separate"/>
      </w:r>
      <w:r>
        <w:rPr>
          <w:noProof/>
        </w:rPr>
        <w:t>106</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12.3</w:t>
      </w:r>
      <w:r w:rsidRPr="00D07295">
        <w:rPr>
          <w:rFonts w:ascii="Calibri" w:hAnsi="Calibri"/>
          <w:caps w:val="0"/>
          <w:noProof/>
          <w:sz w:val="22"/>
          <w:szCs w:val="22"/>
          <w:lang w:val="fr-FR" w:eastAsia="fr-FR"/>
        </w:rPr>
        <w:tab/>
      </w:r>
      <w:r>
        <w:rPr>
          <w:noProof/>
        </w:rPr>
        <w:t>Institutional Review Board/Independent ethics committee (IRB/IEC)</w:t>
      </w:r>
      <w:r>
        <w:rPr>
          <w:noProof/>
        </w:rPr>
        <w:tab/>
      </w:r>
      <w:r>
        <w:rPr>
          <w:noProof/>
        </w:rPr>
        <w:fldChar w:fldCharType="begin"/>
      </w:r>
      <w:r>
        <w:rPr>
          <w:noProof/>
        </w:rPr>
        <w:instrText xml:space="preserve"> PAGEREF _Toc443035954 \h </w:instrText>
      </w:r>
      <w:r>
        <w:rPr>
          <w:noProof/>
        </w:rPr>
      </w:r>
      <w:r>
        <w:rPr>
          <w:noProof/>
        </w:rPr>
        <w:fldChar w:fldCharType="separate"/>
      </w:r>
      <w:r>
        <w:rPr>
          <w:noProof/>
        </w:rPr>
        <w:t>106</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13</w:t>
      </w:r>
      <w:r w:rsidRPr="00D07295">
        <w:rPr>
          <w:rFonts w:ascii="Calibri" w:hAnsi="Calibri"/>
          <w:b w:val="0"/>
          <w:caps w:val="0"/>
          <w:noProof/>
          <w:sz w:val="22"/>
          <w:szCs w:val="22"/>
          <w:lang w:val="fr-FR" w:eastAsia="fr-FR"/>
        </w:rPr>
        <w:tab/>
      </w:r>
      <w:r>
        <w:rPr>
          <w:noProof/>
        </w:rPr>
        <w:t>Study monitoring</w:t>
      </w:r>
      <w:r>
        <w:rPr>
          <w:noProof/>
        </w:rPr>
        <w:tab/>
      </w:r>
      <w:r>
        <w:rPr>
          <w:noProof/>
        </w:rPr>
        <w:fldChar w:fldCharType="begin"/>
      </w:r>
      <w:r>
        <w:rPr>
          <w:noProof/>
        </w:rPr>
        <w:instrText xml:space="preserve"> PAGEREF _Toc443035955 \h </w:instrText>
      </w:r>
      <w:r>
        <w:rPr>
          <w:noProof/>
        </w:rPr>
      </w:r>
      <w:r>
        <w:rPr>
          <w:noProof/>
        </w:rPr>
        <w:fldChar w:fldCharType="separate"/>
      </w:r>
      <w:r>
        <w:rPr>
          <w:noProof/>
        </w:rPr>
        <w:t>108</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13.1</w:t>
      </w:r>
      <w:r w:rsidRPr="00D07295">
        <w:rPr>
          <w:rFonts w:ascii="Calibri" w:hAnsi="Calibri"/>
          <w:caps w:val="0"/>
          <w:noProof/>
          <w:sz w:val="22"/>
          <w:szCs w:val="22"/>
          <w:lang w:val="fr-FR" w:eastAsia="fr-FR"/>
        </w:rPr>
        <w:tab/>
      </w:r>
      <w:r>
        <w:rPr>
          <w:noProof/>
        </w:rPr>
        <w:t>Responsibilities of the Investigator(s)</w:t>
      </w:r>
      <w:r>
        <w:rPr>
          <w:noProof/>
        </w:rPr>
        <w:tab/>
      </w:r>
      <w:r>
        <w:rPr>
          <w:noProof/>
        </w:rPr>
        <w:fldChar w:fldCharType="begin"/>
      </w:r>
      <w:r>
        <w:rPr>
          <w:noProof/>
        </w:rPr>
        <w:instrText xml:space="preserve"> PAGEREF _Toc443035956 \h </w:instrText>
      </w:r>
      <w:r>
        <w:rPr>
          <w:noProof/>
        </w:rPr>
      </w:r>
      <w:r>
        <w:rPr>
          <w:noProof/>
        </w:rPr>
        <w:fldChar w:fldCharType="separate"/>
      </w:r>
      <w:r>
        <w:rPr>
          <w:noProof/>
        </w:rPr>
        <w:t>108</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13.2</w:t>
      </w:r>
      <w:r w:rsidRPr="00D07295">
        <w:rPr>
          <w:rFonts w:ascii="Calibri" w:hAnsi="Calibri"/>
          <w:caps w:val="0"/>
          <w:noProof/>
          <w:sz w:val="22"/>
          <w:szCs w:val="22"/>
          <w:lang w:val="fr-FR" w:eastAsia="fr-FR"/>
        </w:rPr>
        <w:tab/>
      </w:r>
      <w:r>
        <w:rPr>
          <w:noProof/>
        </w:rPr>
        <w:t>Responsibilities of the Sponsor</w:t>
      </w:r>
      <w:r>
        <w:rPr>
          <w:noProof/>
        </w:rPr>
        <w:tab/>
      </w:r>
      <w:r>
        <w:rPr>
          <w:noProof/>
        </w:rPr>
        <w:fldChar w:fldCharType="begin"/>
      </w:r>
      <w:r>
        <w:rPr>
          <w:noProof/>
        </w:rPr>
        <w:instrText xml:space="preserve"> PAGEREF _Toc443035957 \h </w:instrText>
      </w:r>
      <w:r>
        <w:rPr>
          <w:noProof/>
        </w:rPr>
      </w:r>
      <w:r>
        <w:rPr>
          <w:noProof/>
        </w:rPr>
        <w:fldChar w:fldCharType="separate"/>
      </w:r>
      <w:r>
        <w:rPr>
          <w:noProof/>
        </w:rPr>
        <w:t>108</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13.3</w:t>
      </w:r>
      <w:r w:rsidRPr="00D07295">
        <w:rPr>
          <w:rFonts w:ascii="Calibri" w:hAnsi="Calibri"/>
          <w:caps w:val="0"/>
          <w:noProof/>
          <w:sz w:val="22"/>
          <w:szCs w:val="22"/>
          <w:lang w:val="fr-FR" w:eastAsia="fr-FR"/>
        </w:rPr>
        <w:tab/>
      </w:r>
      <w:r>
        <w:rPr>
          <w:noProof/>
        </w:rPr>
        <w:t>Source document requirements</w:t>
      </w:r>
      <w:r>
        <w:rPr>
          <w:noProof/>
        </w:rPr>
        <w:tab/>
      </w:r>
      <w:r>
        <w:rPr>
          <w:noProof/>
        </w:rPr>
        <w:fldChar w:fldCharType="begin"/>
      </w:r>
      <w:r>
        <w:rPr>
          <w:noProof/>
        </w:rPr>
        <w:instrText xml:space="preserve"> PAGEREF _Toc443035958 \h </w:instrText>
      </w:r>
      <w:r>
        <w:rPr>
          <w:noProof/>
        </w:rPr>
      </w:r>
      <w:r>
        <w:rPr>
          <w:noProof/>
        </w:rPr>
        <w:fldChar w:fldCharType="separate"/>
      </w:r>
      <w:r>
        <w:rPr>
          <w:noProof/>
        </w:rPr>
        <w:t>108</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13.4</w:t>
      </w:r>
      <w:r w:rsidRPr="00D07295">
        <w:rPr>
          <w:rFonts w:ascii="Calibri" w:hAnsi="Calibri"/>
          <w:caps w:val="0"/>
          <w:noProof/>
          <w:sz w:val="22"/>
          <w:szCs w:val="22"/>
          <w:lang w:val="fr-FR" w:eastAsia="fr-FR"/>
        </w:rPr>
        <w:tab/>
      </w:r>
      <w:r>
        <w:rPr>
          <w:noProof/>
        </w:rPr>
        <w:t>Use and completion of Case Report Forms (CRFs) and additional request</w:t>
      </w:r>
      <w:r>
        <w:rPr>
          <w:noProof/>
        </w:rPr>
        <w:tab/>
      </w:r>
      <w:r>
        <w:rPr>
          <w:noProof/>
        </w:rPr>
        <w:fldChar w:fldCharType="begin"/>
      </w:r>
      <w:r>
        <w:rPr>
          <w:noProof/>
        </w:rPr>
        <w:instrText xml:space="preserve"> PAGEREF _Toc443035959 \h </w:instrText>
      </w:r>
      <w:r>
        <w:rPr>
          <w:noProof/>
        </w:rPr>
      </w:r>
      <w:r>
        <w:rPr>
          <w:noProof/>
        </w:rPr>
        <w:fldChar w:fldCharType="separate"/>
      </w:r>
      <w:r>
        <w:rPr>
          <w:noProof/>
        </w:rPr>
        <w:t>109</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13.5</w:t>
      </w:r>
      <w:r w:rsidRPr="00D07295">
        <w:rPr>
          <w:rFonts w:ascii="Calibri" w:hAnsi="Calibri"/>
          <w:caps w:val="0"/>
          <w:noProof/>
          <w:sz w:val="22"/>
          <w:szCs w:val="22"/>
          <w:lang w:val="fr-FR" w:eastAsia="fr-FR"/>
        </w:rPr>
        <w:tab/>
      </w:r>
      <w:r>
        <w:rPr>
          <w:noProof/>
        </w:rPr>
        <w:t>Use of computerized systems</w:t>
      </w:r>
      <w:r>
        <w:rPr>
          <w:noProof/>
        </w:rPr>
        <w:tab/>
      </w:r>
      <w:r>
        <w:rPr>
          <w:noProof/>
        </w:rPr>
        <w:fldChar w:fldCharType="begin"/>
      </w:r>
      <w:r>
        <w:rPr>
          <w:noProof/>
        </w:rPr>
        <w:instrText xml:space="preserve"> PAGEREF _Toc443035960 \h </w:instrText>
      </w:r>
      <w:r>
        <w:rPr>
          <w:noProof/>
        </w:rPr>
      </w:r>
      <w:r>
        <w:rPr>
          <w:noProof/>
        </w:rPr>
        <w:fldChar w:fldCharType="separate"/>
      </w:r>
      <w:r>
        <w:rPr>
          <w:noProof/>
        </w:rPr>
        <w:t>109</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14</w:t>
      </w:r>
      <w:r w:rsidRPr="00D07295">
        <w:rPr>
          <w:rFonts w:ascii="Calibri" w:hAnsi="Calibri"/>
          <w:b w:val="0"/>
          <w:caps w:val="0"/>
          <w:noProof/>
          <w:sz w:val="22"/>
          <w:szCs w:val="22"/>
          <w:lang w:val="fr-FR" w:eastAsia="fr-FR"/>
        </w:rPr>
        <w:tab/>
      </w:r>
      <w:r>
        <w:rPr>
          <w:noProof/>
        </w:rPr>
        <w:t>Additional requirements</w:t>
      </w:r>
      <w:r>
        <w:rPr>
          <w:noProof/>
        </w:rPr>
        <w:tab/>
      </w:r>
      <w:r>
        <w:rPr>
          <w:noProof/>
        </w:rPr>
        <w:fldChar w:fldCharType="begin"/>
      </w:r>
      <w:r>
        <w:rPr>
          <w:noProof/>
        </w:rPr>
        <w:instrText xml:space="preserve"> PAGEREF _Toc443035961 \h </w:instrText>
      </w:r>
      <w:r>
        <w:rPr>
          <w:noProof/>
        </w:rPr>
      </w:r>
      <w:r>
        <w:rPr>
          <w:noProof/>
        </w:rPr>
        <w:fldChar w:fldCharType="separate"/>
      </w:r>
      <w:r>
        <w:rPr>
          <w:noProof/>
        </w:rPr>
        <w:t>110</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14.1</w:t>
      </w:r>
      <w:r w:rsidRPr="00D07295">
        <w:rPr>
          <w:rFonts w:ascii="Calibri" w:hAnsi="Calibri"/>
          <w:caps w:val="0"/>
          <w:noProof/>
          <w:sz w:val="22"/>
          <w:szCs w:val="22"/>
          <w:lang w:val="fr-FR" w:eastAsia="fr-FR"/>
        </w:rPr>
        <w:tab/>
      </w:r>
      <w:r>
        <w:rPr>
          <w:noProof/>
        </w:rPr>
        <w:t>Curriculum Vitae</w:t>
      </w:r>
      <w:r>
        <w:rPr>
          <w:noProof/>
        </w:rPr>
        <w:tab/>
      </w:r>
      <w:r>
        <w:rPr>
          <w:noProof/>
        </w:rPr>
        <w:fldChar w:fldCharType="begin"/>
      </w:r>
      <w:r>
        <w:rPr>
          <w:noProof/>
        </w:rPr>
        <w:instrText xml:space="preserve"> PAGEREF _Toc443035962 \h </w:instrText>
      </w:r>
      <w:r>
        <w:rPr>
          <w:noProof/>
        </w:rPr>
      </w:r>
      <w:r>
        <w:rPr>
          <w:noProof/>
        </w:rPr>
        <w:fldChar w:fldCharType="separate"/>
      </w:r>
      <w:r>
        <w:rPr>
          <w:noProof/>
        </w:rPr>
        <w:t>110</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14.2</w:t>
      </w:r>
      <w:r w:rsidRPr="00D07295">
        <w:rPr>
          <w:rFonts w:ascii="Calibri" w:hAnsi="Calibri"/>
          <w:caps w:val="0"/>
          <w:noProof/>
          <w:sz w:val="22"/>
          <w:szCs w:val="22"/>
          <w:lang w:val="fr-FR" w:eastAsia="fr-FR"/>
        </w:rPr>
        <w:tab/>
      </w:r>
      <w:r>
        <w:rPr>
          <w:noProof/>
        </w:rPr>
        <w:t>Record retention in study sites</w:t>
      </w:r>
      <w:r>
        <w:rPr>
          <w:noProof/>
        </w:rPr>
        <w:tab/>
      </w:r>
      <w:r>
        <w:rPr>
          <w:noProof/>
        </w:rPr>
        <w:fldChar w:fldCharType="begin"/>
      </w:r>
      <w:r>
        <w:rPr>
          <w:noProof/>
        </w:rPr>
        <w:instrText xml:space="preserve"> PAGEREF _Toc443035963 \h </w:instrText>
      </w:r>
      <w:r>
        <w:rPr>
          <w:noProof/>
        </w:rPr>
      </w:r>
      <w:r>
        <w:rPr>
          <w:noProof/>
        </w:rPr>
        <w:fldChar w:fldCharType="separate"/>
      </w:r>
      <w:r>
        <w:rPr>
          <w:noProof/>
        </w:rPr>
        <w:t>110</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14.3</w:t>
      </w:r>
      <w:r w:rsidRPr="00D07295">
        <w:rPr>
          <w:rFonts w:ascii="Calibri" w:hAnsi="Calibri"/>
          <w:caps w:val="0"/>
          <w:noProof/>
          <w:sz w:val="22"/>
          <w:szCs w:val="22"/>
          <w:lang w:val="fr-FR" w:eastAsia="fr-FR"/>
        </w:rPr>
        <w:tab/>
      </w:r>
      <w:r>
        <w:rPr>
          <w:noProof/>
        </w:rPr>
        <w:t>Confidentiality</w:t>
      </w:r>
      <w:r>
        <w:rPr>
          <w:noProof/>
        </w:rPr>
        <w:tab/>
      </w:r>
      <w:r>
        <w:rPr>
          <w:noProof/>
        </w:rPr>
        <w:fldChar w:fldCharType="begin"/>
      </w:r>
      <w:r>
        <w:rPr>
          <w:noProof/>
        </w:rPr>
        <w:instrText xml:space="preserve"> PAGEREF _Toc443035964 \h </w:instrText>
      </w:r>
      <w:r>
        <w:rPr>
          <w:noProof/>
        </w:rPr>
      </w:r>
      <w:r>
        <w:rPr>
          <w:noProof/>
        </w:rPr>
        <w:fldChar w:fldCharType="separate"/>
      </w:r>
      <w:r>
        <w:rPr>
          <w:noProof/>
        </w:rPr>
        <w:t>110</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14.4</w:t>
      </w:r>
      <w:r w:rsidRPr="00D07295">
        <w:rPr>
          <w:rFonts w:ascii="Calibri" w:hAnsi="Calibri"/>
          <w:caps w:val="0"/>
          <w:noProof/>
          <w:sz w:val="22"/>
          <w:szCs w:val="22"/>
          <w:lang w:val="fr-FR" w:eastAsia="fr-FR"/>
        </w:rPr>
        <w:tab/>
      </w:r>
      <w:r>
        <w:rPr>
          <w:noProof/>
        </w:rPr>
        <w:t>Property rights</w:t>
      </w:r>
      <w:r>
        <w:rPr>
          <w:noProof/>
        </w:rPr>
        <w:tab/>
      </w:r>
      <w:r>
        <w:rPr>
          <w:noProof/>
        </w:rPr>
        <w:fldChar w:fldCharType="begin"/>
      </w:r>
      <w:r>
        <w:rPr>
          <w:noProof/>
        </w:rPr>
        <w:instrText xml:space="preserve"> PAGEREF _Toc443035965 \h </w:instrText>
      </w:r>
      <w:r>
        <w:rPr>
          <w:noProof/>
        </w:rPr>
      </w:r>
      <w:r>
        <w:rPr>
          <w:noProof/>
        </w:rPr>
        <w:fldChar w:fldCharType="separate"/>
      </w:r>
      <w:r>
        <w:rPr>
          <w:noProof/>
        </w:rPr>
        <w:t>111</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14.5</w:t>
      </w:r>
      <w:r w:rsidRPr="00D07295">
        <w:rPr>
          <w:rFonts w:ascii="Calibri" w:hAnsi="Calibri"/>
          <w:caps w:val="0"/>
          <w:noProof/>
          <w:sz w:val="22"/>
          <w:szCs w:val="22"/>
          <w:lang w:val="fr-FR" w:eastAsia="fr-FR"/>
        </w:rPr>
        <w:tab/>
      </w:r>
      <w:r>
        <w:rPr>
          <w:noProof/>
        </w:rPr>
        <w:t>Data protection</w:t>
      </w:r>
      <w:r>
        <w:rPr>
          <w:noProof/>
        </w:rPr>
        <w:tab/>
      </w:r>
      <w:r>
        <w:rPr>
          <w:noProof/>
        </w:rPr>
        <w:fldChar w:fldCharType="begin"/>
      </w:r>
      <w:r>
        <w:rPr>
          <w:noProof/>
        </w:rPr>
        <w:instrText xml:space="preserve"> PAGEREF _Toc443035966 \h </w:instrText>
      </w:r>
      <w:r>
        <w:rPr>
          <w:noProof/>
        </w:rPr>
      </w:r>
      <w:r>
        <w:rPr>
          <w:noProof/>
        </w:rPr>
        <w:fldChar w:fldCharType="separate"/>
      </w:r>
      <w:r>
        <w:rPr>
          <w:noProof/>
        </w:rPr>
        <w:t>111</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14.6</w:t>
      </w:r>
      <w:r w:rsidRPr="00D07295">
        <w:rPr>
          <w:rFonts w:ascii="Calibri" w:hAnsi="Calibri"/>
          <w:caps w:val="0"/>
          <w:noProof/>
          <w:sz w:val="22"/>
          <w:szCs w:val="22"/>
          <w:lang w:val="fr-FR" w:eastAsia="fr-FR"/>
        </w:rPr>
        <w:tab/>
      </w:r>
      <w:r>
        <w:rPr>
          <w:noProof/>
        </w:rPr>
        <w:t>Insurance compensation</w:t>
      </w:r>
      <w:r>
        <w:rPr>
          <w:noProof/>
        </w:rPr>
        <w:tab/>
      </w:r>
      <w:r>
        <w:rPr>
          <w:noProof/>
        </w:rPr>
        <w:fldChar w:fldCharType="begin"/>
      </w:r>
      <w:r>
        <w:rPr>
          <w:noProof/>
        </w:rPr>
        <w:instrText xml:space="preserve"> PAGEREF _Toc443035967 \h </w:instrText>
      </w:r>
      <w:r>
        <w:rPr>
          <w:noProof/>
        </w:rPr>
      </w:r>
      <w:r>
        <w:rPr>
          <w:noProof/>
        </w:rPr>
        <w:fldChar w:fldCharType="separate"/>
      </w:r>
      <w:r>
        <w:rPr>
          <w:noProof/>
        </w:rPr>
        <w:t>112</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14.7</w:t>
      </w:r>
      <w:r w:rsidRPr="00D07295">
        <w:rPr>
          <w:rFonts w:ascii="Calibri" w:hAnsi="Calibri"/>
          <w:caps w:val="0"/>
          <w:noProof/>
          <w:sz w:val="22"/>
          <w:szCs w:val="22"/>
          <w:lang w:val="fr-FR" w:eastAsia="fr-FR"/>
        </w:rPr>
        <w:tab/>
      </w:r>
      <w:r>
        <w:rPr>
          <w:noProof/>
        </w:rPr>
        <w:t>Sponsor audits and inspections by regulatory agencies</w:t>
      </w:r>
      <w:r>
        <w:rPr>
          <w:noProof/>
        </w:rPr>
        <w:tab/>
      </w:r>
      <w:r>
        <w:rPr>
          <w:noProof/>
        </w:rPr>
        <w:fldChar w:fldCharType="begin"/>
      </w:r>
      <w:r>
        <w:rPr>
          <w:noProof/>
        </w:rPr>
        <w:instrText xml:space="preserve"> PAGEREF _Toc443035968 \h </w:instrText>
      </w:r>
      <w:r>
        <w:rPr>
          <w:noProof/>
        </w:rPr>
      </w:r>
      <w:r>
        <w:rPr>
          <w:noProof/>
        </w:rPr>
        <w:fldChar w:fldCharType="separate"/>
      </w:r>
      <w:r>
        <w:rPr>
          <w:noProof/>
        </w:rPr>
        <w:t>112</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14.8</w:t>
      </w:r>
      <w:r w:rsidRPr="00D07295">
        <w:rPr>
          <w:rFonts w:ascii="Calibri" w:hAnsi="Calibri"/>
          <w:caps w:val="0"/>
          <w:noProof/>
          <w:sz w:val="22"/>
          <w:szCs w:val="22"/>
          <w:lang w:val="fr-FR" w:eastAsia="fr-FR"/>
        </w:rPr>
        <w:tab/>
      </w:r>
      <w:r>
        <w:rPr>
          <w:noProof/>
        </w:rPr>
        <w:t>Premature discontinuation of the study or premature close-out of a site</w:t>
      </w:r>
      <w:r>
        <w:rPr>
          <w:noProof/>
        </w:rPr>
        <w:tab/>
      </w:r>
      <w:r>
        <w:rPr>
          <w:noProof/>
        </w:rPr>
        <w:fldChar w:fldCharType="begin"/>
      </w:r>
      <w:r>
        <w:rPr>
          <w:noProof/>
        </w:rPr>
        <w:instrText xml:space="preserve"> PAGEREF _Toc443035969 \h </w:instrText>
      </w:r>
      <w:r>
        <w:rPr>
          <w:noProof/>
        </w:rPr>
      </w:r>
      <w:r>
        <w:rPr>
          <w:noProof/>
        </w:rPr>
        <w:fldChar w:fldCharType="separate"/>
      </w:r>
      <w:r>
        <w:rPr>
          <w:noProof/>
        </w:rPr>
        <w:t>112</w:t>
      </w:r>
      <w:r>
        <w:rPr>
          <w:noProof/>
        </w:rPr>
        <w:fldChar w:fldCharType="end"/>
      </w:r>
    </w:p>
    <w:p w:rsidR="005A26F6" w:rsidRPr="00D07295" w:rsidRDefault="005A26F6">
      <w:pPr>
        <w:pStyle w:val="TOC3"/>
        <w:rPr>
          <w:rFonts w:ascii="Calibri" w:hAnsi="Calibri"/>
          <w:noProof/>
          <w:sz w:val="22"/>
          <w:szCs w:val="22"/>
          <w:lang w:val="fr-FR" w:eastAsia="fr-FR"/>
        </w:rPr>
      </w:pPr>
      <w:r>
        <w:rPr>
          <w:noProof/>
        </w:rPr>
        <w:t>14.8.1</w:t>
      </w:r>
      <w:r w:rsidRPr="00D07295">
        <w:rPr>
          <w:rFonts w:ascii="Calibri" w:hAnsi="Calibri"/>
          <w:noProof/>
          <w:sz w:val="22"/>
          <w:szCs w:val="22"/>
          <w:lang w:val="fr-FR" w:eastAsia="fr-FR"/>
        </w:rPr>
        <w:tab/>
      </w:r>
      <w:r>
        <w:rPr>
          <w:noProof/>
        </w:rPr>
        <w:t>By the Sponsor</w:t>
      </w:r>
      <w:r>
        <w:rPr>
          <w:noProof/>
        </w:rPr>
        <w:tab/>
      </w:r>
      <w:r>
        <w:rPr>
          <w:noProof/>
        </w:rPr>
        <w:fldChar w:fldCharType="begin"/>
      </w:r>
      <w:r>
        <w:rPr>
          <w:noProof/>
        </w:rPr>
        <w:instrText xml:space="preserve"> PAGEREF _Toc443035970 \h </w:instrText>
      </w:r>
      <w:r>
        <w:rPr>
          <w:noProof/>
        </w:rPr>
      </w:r>
      <w:r>
        <w:rPr>
          <w:noProof/>
        </w:rPr>
        <w:fldChar w:fldCharType="separate"/>
      </w:r>
      <w:r>
        <w:rPr>
          <w:noProof/>
        </w:rPr>
        <w:t>112</w:t>
      </w:r>
      <w:r>
        <w:rPr>
          <w:noProof/>
        </w:rPr>
        <w:fldChar w:fldCharType="end"/>
      </w:r>
    </w:p>
    <w:p w:rsidR="005A26F6" w:rsidRPr="00D07295" w:rsidRDefault="005A26F6">
      <w:pPr>
        <w:pStyle w:val="TOC3"/>
        <w:rPr>
          <w:rFonts w:ascii="Calibri" w:hAnsi="Calibri"/>
          <w:noProof/>
          <w:sz w:val="22"/>
          <w:szCs w:val="22"/>
          <w:lang w:val="fr-FR" w:eastAsia="fr-FR"/>
        </w:rPr>
      </w:pPr>
      <w:r>
        <w:rPr>
          <w:noProof/>
        </w:rPr>
        <w:t>14.8.2</w:t>
      </w:r>
      <w:r w:rsidRPr="00D07295">
        <w:rPr>
          <w:rFonts w:ascii="Calibri" w:hAnsi="Calibri"/>
          <w:noProof/>
          <w:sz w:val="22"/>
          <w:szCs w:val="22"/>
          <w:lang w:val="fr-FR" w:eastAsia="fr-FR"/>
        </w:rPr>
        <w:tab/>
      </w:r>
      <w:r>
        <w:rPr>
          <w:noProof/>
        </w:rPr>
        <w:t>By the Investigator</w:t>
      </w:r>
      <w:r>
        <w:rPr>
          <w:noProof/>
        </w:rPr>
        <w:tab/>
      </w:r>
      <w:r>
        <w:rPr>
          <w:noProof/>
        </w:rPr>
        <w:fldChar w:fldCharType="begin"/>
      </w:r>
      <w:r>
        <w:rPr>
          <w:noProof/>
        </w:rPr>
        <w:instrText xml:space="preserve"> PAGEREF _Toc443035971 \h </w:instrText>
      </w:r>
      <w:r>
        <w:rPr>
          <w:noProof/>
        </w:rPr>
      </w:r>
      <w:r>
        <w:rPr>
          <w:noProof/>
        </w:rPr>
        <w:fldChar w:fldCharType="separate"/>
      </w:r>
      <w:r>
        <w:rPr>
          <w:noProof/>
        </w:rPr>
        <w:t>113</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lastRenderedPageBreak/>
        <w:t>14.9</w:t>
      </w:r>
      <w:r w:rsidRPr="00D07295">
        <w:rPr>
          <w:rFonts w:ascii="Calibri" w:hAnsi="Calibri"/>
          <w:caps w:val="0"/>
          <w:noProof/>
          <w:sz w:val="22"/>
          <w:szCs w:val="22"/>
          <w:lang w:val="fr-FR" w:eastAsia="fr-FR"/>
        </w:rPr>
        <w:tab/>
      </w:r>
      <w:r>
        <w:rPr>
          <w:noProof/>
        </w:rPr>
        <w:t>Clinical trial results</w:t>
      </w:r>
      <w:r>
        <w:rPr>
          <w:noProof/>
        </w:rPr>
        <w:tab/>
      </w:r>
      <w:r>
        <w:rPr>
          <w:noProof/>
        </w:rPr>
        <w:fldChar w:fldCharType="begin"/>
      </w:r>
      <w:r>
        <w:rPr>
          <w:noProof/>
        </w:rPr>
        <w:instrText xml:space="preserve"> PAGEREF _Toc443035972 \h </w:instrText>
      </w:r>
      <w:r>
        <w:rPr>
          <w:noProof/>
        </w:rPr>
      </w:r>
      <w:r>
        <w:rPr>
          <w:noProof/>
        </w:rPr>
        <w:fldChar w:fldCharType="separate"/>
      </w:r>
      <w:r>
        <w:rPr>
          <w:noProof/>
        </w:rPr>
        <w:t>113</w:t>
      </w:r>
      <w:r>
        <w:rPr>
          <w:noProof/>
        </w:rPr>
        <w:fldChar w:fldCharType="end"/>
      </w:r>
    </w:p>
    <w:p w:rsidR="005A26F6" w:rsidRPr="00D07295" w:rsidRDefault="005A26F6">
      <w:pPr>
        <w:pStyle w:val="TOC2"/>
        <w:rPr>
          <w:rFonts w:ascii="Calibri" w:hAnsi="Calibri"/>
          <w:caps w:val="0"/>
          <w:noProof/>
          <w:sz w:val="22"/>
          <w:szCs w:val="22"/>
          <w:lang w:val="fr-FR" w:eastAsia="fr-FR"/>
        </w:rPr>
      </w:pPr>
      <w:r>
        <w:rPr>
          <w:noProof/>
        </w:rPr>
        <w:t>14.10</w:t>
      </w:r>
      <w:r w:rsidRPr="00D07295">
        <w:rPr>
          <w:rFonts w:ascii="Calibri" w:hAnsi="Calibri"/>
          <w:caps w:val="0"/>
          <w:noProof/>
          <w:sz w:val="22"/>
          <w:szCs w:val="22"/>
          <w:lang w:val="fr-FR" w:eastAsia="fr-FR"/>
        </w:rPr>
        <w:tab/>
      </w:r>
      <w:r>
        <w:rPr>
          <w:noProof/>
        </w:rPr>
        <w:t>Publications and communications</w:t>
      </w:r>
      <w:r>
        <w:rPr>
          <w:noProof/>
        </w:rPr>
        <w:tab/>
      </w:r>
      <w:r>
        <w:rPr>
          <w:noProof/>
        </w:rPr>
        <w:fldChar w:fldCharType="begin"/>
      </w:r>
      <w:r>
        <w:rPr>
          <w:noProof/>
        </w:rPr>
        <w:instrText xml:space="preserve"> PAGEREF _Toc443035973 \h </w:instrText>
      </w:r>
      <w:r>
        <w:rPr>
          <w:noProof/>
        </w:rPr>
      </w:r>
      <w:r>
        <w:rPr>
          <w:noProof/>
        </w:rPr>
        <w:fldChar w:fldCharType="separate"/>
      </w:r>
      <w:r>
        <w:rPr>
          <w:noProof/>
        </w:rPr>
        <w:t>113</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15</w:t>
      </w:r>
      <w:r w:rsidRPr="00D07295">
        <w:rPr>
          <w:rFonts w:ascii="Calibri" w:hAnsi="Calibri"/>
          <w:b w:val="0"/>
          <w:caps w:val="0"/>
          <w:noProof/>
          <w:sz w:val="22"/>
          <w:szCs w:val="22"/>
          <w:lang w:val="fr-FR" w:eastAsia="fr-FR"/>
        </w:rPr>
        <w:tab/>
      </w:r>
      <w:r>
        <w:rPr>
          <w:noProof/>
        </w:rPr>
        <w:t>Clinical trial protocol amendments</w:t>
      </w:r>
      <w:r>
        <w:rPr>
          <w:noProof/>
        </w:rPr>
        <w:tab/>
      </w:r>
      <w:r>
        <w:rPr>
          <w:noProof/>
        </w:rPr>
        <w:fldChar w:fldCharType="begin"/>
      </w:r>
      <w:r>
        <w:rPr>
          <w:noProof/>
        </w:rPr>
        <w:instrText xml:space="preserve"> PAGEREF _Toc443035974 \h </w:instrText>
      </w:r>
      <w:r>
        <w:rPr>
          <w:noProof/>
        </w:rPr>
      </w:r>
      <w:r>
        <w:rPr>
          <w:noProof/>
        </w:rPr>
        <w:fldChar w:fldCharType="separate"/>
      </w:r>
      <w:r>
        <w:rPr>
          <w:noProof/>
        </w:rPr>
        <w:t>114</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16</w:t>
      </w:r>
      <w:r w:rsidRPr="00D07295">
        <w:rPr>
          <w:rFonts w:ascii="Calibri" w:hAnsi="Calibri"/>
          <w:b w:val="0"/>
          <w:caps w:val="0"/>
          <w:noProof/>
          <w:sz w:val="22"/>
          <w:szCs w:val="22"/>
          <w:lang w:val="fr-FR" w:eastAsia="fr-FR"/>
        </w:rPr>
        <w:tab/>
      </w:r>
      <w:r>
        <w:rPr>
          <w:noProof/>
        </w:rPr>
        <w:t>Bibliographic references</w:t>
      </w:r>
      <w:r>
        <w:rPr>
          <w:noProof/>
        </w:rPr>
        <w:tab/>
      </w:r>
      <w:r>
        <w:rPr>
          <w:noProof/>
        </w:rPr>
        <w:fldChar w:fldCharType="begin"/>
      </w:r>
      <w:r>
        <w:rPr>
          <w:noProof/>
        </w:rPr>
        <w:instrText xml:space="preserve"> PAGEREF _Toc443035975 \h </w:instrText>
      </w:r>
      <w:r>
        <w:rPr>
          <w:noProof/>
        </w:rPr>
      </w:r>
      <w:r>
        <w:rPr>
          <w:noProof/>
        </w:rPr>
        <w:fldChar w:fldCharType="separate"/>
      </w:r>
      <w:r>
        <w:rPr>
          <w:noProof/>
        </w:rPr>
        <w:t>115</w:t>
      </w:r>
      <w:r>
        <w:rPr>
          <w:noProof/>
        </w:rPr>
        <w:fldChar w:fldCharType="end"/>
      </w:r>
    </w:p>
    <w:p w:rsidR="005A26F6" w:rsidRPr="00D07295" w:rsidRDefault="005A26F6">
      <w:pPr>
        <w:pStyle w:val="TOC1"/>
        <w:rPr>
          <w:rFonts w:ascii="Calibri" w:hAnsi="Calibri"/>
          <w:b w:val="0"/>
          <w:caps w:val="0"/>
          <w:noProof/>
          <w:sz w:val="22"/>
          <w:szCs w:val="22"/>
          <w:lang w:val="fr-FR" w:eastAsia="fr-FR"/>
        </w:rPr>
      </w:pPr>
      <w:r>
        <w:rPr>
          <w:noProof/>
        </w:rPr>
        <w:t>17</w:t>
      </w:r>
      <w:r w:rsidRPr="00D07295">
        <w:rPr>
          <w:rFonts w:ascii="Calibri" w:hAnsi="Calibri"/>
          <w:b w:val="0"/>
          <w:caps w:val="0"/>
          <w:noProof/>
          <w:sz w:val="22"/>
          <w:szCs w:val="22"/>
          <w:lang w:val="fr-FR" w:eastAsia="fr-FR"/>
        </w:rPr>
        <w:tab/>
      </w:r>
      <w:r>
        <w:rPr>
          <w:noProof/>
        </w:rPr>
        <w:t>Appendices</w:t>
      </w:r>
      <w:r>
        <w:rPr>
          <w:noProof/>
        </w:rPr>
        <w:tab/>
      </w:r>
      <w:r>
        <w:rPr>
          <w:noProof/>
        </w:rPr>
        <w:fldChar w:fldCharType="begin"/>
      </w:r>
      <w:r>
        <w:rPr>
          <w:noProof/>
        </w:rPr>
        <w:instrText xml:space="preserve"> PAGEREF _Toc443035976 \h </w:instrText>
      </w:r>
      <w:r>
        <w:rPr>
          <w:noProof/>
        </w:rPr>
      </w:r>
      <w:r>
        <w:rPr>
          <w:noProof/>
        </w:rPr>
        <w:fldChar w:fldCharType="separate"/>
      </w:r>
      <w:r>
        <w:rPr>
          <w:noProof/>
        </w:rPr>
        <w:t>119</w:t>
      </w:r>
      <w:r>
        <w:rPr>
          <w:noProof/>
        </w:rPr>
        <w:fldChar w:fldCharType="end"/>
      </w:r>
    </w:p>
    <w:p w:rsidR="005A26F6" w:rsidRPr="00D07295" w:rsidRDefault="005A26F6">
      <w:pPr>
        <w:pStyle w:val="TOC2"/>
        <w:tabs>
          <w:tab w:val="left" w:pos="1420"/>
        </w:tabs>
        <w:rPr>
          <w:rFonts w:ascii="Calibri" w:hAnsi="Calibri"/>
          <w:caps w:val="0"/>
          <w:noProof/>
          <w:sz w:val="22"/>
          <w:szCs w:val="22"/>
          <w:lang w:val="fr-FR" w:eastAsia="fr-FR"/>
        </w:rPr>
      </w:pPr>
      <w:r>
        <w:rPr>
          <w:noProof/>
        </w:rPr>
        <w:t>Appendix A</w:t>
      </w:r>
      <w:r w:rsidRPr="00D07295">
        <w:rPr>
          <w:rFonts w:ascii="Calibri" w:hAnsi="Calibri"/>
          <w:caps w:val="0"/>
          <w:noProof/>
          <w:sz w:val="22"/>
          <w:szCs w:val="22"/>
          <w:lang w:val="fr-FR" w:eastAsia="fr-FR"/>
        </w:rPr>
        <w:tab/>
      </w:r>
      <w:r>
        <w:rPr>
          <w:noProof/>
        </w:rPr>
        <w:t>Guidance on contraceptive methods</w:t>
      </w:r>
      <w:r>
        <w:rPr>
          <w:noProof/>
        </w:rPr>
        <w:tab/>
      </w:r>
      <w:r>
        <w:rPr>
          <w:noProof/>
        </w:rPr>
        <w:fldChar w:fldCharType="begin"/>
      </w:r>
      <w:r>
        <w:rPr>
          <w:noProof/>
        </w:rPr>
        <w:instrText xml:space="preserve"> PAGEREF _Toc443035977 \h </w:instrText>
      </w:r>
      <w:r>
        <w:rPr>
          <w:noProof/>
        </w:rPr>
      </w:r>
      <w:r>
        <w:rPr>
          <w:noProof/>
        </w:rPr>
        <w:fldChar w:fldCharType="separate"/>
      </w:r>
      <w:r>
        <w:rPr>
          <w:noProof/>
        </w:rPr>
        <w:t>119</w:t>
      </w:r>
      <w:r>
        <w:rPr>
          <w:noProof/>
        </w:rPr>
        <w:fldChar w:fldCharType="end"/>
      </w:r>
    </w:p>
    <w:p w:rsidR="005A26F6" w:rsidRPr="00D07295" w:rsidRDefault="005A26F6">
      <w:pPr>
        <w:pStyle w:val="TOC2"/>
        <w:tabs>
          <w:tab w:val="left" w:pos="1420"/>
        </w:tabs>
        <w:rPr>
          <w:rFonts w:ascii="Calibri" w:hAnsi="Calibri"/>
          <w:caps w:val="0"/>
          <w:noProof/>
          <w:sz w:val="22"/>
          <w:szCs w:val="22"/>
          <w:lang w:val="fr-FR" w:eastAsia="fr-FR"/>
        </w:rPr>
      </w:pPr>
      <w:r>
        <w:rPr>
          <w:noProof/>
        </w:rPr>
        <w:t>Appendix B</w:t>
      </w:r>
      <w:r w:rsidRPr="00D07295">
        <w:rPr>
          <w:rFonts w:ascii="Calibri" w:hAnsi="Calibri"/>
          <w:caps w:val="0"/>
          <w:noProof/>
          <w:sz w:val="22"/>
          <w:szCs w:val="22"/>
          <w:lang w:val="fr-FR" w:eastAsia="fr-FR"/>
        </w:rPr>
        <w:tab/>
      </w:r>
      <w:r>
        <w:rPr>
          <w:noProof/>
        </w:rPr>
        <w:t>MDRD</w:t>
      </w:r>
      <w:r>
        <w:rPr>
          <w:noProof/>
        </w:rPr>
        <w:tab/>
      </w:r>
      <w:r>
        <w:rPr>
          <w:noProof/>
        </w:rPr>
        <w:fldChar w:fldCharType="begin"/>
      </w:r>
      <w:r>
        <w:rPr>
          <w:noProof/>
        </w:rPr>
        <w:instrText xml:space="preserve"> PAGEREF _Toc443035978 \h </w:instrText>
      </w:r>
      <w:r>
        <w:rPr>
          <w:noProof/>
        </w:rPr>
      </w:r>
      <w:r>
        <w:rPr>
          <w:noProof/>
        </w:rPr>
        <w:fldChar w:fldCharType="separate"/>
      </w:r>
      <w:r>
        <w:rPr>
          <w:noProof/>
        </w:rPr>
        <w:t>120</w:t>
      </w:r>
      <w:r>
        <w:rPr>
          <w:noProof/>
        </w:rPr>
        <w:fldChar w:fldCharType="end"/>
      </w:r>
    </w:p>
    <w:p w:rsidR="005A26F6" w:rsidRPr="00D07295" w:rsidRDefault="005A26F6">
      <w:pPr>
        <w:pStyle w:val="TOC2"/>
        <w:tabs>
          <w:tab w:val="left" w:pos="1431"/>
        </w:tabs>
        <w:rPr>
          <w:rFonts w:ascii="Calibri" w:hAnsi="Calibri"/>
          <w:caps w:val="0"/>
          <w:noProof/>
          <w:sz w:val="22"/>
          <w:szCs w:val="22"/>
          <w:lang w:val="fr-FR" w:eastAsia="fr-FR"/>
        </w:rPr>
      </w:pPr>
      <w:r>
        <w:rPr>
          <w:noProof/>
        </w:rPr>
        <w:t>Appendix C</w:t>
      </w:r>
      <w:r w:rsidRPr="00D07295">
        <w:rPr>
          <w:rFonts w:ascii="Calibri" w:hAnsi="Calibri"/>
          <w:caps w:val="0"/>
          <w:noProof/>
          <w:sz w:val="22"/>
          <w:szCs w:val="22"/>
          <w:lang w:val="fr-FR" w:eastAsia="fr-FR"/>
        </w:rPr>
        <w:tab/>
      </w:r>
      <w:r>
        <w:rPr>
          <w:noProof/>
        </w:rPr>
        <w:t>General Guidance for the follow-up of laboratory abnormalities by Sanofi</w:t>
      </w:r>
      <w:r>
        <w:rPr>
          <w:noProof/>
        </w:rPr>
        <w:tab/>
      </w:r>
      <w:r>
        <w:rPr>
          <w:noProof/>
        </w:rPr>
        <w:fldChar w:fldCharType="begin"/>
      </w:r>
      <w:r>
        <w:rPr>
          <w:noProof/>
        </w:rPr>
        <w:instrText xml:space="preserve"> PAGEREF _Toc443035979 \h </w:instrText>
      </w:r>
      <w:r>
        <w:rPr>
          <w:noProof/>
        </w:rPr>
      </w:r>
      <w:r>
        <w:rPr>
          <w:noProof/>
        </w:rPr>
        <w:fldChar w:fldCharType="separate"/>
      </w:r>
      <w:r>
        <w:rPr>
          <w:noProof/>
        </w:rPr>
        <w:t>121</w:t>
      </w:r>
      <w:r>
        <w:rPr>
          <w:noProof/>
        </w:rPr>
        <w:fldChar w:fldCharType="end"/>
      </w:r>
    </w:p>
    <w:p w:rsidR="005A26F6" w:rsidRPr="00D07295" w:rsidRDefault="005A26F6">
      <w:pPr>
        <w:pStyle w:val="TOC2"/>
        <w:tabs>
          <w:tab w:val="left" w:pos="1431"/>
        </w:tabs>
        <w:rPr>
          <w:rFonts w:ascii="Calibri" w:hAnsi="Calibri"/>
          <w:caps w:val="0"/>
          <w:noProof/>
          <w:sz w:val="22"/>
          <w:szCs w:val="22"/>
          <w:lang w:val="fr-FR" w:eastAsia="fr-FR"/>
        </w:rPr>
      </w:pPr>
      <w:r>
        <w:rPr>
          <w:noProof/>
        </w:rPr>
        <w:t>Appendix D</w:t>
      </w:r>
      <w:r w:rsidRPr="00D07295">
        <w:rPr>
          <w:rFonts w:ascii="Calibri" w:hAnsi="Calibri"/>
          <w:caps w:val="0"/>
          <w:noProof/>
          <w:sz w:val="22"/>
          <w:szCs w:val="22"/>
          <w:lang w:val="fr-FR" w:eastAsia="fr-FR"/>
        </w:rPr>
        <w:tab/>
      </w:r>
      <w:r>
        <w:rPr>
          <w:noProof/>
        </w:rPr>
        <w:t>Back-up plan for SAE and other Investigator Expedited Events reporting process when the e-CRF system fails</w:t>
      </w:r>
      <w:r>
        <w:rPr>
          <w:noProof/>
        </w:rPr>
        <w:tab/>
      </w:r>
      <w:r>
        <w:rPr>
          <w:noProof/>
        </w:rPr>
        <w:fldChar w:fldCharType="begin"/>
      </w:r>
      <w:r>
        <w:rPr>
          <w:noProof/>
        </w:rPr>
        <w:instrText xml:space="preserve"> PAGEREF _Toc443035980 \h </w:instrText>
      </w:r>
      <w:r>
        <w:rPr>
          <w:noProof/>
        </w:rPr>
      </w:r>
      <w:r>
        <w:rPr>
          <w:noProof/>
        </w:rPr>
        <w:fldChar w:fldCharType="separate"/>
      </w:r>
      <w:r>
        <w:rPr>
          <w:noProof/>
        </w:rPr>
        <w:t>126</w:t>
      </w:r>
      <w:r>
        <w:rPr>
          <w:noProof/>
        </w:rPr>
        <w:fldChar w:fldCharType="end"/>
      </w:r>
    </w:p>
    <w:p w:rsidR="009B4C7A" w:rsidRDefault="001D0430" w:rsidP="009B4C7A">
      <w:r>
        <w:fldChar w:fldCharType="end"/>
      </w:r>
      <w:bookmarkStart w:id="51" w:name="_Toc87170230"/>
      <w:bookmarkStart w:id="52" w:name="_Toc382298056"/>
    </w:p>
    <w:p w:rsidR="009B4C7A" w:rsidRPr="001C7667" w:rsidRDefault="009B4C7A" w:rsidP="009B4C7A">
      <w:pPr>
        <w:pStyle w:val="Title"/>
        <w:pageBreakBefore/>
        <w:rPr>
          <w:lang w:val="fr-FR"/>
        </w:rPr>
      </w:pPr>
      <w:bookmarkStart w:id="53" w:name="_Toc146688150"/>
      <w:bookmarkStart w:id="54" w:name="_Toc146688153"/>
      <w:bookmarkStart w:id="55" w:name="_Toc146692893"/>
      <w:bookmarkStart w:id="56" w:name="_Toc151279174"/>
      <w:bookmarkStart w:id="57" w:name="_Toc441825154"/>
      <w:bookmarkStart w:id="58" w:name="_Toc443035818"/>
      <w:r w:rsidRPr="001C7667">
        <w:rPr>
          <w:lang w:val="fr-FR"/>
        </w:rPr>
        <w:lastRenderedPageBreak/>
        <w:t>List of tables</w:t>
      </w:r>
      <w:bookmarkEnd w:id="53"/>
      <w:bookmarkEnd w:id="54"/>
      <w:bookmarkEnd w:id="55"/>
      <w:bookmarkEnd w:id="56"/>
      <w:bookmarkEnd w:id="57"/>
      <w:bookmarkEnd w:id="58"/>
    </w:p>
    <w:p w:rsidR="005A26F6" w:rsidRPr="00D07295" w:rsidRDefault="009B4C7A">
      <w:pPr>
        <w:pStyle w:val="TableofFigures"/>
        <w:rPr>
          <w:rFonts w:ascii="Calibri" w:hAnsi="Calibri"/>
          <w:noProof/>
          <w:sz w:val="22"/>
          <w:szCs w:val="22"/>
          <w:lang w:val="fr-FR" w:eastAsia="fr-FR"/>
        </w:rPr>
      </w:pPr>
      <w:r>
        <w:fldChar w:fldCharType="begin"/>
      </w:r>
      <w:r w:rsidRPr="001C7667">
        <w:rPr>
          <w:lang w:val="fr-FR"/>
        </w:rPr>
        <w:instrText xml:space="preserve"> TOC \c "Table" \h </w:instrText>
      </w:r>
      <w:r>
        <w:fldChar w:fldCharType="separate"/>
      </w:r>
      <w:hyperlink w:anchor="_Toc443035981" w:history="1">
        <w:r w:rsidR="005A26F6" w:rsidRPr="00693E60">
          <w:rPr>
            <w:rStyle w:val="Hyperlink"/>
            <w:noProof/>
          </w:rPr>
          <w:t>Table 1 - Dose adjustment algorithm for insulin glargine/lixisenatide fixed ratio combination</w:t>
        </w:r>
        <w:r w:rsidR="005A26F6">
          <w:rPr>
            <w:noProof/>
          </w:rPr>
          <w:tab/>
        </w:r>
        <w:r w:rsidR="005A26F6">
          <w:rPr>
            <w:noProof/>
          </w:rPr>
          <w:fldChar w:fldCharType="begin"/>
        </w:r>
        <w:r w:rsidR="005A26F6">
          <w:rPr>
            <w:noProof/>
          </w:rPr>
          <w:instrText xml:space="preserve"> PAGEREF _Toc443035981 \h </w:instrText>
        </w:r>
        <w:r w:rsidR="005A26F6">
          <w:rPr>
            <w:noProof/>
          </w:rPr>
        </w:r>
        <w:r w:rsidR="005A26F6">
          <w:rPr>
            <w:noProof/>
          </w:rPr>
          <w:fldChar w:fldCharType="separate"/>
        </w:r>
        <w:r w:rsidR="005A26F6">
          <w:rPr>
            <w:noProof/>
          </w:rPr>
          <w:t>48</w:t>
        </w:r>
        <w:r w:rsidR="005A26F6">
          <w:rPr>
            <w:noProof/>
          </w:rPr>
          <w:fldChar w:fldCharType="end"/>
        </w:r>
      </w:hyperlink>
    </w:p>
    <w:p w:rsidR="005A26F6" w:rsidRPr="00D07295" w:rsidRDefault="005A26F6">
      <w:pPr>
        <w:pStyle w:val="TableofFigures"/>
        <w:rPr>
          <w:rFonts w:ascii="Calibri" w:hAnsi="Calibri"/>
          <w:noProof/>
          <w:sz w:val="22"/>
          <w:szCs w:val="22"/>
          <w:lang w:val="fr-FR" w:eastAsia="fr-FR"/>
        </w:rPr>
      </w:pPr>
      <w:hyperlink w:anchor="_Toc443035982" w:history="1">
        <w:r w:rsidRPr="00693E60">
          <w:rPr>
            <w:rStyle w:val="Hyperlink"/>
            <w:noProof/>
          </w:rPr>
          <w:t>Table 2 - Summary of adverse event reporting instructions</w:t>
        </w:r>
        <w:r>
          <w:rPr>
            <w:noProof/>
          </w:rPr>
          <w:tab/>
        </w:r>
        <w:r>
          <w:rPr>
            <w:noProof/>
          </w:rPr>
          <w:fldChar w:fldCharType="begin"/>
        </w:r>
        <w:r>
          <w:rPr>
            <w:noProof/>
          </w:rPr>
          <w:instrText xml:space="preserve"> PAGEREF _Toc443035982 \h </w:instrText>
        </w:r>
        <w:r>
          <w:rPr>
            <w:noProof/>
          </w:rPr>
        </w:r>
        <w:r>
          <w:rPr>
            <w:noProof/>
          </w:rPr>
          <w:fldChar w:fldCharType="separate"/>
        </w:r>
        <w:r>
          <w:rPr>
            <w:noProof/>
          </w:rPr>
          <w:t>83</w:t>
        </w:r>
        <w:r>
          <w:rPr>
            <w:noProof/>
          </w:rPr>
          <w:fldChar w:fldCharType="end"/>
        </w:r>
      </w:hyperlink>
    </w:p>
    <w:p w:rsidR="009B4C7A" w:rsidRPr="001C7667" w:rsidRDefault="009B4C7A" w:rsidP="009B4C7A">
      <w:pPr>
        <w:ind w:left="1"/>
        <w:rPr>
          <w:lang w:val="fr-FR"/>
        </w:rPr>
      </w:pPr>
      <w:r>
        <w:fldChar w:fldCharType="end"/>
      </w:r>
    </w:p>
    <w:p w:rsidR="009B4C7A" w:rsidRPr="001C7667" w:rsidRDefault="009B4C7A" w:rsidP="009B4C7A">
      <w:pPr>
        <w:pStyle w:val="Title"/>
        <w:pageBreakBefore/>
        <w:rPr>
          <w:lang w:val="fr-FR"/>
        </w:rPr>
      </w:pPr>
      <w:bookmarkStart w:id="59" w:name="_Toc145142551"/>
      <w:bookmarkStart w:id="60" w:name="_Toc146688151"/>
      <w:bookmarkStart w:id="61" w:name="_Toc146688154"/>
      <w:bookmarkStart w:id="62" w:name="_Toc146692894"/>
      <w:bookmarkStart w:id="63" w:name="_Toc151279175"/>
      <w:bookmarkStart w:id="64" w:name="_Toc441825155"/>
      <w:bookmarkStart w:id="65" w:name="_Toc443035819"/>
      <w:r w:rsidRPr="001C7667">
        <w:rPr>
          <w:lang w:val="fr-FR"/>
        </w:rPr>
        <w:lastRenderedPageBreak/>
        <w:t>List of figures</w:t>
      </w:r>
      <w:bookmarkEnd w:id="59"/>
      <w:bookmarkEnd w:id="60"/>
      <w:bookmarkEnd w:id="61"/>
      <w:bookmarkEnd w:id="62"/>
      <w:bookmarkEnd w:id="63"/>
      <w:bookmarkEnd w:id="64"/>
      <w:bookmarkEnd w:id="65"/>
    </w:p>
    <w:p w:rsidR="005A26F6" w:rsidRPr="00D07295" w:rsidRDefault="009B4C7A">
      <w:pPr>
        <w:pStyle w:val="TableofFigures"/>
        <w:rPr>
          <w:rFonts w:ascii="Calibri" w:hAnsi="Calibri"/>
          <w:noProof/>
          <w:sz w:val="22"/>
          <w:szCs w:val="22"/>
          <w:lang w:val="fr-FR" w:eastAsia="fr-FR"/>
        </w:rPr>
      </w:pPr>
      <w:r>
        <w:fldChar w:fldCharType="begin"/>
      </w:r>
      <w:r w:rsidRPr="001C7667">
        <w:rPr>
          <w:lang w:val="fr-FR"/>
        </w:rPr>
        <w:instrText xml:space="preserve"> TOC \c "Figure" \h </w:instrText>
      </w:r>
      <w:r>
        <w:fldChar w:fldCharType="separate"/>
      </w:r>
      <w:hyperlink w:anchor="_Toc443035983" w:history="1">
        <w:r w:rsidR="005A26F6" w:rsidRPr="00170562">
          <w:rPr>
            <w:rStyle w:val="Hyperlink"/>
            <w:noProof/>
          </w:rPr>
          <w:t>Figure 1 - The step-down testing procedure</w:t>
        </w:r>
        <w:r w:rsidR="005A26F6">
          <w:rPr>
            <w:noProof/>
          </w:rPr>
          <w:tab/>
        </w:r>
        <w:r w:rsidR="005A26F6">
          <w:rPr>
            <w:noProof/>
          </w:rPr>
          <w:fldChar w:fldCharType="begin"/>
        </w:r>
        <w:r w:rsidR="005A26F6">
          <w:rPr>
            <w:noProof/>
          </w:rPr>
          <w:instrText xml:space="preserve"> PAGEREF _Toc443035983 \h </w:instrText>
        </w:r>
        <w:r w:rsidR="005A26F6">
          <w:rPr>
            <w:noProof/>
          </w:rPr>
        </w:r>
        <w:r w:rsidR="005A26F6">
          <w:rPr>
            <w:noProof/>
          </w:rPr>
          <w:fldChar w:fldCharType="separate"/>
        </w:r>
        <w:r w:rsidR="005A26F6">
          <w:rPr>
            <w:noProof/>
          </w:rPr>
          <w:t>100</w:t>
        </w:r>
        <w:r w:rsidR="005A26F6">
          <w:rPr>
            <w:noProof/>
          </w:rPr>
          <w:fldChar w:fldCharType="end"/>
        </w:r>
      </w:hyperlink>
    </w:p>
    <w:p w:rsidR="009B4C7A" w:rsidRPr="001C7667" w:rsidRDefault="009B4C7A" w:rsidP="009B4C7A">
      <w:pPr>
        <w:ind w:left="1"/>
        <w:rPr>
          <w:noProof/>
          <w:lang w:val="fr-FR"/>
        </w:rPr>
      </w:pPr>
      <w:r>
        <w:fldChar w:fldCharType="end"/>
      </w:r>
    </w:p>
    <w:p w:rsidR="009B4C7A" w:rsidRDefault="009B4C7A" w:rsidP="009B4C7A"/>
    <w:p w:rsidR="002F41EE" w:rsidRDefault="002F41EE" w:rsidP="007D6C5F">
      <w:pPr>
        <w:pStyle w:val="Heading1"/>
      </w:pPr>
      <w:bookmarkStart w:id="66" w:name="_Toc443035820"/>
      <w:r>
        <w:lastRenderedPageBreak/>
        <w:t>List of abbreviations</w:t>
      </w:r>
      <w:bookmarkEnd w:id="51"/>
      <w:bookmarkEnd w:id="52"/>
      <w:bookmarkEnd w:id="66"/>
    </w:p>
    <w:p w:rsidR="005A26F6" w:rsidRDefault="00942434" w:rsidP="00942434">
      <w:pPr>
        <w:rPr>
          <w:noProof/>
        </w:rPr>
      </w:pPr>
      <w:r>
        <w:fldChar w:fldCharType="begin"/>
      </w:r>
      <w:r>
        <w:instrText xml:space="preserve"> if </w:instrText>
      </w:r>
      <w:r>
        <w:fldChar w:fldCharType="begin"/>
      </w:r>
      <w:r>
        <w:instrText xml:space="preserve"> INDEX \r \e ":</w:instrText>
      </w:r>
      <w:r>
        <w:tab/>
        <w:instrText xml:space="preserve">" \f Abbreviation </w:instrText>
      </w:r>
      <w:r>
        <w:fldChar w:fldCharType="separate"/>
      </w:r>
    </w:p>
    <w:p w:rsidR="005A26F6" w:rsidRDefault="005A26F6">
      <w:pPr>
        <w:pStyle w:val="Index1"/>
        <w:tabs>
          <w:tab w:val="right" w:leader="dot" w:pos="9460"/>
        </w:tabs>
        <w:rPr>
          <w:noProof/>
        </w:rPr>
      </w:pPr>
      <w:r>
        <w:rPr>
          <w:noProof/>
        </w:rPr>
        <w:instrText>ADA:</w:instrText>
      </w:r>
      <w:r>
        <w:rPr>
          <w:noProof/>
        </w:rPr>
        <w:tab/>
        <w:instrText>American Diabetes Association</w:instrText>
      </w:r>
    </w:p>
    <w:p w:rsidR="005A26F6" w:rsidRDefault="005A26F6">
      <w:pPr>
        <w:pStyle w:val="Index1"/>
        <w:tabs>
          <w:tab w:val="right" w:leader="dot" w:pos="9460"/>
        </w:tabs>
        <w:rPr>
          <w:noProof/>
        </w:rPr>
      </w:pPr>
      <w:r w:rsidRPr="004D65DB">
        <w:rPr>
          <w:rFonts w:eastAsia="MS Gothic"/>
          <w:noProof/>
        </w:rPr>
        <w:instrText>AE</w:instrText>
      </w:r>
      <w:r>
        <w:rPr>
          <w:noProof/>
        </w:rPr>
        <w:instrText>:</w:instrText>
      </w:r>
      <w:r>
        <w:rPr>
          <w:noProof/>
        </w:rPr>
        <w:tab/>
      </w:r>
      <w:r w:rsidRPr="004D65DB">
        <w:rPr>
          <w:rFonts w:eastAsia="MS Gothic"/>
          <w:noProof/>
        </w:rPr>
        <w:instrText>adverse event</w:instrText>
      </w:r>
    </w:p>
    <w:p w:rsidR="005A26F6" w:rsidRDefault="005A26F6">
      <w:pPr>
        <w:pStyle w:val="Index1"/>
        <w:tabs>
          <w:tab w:val="right" w:leader="dot" w:pos="9460"/>
        </w:tabs>
        <w:rPr>
          <w:noProof/>
        </w:rPr>
      </w:pPr>
      <w:r w:rsidRPr="004D65DB">
        <w:rPr>
          <w:rFonts w:eastAsia="MS Gothic"/>
          <w:noProof/>
        </w:rPr>
        <w:instrText>AESI</w:instrText>
      </w:r>
      <w:r>
        <w:rPr>
          <w:noProof/>
        </w:rPr>
        <w:instrText>:</w:instrText>
      </w:r>
      <w:r>
        <w:rPr>
          <w:noProof/>
        </w:rPr>
        <w:tab/>
      </w:r>
      <w:r w:rsidRPr="004D65DB">
        <w:rPr>
          <w:rFonts w:eastAsia="MS Gothic"/>
          <w:noProof/>
        </w:rPr>
        <w:instrText>adverse event of special interest</w:instrText>
      </w:r>
    </w:p>
    <w:p w:rsidR="005A26F6" w:rsidRDefault="005A26F6">
      <w:pPr>
        <w:pStyle w:val="Index1"/>
        <w:tabs>
          <w:tab w:val="right" w:leader="dot" w:pos="9460"/>
        </w:tabs>
        <w:rPr>
          <w:noProof/>
        </w:rPr>
      </w:pPr>
      <w:r>
        <w:rPr>
          <w:noProof/>
        </w:rPr>
        <w:instrText>ALP:</w:instrText>
      </w:r>
      <w:r>
        <w:rPr>
          <w:noProof/>
        </w:rPr>
        <w:tab/>
        <w:instrText>alkaline phosphatase</w:instrText>
      </w:r>
    </w:p>
    <w:p w:rsidR="005A26F6" w:rsidRDefault="005A26F6">
      <w:pPr>
        <w:pStyle w:val="Index1"/>
        <w:tabs>
          <w:tab w:val="right" w:leader="dot" w:pos="9460"/>
        </w:tabs>
        <w:rPr>
          <w:noProof/>
        </w:rPr>
      </w:pPr>
      <w:r>
        <w:rPr>
          <w:noProof/>
        </w:rPr>
        <w:instrText>ALT:</w:instrText>
      </w:r>
      <w:r>
        <w:rPr>
          <w:noProof/>
        </w:rPr>
        <w:tab/>
        <w:instrText>alanine aminotransferase</w:instrText>
      </w:r>
    </w:p>
    <w:p w:rsidR="005A26F6" w:rsidRDefault="005A26F6">
      <w:pPr>
        <w:pStyle w:val="Index1"/>
        <w:tabs>
          <w:tab w:val="right" w:leader="dot" w:pos="9460"/>
        </w:tabs>
        <w:rPr>
          <w:noProof/>
        </w:rPr>
      </w:pPr>
      <w:r>
        <w:rPr>
          <w:noProof/>
        </w:rPr>
        <w:instrText>ANCOVA:</w:instrText>
      </w:r>
      <w:r>
        <w:rPr>
          <w:noProof/>
        </w:rPr>
        <w:tab/>
        <w:instrText>analysis of covariance</w:instrText>
      </w:r>
    </w:p>
    <w:p w:rsidR="005A26F6" w:rsidRDefault="005A26F6">
      <w:pPr>
        <w:pStyle w:val="Index1"/>
        <w:tabs>
          <w:tab w:val="right" w:leader="dot" w:pos="9460"/>
        </w:tabs>
        <w:rPr>
          <w:noProof/>
        </w:rPr>
      </w:pPr>
      <w:r w:rsidRPr="004D65DB">
        <w:rPr>
          <w:noProof/>
        </w:rPr>
        <w:instrText>ARAC</w:instrText>
      </w:r>
      <w:r>
        <w:rPr>
          <w:noProof/>
        </w:rPr>
        <w:instrText>:</w:instrText>
      </w:r>
      <w:r>
        <w:rPr>
          <w:noProof/>
        </w:rPr>
        <w:tab/>
      </w:r>
      <w:r w:rsidRPr="004D65DB">
        <w:rPr>
          <w:noProof/>
        </w:rPr>
        <w:instrText>allergic reaction assessment committee</w:instrText>
      </w:r>
    </w:p>
    <w:p w:rsidR="005A26F6" w:rsidRDefault="005A26F6">
      <w:pPr>
        <w:pStyle w:val="Index1"/>
        <w:tabs>
          <w:tab w:val="right" w:leader="dot" w:pos="9460"/>
        </w:tabs>
        <w:rPr>
          <w:noProof/>
        </w:rPr>
      </w:pPr>
      <w:r>
        <w:rPr>
          <w:noProof/>
        </w:rPr>
        <w:instrText>AST:</w:instrText>
      </w:r>
      <w:r>
        <w:rPr>
          <w:noProof/>
        </w:rPr>
        <w:tab/>
        <w:instrText>aspartate aminotransferase</w:instrText>
      </w:r>
    </w:p>
    <w:p w:rsidR="005A26F6" w:rsidRDefault="005A26F6">
      <w:pPr>
        <w:pStyle w:val="Index1"/>
        <w:tabs>
          <w:tab w:val="right" w:leader="dot" w:pos="9460"/>
        </w:tabs>
        <w:rPr>
          <w:noProof/>
        </w:rPr>
      </w:pPr>
      <w:r>
        <w:rPr>
          <w:noProof/>
        </w:rPr>
        <w:instrText>ATC:</w:instrText>
      </w:r>
      <w:r>
        <w:rPr>
          <w:noProof/>
        </w:rPr>
        <w:tab/>
        <w:instrText>anatomic or therapeutic category</w:instrText>
      </w:r>
    </w:p>
    <w:p w:rsidR="005A26F6" w:rsidRDefault="005A26F6">
      <w:pPr>
        <w:pStyle w:val="Index1"/>
        <w:tabs>
          <w:tab w:val="right" w:leader="dot" w:pos="9460"/>
        </w:tabs>
        <w:rPr>
          <w:noProof/>
        </w:rPr>
      </w:pPr>
      <w:r w:rsidRPr="004D65DB">
        <w:rPr>
          <w:rFonts w:eastAsia="MS Gothic"/>
          <w:noProof/>
        </w:rPr>
        <w:instrText>BID</w:instrText>
      </w:r>
      <w:r>
        <w:rPr>
          <w:noProof/>
        </w:rPr>
        <w:instrText>:</w:instrText>
      </w:r>
      <w:r>
        <w:rPr>
          <w:noProof/>
        </w:rPr>
        <w:tab/>
      </w:r>
      <w:r w:rsidRPr="004D65DB">
        <w:rPr>
          <w:rFonts w:eastAsia="MS Gothic"/>
          <w:noProof/>
        </w:rPr>
        <w:instrText>bis in die = twice daily</w:instrText>
      </w:r>
    </w:p>
    <w:p w:rsidR="005A26F6" w:rsidRDefault="005A26F6">
      <w:pPr>
        <w:pStyle w:val="Index1"/>
        <w:tabs>
          <w:tab w:val="right" w:leader="dot" w:pos="9460"/>
        </w:tabs>
        <w:rPr>
          <w:noProof/>
        </w:rPr>
      </w:pPr>
      <w:r w:rsidRPr="004D65DB">
        <w:rPr>
          <w:rFonts w:eastAsia="MS Gothic"/>
          <w:noProof/>
        </w:rPr>
        <w:instrText>BMI</w:instrText>
      </w:r>
      <w:r>
        <w:rPr>
          <w:noProof/>
        </w:rPr>
        <w:instrText>:</w:instrText>
      </w:r>
      <w:r>
        <w:rPr>
          <w:noProof/>
        </w:rPr>
        <w:tab/>
      </w:r>
      <w:r w:rsidRPr="004D65DB">
        <w:rPr>
          <w:rFonts w:eastAsia="MS Gothic"/>
          <w:noProof/>
        </w:rPr>
        <w:instrText>body mass index</w:instrText>
      </w:r>
    </w:p>
    <w:p w:rsidR="005A26F6" w:rsidRDefault="005A26F6">
      <w:pPr>
        <w:pStyle w:val="Index1"/>
        <w:tabs>
          <w:tab w:val="right" w:leader="dot" w:pos="9460"/>
        </w:tabs>
        <w:rPr>
          <w:noProof/>
        </w:rPr>
      </w:pPr>
      <w:r w:rsidRPr="004D65DB">
        <w:rPr>
          <w:rFonts w:cs="Arial"/>
          <w:noProof/>
        </w:rPr>
        <w:instrText>CI</w:instrText>
      </w:r>
      <w:r>
        <w:rPr>
          <w:noProof/>
        </w:rPr>
        <w:instrText>:</w:instrText>
      </w:r>
      <w:r>
        <w:rPr>
          <w:noProof/>
        </w:rPr>
        <w:tab/>
      </w:r>
      <w:r w:rsidRPr="004D65DB">
        <w:rPr>
          <w:rFonts w:cs="Arial"/>
          <w:noProof/>
        </w:rPr>
        <w:instrText>confidence interval</w:instrText>
      </w:r>
    </w:p>
    <w:p w:rsidR="005A26F6" w:rsidRDefault="005A26F6">
      <w:pPr>
        <w:pStyle w:val="Index1"/>
        <w:tabs>
          <w:tab w:val="right" w:leader="dot" w:pos="9460"/>
        </w:tabs>
        <w:rPr>
          <w:noProof/>
        </w:rPr>
      </w:pPr>
      <w:r>
        <w:rPr>
          <w:noProof/>
        </w:rPr>
        <w:instrText>CSR:</w:instrText>
      </w:r>
      <w:r>
        <w:rPr>
          <w:noProof/>
        </w:rPr>
        <w:tab/>
        <w:instrText>clinical study report</w:instrText>
      </w:r>
    </w:p>
    <w:p w:rsidR="005A26F6" w:rsidRDefault="005A26F6">
      <w:pPr>
        <w:pStyle w:val="Index1"/>
        <w:tabs>
          <w:tab w:val="right" w:leader="dot" w:pos="9460"/>
        </w:tabs>
        <w:rPr>
          <w:noProof/>
        </w:rPr>
      </w:pPr>
      <w:r>
        <w:rPr>
          <w:noProof/>
        </w:rPr>
        <w:instrText>EASD:</w:instrText>
      </w:r>
      <w:r>
        <w:rPr>
          <w:noProof/>
        </w:rPr>
        <w:tab/>
        <w:instrText>European Association for the Study of Diabetes</w:instrText>
      </w:r>
    </w:p>
    <w:p w:rsidR="005A26F6" w:rsidRDefault="005A26F6">
      <w:pPr>
        <w:pStyle w:val="Index1"/>
        <w:tabs>
          <w:tab w:val="right" w:leader="dot" w:pos="9460"/>
        </w:tabs>
        <w:rPr>
          <w:noProof/>
        </w:rPr>
      </w:pPr>
      <w:r w:rsidRPr="004D65DB">
        <w:rPr>
          <w:rFonts w:eastAsia="MS Gothic"/>
          <w:noProof/>
        </w:rPr>
        <w:instrText>ECG</w:instrText>
      </w:r>
      <w:r>
        <w:rPr>
          <w:noProof/>
        </w:rPr>
        <w:instrText>:</w:instrText>
      </w:r>
      <w:r>
        <w:rPr>
          <w:noProof/>
        </w:rPr>
        <w:tab/>
      </w:r>
      <w:r w:rsidRPr="004D65DB">
        <w:rPr>
          <w:rFonts w:eastAsia="MS Gothic"/>
          <w:noProof/>
        </w:rPr>
        <w:instrText>electrocardiogram</w:instrText>
      </w:r>
    </w:p>
    <w:p w:rsidR="005A26F6" w:rsidRDefault="005A26F6">
      <w:pPr>
        <w:pStyle w:val="Index1"/>
        <w:tabs>
          <w:tab w:val="right" w:leader="dot" w:pos="9460"/>
        </w:tabs>
        <w:rPr>
          <w:noProof/>
        </w:rPr>
      </w:pPr>
      <w:r w:rsidRPr="004D65DB">
        <w:rPr>
          <w:rFonts w:eastAsia="MS Gothic"/>
          <w:noProof/>
        </w:rPr>
        <w:instrText>e-CRF</w:instrText>
      </w:r>
      <w:r>
        <w:rPr>
          <w:noProof/>
        </w:rPr>
        <w:instrText>:</w:instrText>
      </w:r>
      <w:r>
        <w:rPr>
          <w:noProof/>
        </w:rPr>
        <w:tab/>
      </w:r>
      <w:r w:rsidRPr="004D65DB">
        <w:rPr>
          <w:rFonts w:eastAsia="MS Gothic"/>
          <w:noProof/>
        </w:rPr>
        <w:instrText>electronic case report form</w:instrText>
      </w:r>
    </w:p>
    <w:p w:rsidR="005A26F6" w:rsidRDefault="005A26F6">
      <w:pPr>
        <w:pStyle w:val="Index1"/>
        <w:tabs>
          <w:tab w:val="right" w:leader="dot" w:pos="9460"/>
        </w:tabs>
        <w:rPr>
          <w:noProof/>
        </w:rPr>
      </w:pPr>
      <w:r w:rsidRPr="004D65DB">
        <w:rPr>
          <w:rFonts w:eastAsia="MS Gothic"/>
          <w:noProof/>
        </w:rPr>
        <w:instrText>FPG</w:instrText>
      </w:r>
      <w:r>
        <w:rPr>
          <w:noProof/>
        </w:rPr>
        <w:instrText>:</w:instrText>
      </w:r>
      <w:r>
        <w:rPr>
          <w:noProof/>
        </w:rPr>
        <w:tab/>
      </w:r>
      <w:r w:rsidRPr="004D65DB">
        <w:rPr>
          <w:rFonts w:eastAsia="MS Gothic"/>
          <w:noProof/>
        </w:rPr>
        <w:instrText>fasting plasma glucose</w:instrText>
      </w:r>
    </w:p>
    <w:p w:rsidR="005A26F6" w:rsidRDefault="005A26F6">
      <w:pPr>
        <w:pStyle w:val="Index1"/>
        <w:tabs>
          <w:tab w:val="right" w:leader="dot" w:pos="9460"/>
        </w:tabs>
        <w:rPr>
          <w:noProof/>
        </w:rPr>
      </w:pPr>
      <w:r w:rsidRPr="004D65DB">
        <w:rPr>
          <w:noProof/>
        </w:rPr>
        <w:instrText>FRC</w:instrText>
      </w:r>
      <w:r>
        <w:rPr>
          <w:noProof/>
        </w:rPr>
        <w:instrText>:</w:instrText>
      </w:r>
      <w:r>
        <w:rPr>
          <w:noProof/>
        </w:rPr>
        <w:tab/>
      </w:r>
      <w:r w:rsidRPr="004D65DB">
        <w:rPr>
          <w:noProof/>
        </w:rPr>
        <w:instrText>fixed Ratio Combination</w:instrText>
      </w:r>
    </w:p>
    <w:p w:rsidR="005A26F6" w:rsidRDefault="005A26F6">
      <w:pPr>
        <w:pStyle w:val="Index1"/>
        <w:tabs>
          <w:tab w:val="right" w:leader="dot" w:pos="9460"/>
        </w:tabs>
        <w:rPr>
          <w:noProof/>
        </w:rPr>
      </w:pPr>
      <w:r>
        <w:rPr>
          <w:noProof/>
        </w:rPr>
        <w:instrText>GCP:</w:instrText>
      </w:r>
      <w:r>
        <w:rPr>
          <w:noProof/>
        </w:rPr>
        <w:tab/>
        <w:instrText>good clinical practice</w:instrText>
      </w:r>
    </w:p>
    <w:p w:rsidR="005A26F6" w:rsidRDefault="005A26F6">
      <w:pPr>
        <w:pStyle w:val="Index1"/>
        <w:tabs>
          <w:tab w:val="right" w:leader="dot" w:pos="9460"/>
        </w:tabs>
        <w:rPr>
          <w:noProof/>
        </w:rPr>
      </w:pPr>
      <w:r w:rsidRPr="004D65DB">
        <w:rPr>
          <w:rFonts w:eastAsia="MS Gothic"/>
          <w:noProof/>
        </w:rPr>
        <w:instrText>GFR</w:instrText>
      </w:r>
      <w:r>
        <w:rPr>
          <w:noProof/>
        </w:rPr>
        <w:instrText>:</w:instrText>
      </w:r>
      <w:r>
        <w:rPr>
          <w:noProof/>
        </w:rPr>
        <w:tab/>
      </w:r>
      <w:r w:rsidRPr="004D65DB">
        <w:rPr>
          <w:rFonts w:eastAsia="MS Gothic"/>
          <w:noProof/>
        </w:rPr>
        <w:instrText>glomerular filtration rate</w:instrText>
      </w:r>
    </w:p>
    <w:p w:rsidR="005A26F6" w:rsidRDefault="005A26F6">
      <w:pPr>
        <w:pStyle w:val="Index1"/>
        <w:tabs>
          <w:tab w:val="right" w:leader="dot" w:pos="9460"/>
        </w:tabs>
        <w:rPr>
          <w:noProof/>
        </w:rPr>
      </w:pPr>
      <w:r>
        <w:rPr>
          <w:noProof/>
        </w:rPr>
        <w:instrText>GLP-1 RA:</w:instrText>
      </w:r>
      <w:r>
        <w:rPr>
          <w:noProof/>
        </w:rPr>
        <w:tab/>
        <w:instrText>glucagon-like peptide-1 receptor agonist</w:instrText>
      </w:r>
    </w:p>
    <w:p w:rsidR="005A26F6" w:rsidRDefault="005A26F6">
      <w:pPr>
        <w:pStyle w:val="Index1"/>
        <w:tabs>
          <w:tab w:val="right" w:leader="dot" w:pos="9460"/>
        </w:tabs>
        <w:rPr>
          <w:noProof/>
        </w:rPr>
      </w:pPr>
      <w:r>
        <w:rPr>
          <w:noProof/>
        </w:rPr>
        <w:instrText>HbA1c:</w:instrText>
      </w:r>
      <w:r>
        <w:rPr>
          <w:noProof/>
        </w:rPr>
        <w:tab/>
        <w:instrText>hemoglobin A1c</w:instrText>
      </w:r>
    </w:p>
    <w:p w:rsidR="005A26F6" w:rsidRDefault="005A26F6">
      <w:pPr>
        <w:pStyle w:val="Index1"/>
        <w:tabs>
          <w:tab w:val="right" w:leader="dot" w:pos="9460"/>
        </w:tabs>
        <w:rPr>
          <w:noProof/>
        </w:rPr>
      </w:pPr>
      <w:r>
        <w:rPr>
          <w:noProof/>
        </w:rPr>
        <w:instrText>HDL:</w:instrText>
      </w:r>
      <w:r>
        <w:rPr>
          <w:noProof/>
        </w:rPr>
        <w:tab/>
        <w:instrText>high density lipoprotein</w:instrText>
      </w:r>
    </w:p>
    <w:p w:rsidR="005A26F6" w:rsidRDefault="005A26F6">
      <w:pPr>
        <w:pStyle w:val="Index1"/>
        <w:tabs>
          <w:tab w:val="right" w:leader="dot" w:pos="9460"/>
        </w:tabs>
        <w:rPr>
          <w:noProof/>
        </w:rPr>
      </w:pPr>
      <w:r>
        <w:rPr>
          <w:noProof/>
        </w:rPr>
        <w:instrText>HLGT:</w:instrText>
      </w:r>
      <w:r>
        <w:rPr>
          <w:noProof/>
        </w:rPr>
        <w:tab/>
        <w:instrText>high level group term</w:instrText>
      </w:r>
    </w:p>
    <w:p w:rsidR="005A26F6" w:rsidRDefault="005A26F6">
      <w:pPr>
        <w:pStyle w:val="Index1"/>
        <w:tabs>
          <w:tab w:val="right" w:leader="dot" w:pos="9460"/>
        </w:tabs>
        <w:rPr>
          <w:noProof/>
        </w:rPr>
      </w:pPr>
      <w:r>
        <w:rPr>
          <w:noProof/>
        </w:rPr>
        <w:instrText>HLT:</w:instrText>
      </w:r>
      <w:r>
        <w:rPr>
          <w:noProof/>
        </w:rPr>
        <w:tab/>
        <w:instrText>high level term</w:instrText>
      </w:r>
    </w:p>
    <w:p w:rsidR="005A26F6" w:rsidRDefault="005A26F6">
      <w:pPr>
        <w:pStyle w:val="Index1"/>
        <w:tabs>
          <w:tab w:val="right" w:leader="dot" w:pos="9460"/>
        </w:tabs>
        <w:rPr>
          <w:noProof/>
        </w:rPr>
      </w:pPr>
      <w:r>
        <w:rPr>
          <w:noProof/>
        </w:rPr>
        <w:instrText>ICH:</w:instrText>
      </w:r>
      <w:r>
        <w:rPr>
          <w:noProof/>
        </w:rPr>
        <w:tab/>
        <w:instrText>International Conference on Harmonization</w:instrText>
      </w:r>
    </w:p>
    <w:p w:rsidR="005A26F6" w:rsidRDefault="005A26F6">
      <w:pPr>
        <w:pStyle w:val="Index1"/>
        <w:tabs>
          <w:tab w:val="right" w:leader="dot" w:pos="9460"/>
        </w:tabs>
        <w:rPr>
          <w:noProof/>
        </w:rPr>
      </w:pPr>
      <w:r>
        <w:rPr>
          <w:noProof/>
        </w:rPr>
        <w:instrText>IEC:</w:instrText>
      </w:r>
      <w:r>
        <w:rPr>
          <w:noProof/>
        </w:rPr>
        <w:tab/>
        <w:instrText>independent ethics committee</w:instrText>
      </w:r>
    </w:p>
    <w:p w:rsidR="005A26F6" w:rsidRDefault="005A26F6">
      <w:pPr>
        <w:pStyle w:val="Index1"/>
        <w:tabs>
          <w:tab w:val="right" w:leader="dot" w:pos="9460"/>
        </w:tabs>
        <w:rPr>
          <w:noProof/>
        </w:rPr>
      </w:pPr>
      <w:r>
        <w:rPr>
          <w:noProof/>
        </w:rPr>
        <w:instrText>IgM:</w:instrText>
      </w:r>
      <w:r>
        <w:rPr>
          <w:noProof/>
        </w:rPr>
        <w:tab/>
        <w:instrText>immunoglobulin M</w:instrText>
      </w:r>
    </w:p>
    <w:p w:rsidR="005A26F6" w:rsidRDefault="005A26F6">
      <w:pPr>
        <w:pStyle w:val="Index1"/>
        <w:tabs>
          <w:tab w:val="right" w:leader="dot" w:pos="9460"/>
        </w:tabs>
        <w:rPr>
          <w:noProof/>
        </w:rPr>
      </w:pPr>
      <w:r>
        <w:rPr>
          <w:noProof/>
        </w:rPr>
        <w:instrText>IMP:</w:instrText>
      </w:r>
      <w:r>
        <w:rPr>
          <w:noProof/>
        </w:rPr>
        <w:tab/>
        <w:instrText>investigational medicinal product</w:instrText>
      </w:r>
    </w:p>
    <w:p w:rsidR="005A26F6" w:rsidRDefault="005A26F6">
      <w:pPr>
        <w:pStyle w:val="Index1"/>
        <w:tabs>
          <w:tab w:val="right" w:leader="dot" w:pos="9460"/>
        </w:tabs>
        <w:rPr>
          <w:noProof/>
        </w:rPr>
      </w:pPr>
      <w:r>
        <w:rPr>
          <w:noProof/>
        </w:rPr>
        <w:instrText>IRB:</w:instrText>
      </w:r>
      <w:r>
        <w:rPr>
          <w:noProof/>
        </w:rPr>
        <w:tab/>
        <w:instrText>institutional review board</w:instrText>
      </w:r>
    </w:p>
    <w:p w:rsidR="005A26F6" w:rsidRDefault="005A26F6">
      <w:pPr>
        <w:pStyle w:val="Index1"/>
        <w:tabs>
          <w:tab w:val="right" w:leader="dot" w:pos="9460"/>
        </w:tabs>
        <w:rPr>
          <w:noProof/>
        </w:rPr>
      </w:pPr>
      <w:r w:rsidRPr="004D65DB">
        <w:rPr>
          <w:rFonts w:cs="Arial"/>
          <w:noProof/>
        </w:rPr>
        <w:instrText>ITT</w:instrText>
      </w:r>
      <w:r>
        <w:rPr>
          <w:noProof/>
        </w:rPr>
        <w:instrText>:</w:instrText>
      </w:r>
      <w:r>
        <w:rPr>
          <w:noProof/>
        </w:rPr>
        <w:tab/>
      </w:r>
      <w:r w:rsidRPr="004D65DB">
        <w:rPr>
          <w:rFonts w:cs="Arial"/>
          <w:noProof/>
        </w:rPr>
        <w:instrText>intent-to-treat</w:instrText>
      </w:r>
    </w:p>
    <w:p w:rsidR="005A26F6" w:rsidRDefault="005A26F6">
      <w:pPr>
        <w:pStyle w:val="Index1"/>
        <w:tabs>
          <w:tab w:val="right" w:leader="dot" w:pos="9460"/>
        </w:tabs>
        <w:rPr>
          <w:noProof/>
        </w:rPr>
      </w:pPr>
      <w:r w:rsidRPr="004D65DB">
        <w:rPr>
          <w:noProof/>
        </w:rPr>
        <w:instrText>IVRS/IWRS</w:instrText>
      </w:r>
      <w:r>
        <w:rPr>
          <w:noProof/>
        </w:rPr>
        <w:instrText>:</w:instrText>
      </w:r>
      <w:r>
        <w:rPr>
          <w:noProof/>
        </w:rPr>
        <w:tab/>
      </w:r>
      <w:r w:rsidRPr="004D65DB">
        <w:rPr>
          <w:noProof/>
        </w:rPr>
        <w:instrText>interactive voice/web response system</w:instrText>
      </w:r>
    </w:p>
    <w:p w:rsidR="005A26F6" w:rsidRDefault="005A26F6">
      <w:pPr>
        <w:pStyle w:val="Index1"/>
        <w:tabs>
          <w:tab w:val="right" w:leader="dot" w:pos="9460"/>
        </w:tabs>
        <w:rPr>
          <w:noProof/>
        </w:rPr>
      </w:pPr>
      <w:r>
        <w:rPr>
          <w:noProof/>
        </w:rPr>
        <w:instrText>LDL:</w:instrText>
      </w:r>
      <w:r>
        <w:rPr>
          <w:noProof/>
        </w:rPr>
        <w:tab/>
        <w:instrText>low density lipoprotein</w:instrText>
      </w:r>
    </w:p>
    <w:p w:rsidR="005A26F6" w:rsidRDefault="005A26F6">
      <w:pPr>
        <w:pStyle w:val="Index1"/>
        <w:tabs>
          <w:tab w:val="right" w:leader="dot" w:pos="9460"/>
        </w:tabs>
        <w:rPr>
          <w:noProof/>
        </w:rPr>
      </w:pPr>
      <w:r>
        <w:rPr>
          <w:noProof/>
        </w:rPr>
        <w:instrText>LOCF:</w:instrText>
      </w:r>
      <w:r>
        <w:rPr>
          <w:noProof/>
        </w:rPr>
        <w:tab/>
        <w:instrText>last observation carried forward</w:instrText>
      </w:r>
    </w:p>
    <w:p w:rsidR="005A26F6" w:rsidRDefault="005A26F6">
      <w:pPr>
        <w:pStyle w:val="Index1"/>
        <w:tabs>
          <w:tab w:val="right" w:leader="dot" w:pos="9460"/>
        </w:tabs>
        <w:rPr>
          <w:noProof/>
        </w:rPr>
      </w:pPr>
      <w:r w:rsidRPr="004D65DB">
        <w:rPr>
          <w:noProof/>
        </w:rPr>
        <w:instrText>mITT</w:instrText>
      </w:r>
      <w:r>
        <w:rPr>
          <w:noProof/>
        </w:rPr>
        <w:instrText>:</w:instrText>
      </w:r>
      <w:r>
        <w:rPr>
          <w:noProof/>
        </w:rPr>
        <w:tab/>
      </w:r>
      <w:r w:rsidRPr="004D65DB">
        <w:rPr>
          <w:noProof/>
        </w:rPr>
        <w:instrText>modified intent-to-treat</w:instrText>
      </w:r>
    </w:p>
    <w:p w:rsidR="005A26F6" w:rsidRDefault="005A26F6">
      <w:pPr>
        <w:pStyle w:val="Index1"/>
        <w:tabs>
          <w:tab w:val="right" w:leader="dot" w:pos="9460"/>
        </w:tabs>
        <w:rPr>
          <w:noProof/>
        </w:rPr>
      </w:pPr>
      <w:r w:rsidRPr="004D65DB">
        <w:rPr>
          <w:noProof/>
        </w:rPr>
        <w:instrText>MMRM</w:instrText>
      </w:r>
      <w:r>
        <w:rPr>
          <w:noProof/>
        </w:rPr>
        <w:instrText>:</w:instrText>
      </w:r>
      <w:r>
        <w:rPr>
          <w:noProof/>
        </w:rPr>
        <w:tab/>
      </w:r>
      <w:r w:rsidRPr="004D65DB">
        <w:rPr>
          <w:noProof/>
        </w:rPr>
        <w:instrText>mixed-effect model with repeated measures</w:instrText>
      </w:r>
    </w:p>
    <w:p w:rsidR="005A26F6" w:rsidRDefault="005A26F6">
      <w:pPr>
        <w:pStyle w:val="Index1"/>
        <w:tabs>
          <w:tab w:val="right" w:leader="dot" w:pos="9460"/>
        </w:tabs>
        <w:rPr>
          <w:noProof/>
        </w:rPr>
      </w:pPr>
      <w:r w:rsidRPr="004D65DB">
        <w:rPr>
          <w:rFonts w:eastAsia="MS Gothic"/>
          <w:noProof/>
        </w:rPr>
        <w:instrText>MTC</w:instrText>
      </w:r>
      <w:r>
        <w:rPr>
          <w:noProof/>
        </w:rPr>
        <w:instrText>:</w:instrText>
      </w:r>
      <w:r>
        <w:rPr>
          <w:noProof/>
        </w:rPr>
        <w:tab/>
      </w:r>
      <w:r w:rsidRPr="004D65DB">
        <w:rPr>
          <w:rFonts w:eastAsia="MS Gothic"/>
          <w:noProof/>
        </w:rPr>
        <w:instrText>medullary thyroid cancer</w:instrText>
      </w:r>
    </w:p>
    <w:p w:rsidR="005A26F6" w:rsidRDefault="005A26F6">
      <w:pPr>
        <w:pStyle w:val="Index1"/>
        <w:tabs>
          <w:tab w:val="right" w:leader="dot" w:pos="9460"/>
        </w:tabs>
        <w:rPr>
          <w:noProof/>
        </w:rPr>
      </w:pPr>
      <w:r w:rsidRPr="004D65DB">
        <w:rPr>
          <w:rFonts w:eastAsia="MS Gothic"/>
          <w:noProof/>
        </w:rPr>
        <w:instrText>MTD</w:instrText>
      </w:r>
      <w:r>
        <w:rPr>
          <w:noProof/>
        </w:rPr>
        <w:instrText>:</w:instrText>
      </w:r>
      <w:r>
        <w:rPr>
          <w:noProof/>
        </w:rPr>
        <w:tab/>
      </w:r>
      <w:r w:rsidRPr="004D65DB">
        <w:rPr>
          <w:rFonts w:eastAsia="MS Gothic"/>
          <w:noProof/>
        </w:rPr>
        <w:instrText>maximum tolerated dose</w:instrText>
      </w:r>
    </w:p>
    <w:p w:rsidR="005A26F6" w:rsidRDefault="005A26F6">
      <w:pPr>
        <w:pStyle w:val="Index1"/>
        <w:tabs>
          <w:tab w:val="right" w:leader="dot" w:pos="9460"/>
        </w:tabs>
        <w:rPr>
          <w:noProof/>
        </w:rPr>
      </w:pPr>
      <w:r>
        <w:rPr>
          <w:noProof/>
        </w:rPr>
        <w:instrText>NIMP:</w:instrText>
      </w:r>
      <w:r>
        <w:rPr>
          <w:noProof/>
        </w:rPr>
        <w:tab/>
        <w:instrText>noninvestigational medicinal product</w:instrText>
      </w:r>
    </w:p>
    <w:p w:rsidR="005A26F6" w:rsidRDefault="005A26F6">
      <w:pPr>
        <w:pStyle w:val="Index1"/>
        <w:tabs>
          <w:tab w:val="right" w:leader="dot" w:pos="9460"/>
        </w:tabs>
        <w:rPr>
          <w:noProof/>
        </w:rPr>
      </w:pPr>
      <w:r w:rsidRPr="004D65DB">
        <w:rPr>
          <w:rFonts w:eastAsia="MS Gothic"/>
          <w:noProof/>
        </w:rPr>
        <w:instrText>OAD</w:instrText>
      </w:r>
      <w:r>
        <w:rPr>
          <w:noProof/>
        </w:rPr>
        <w:instrText>:</w:instrText>
      </w:r>
      <w:r>
        <w:rPr>
          <w:noProof/>
        </w:rPr>
        <w:tab/>
      </w:r>
      <w:r w:rsidRPr="004D65DB">
        <w:rPr>
          <w:rFonts w:eastAsia="MS Gothic"/>
          <w:noProof/>
        </w:rPr>
        <w:instrText>oral anti-diabetic drug</w:instrText>
      </w:r>
    </w:p>
    <w:p w:rsidR="005A26F6" w:rsidRDefault="005A26F6">
      <w:pPr>
        <w:pStyle w:val="Index1"/>
        <w:tabs>
          <w:tab w:val="right" w:leader="dot" w:pos="9460"/>
        </w:tabs>
        <w:rPr>
          <w:noProof/>
        </w:rPr>
      </w:pPr>
      <w:r>
        <w:rPr>
          <w:noProof/>
        </w:rPr>
        <w:instrText>PCSA:</w:instrText>
      </w:r>
      <w:r>
        <w:rPr>
          <w:noProof/>
        </w:rPr>
        <w:tab/>
        <w:instrText>potentially clinically significant abnormality</w:instrText>
      </w:r>
    </w:p>
    <w:p w:rsidR="005A26F6" w:rsidRDefault="005A26F6">
      <w:pPr>
        <w:pStyle w:val="Index1"/>
        <w:tabs>
          <w:tab w:val="right" w:leader="dot" w:pos="9460"/>
        </w:tabs>
        <w:rPr>
          <w:noProof/>
        </w:rPr>
      </w:pPr>
      <w:r>
        <w:rPr>
          <w:noProof/>
        </w:rPr>
        <w:instrText>PI:</w:instrText>
      </w:r>
      <w:r>
        <w:rPr>
          <w:noProof/>
        </w:rPr>
        <w:tab/>
        <w:instrText>prescribing information</w:instrText>
      </w:r>
    </w:p>
    <w:p w:rsidR="005A26F6" w:rsidRDefault="005A26F6">
      <w:pPr>
        <w:pStyle w:val="Index1"/>
        <w:tabs>
          <w:tab w:val="right" w:leader="dot" w:pos="9460"/>
        </w:tabs>
        <w:rPr>
          <w:noProof/>
        </w:rPr>
      </w:pPr>
      <w:r w:rsidRPr="004D65DB">
        <w:rPr>
          <w:rFonts w:eastAsia="MS Gothic"/>
          <w:noProof/>
        </w:rPr>
        <w:instrText>PPG</w:instrText>
      </w:r>
      <w:r>
        <w:rPr>
          <w:noProof/>
        </w:rPr>
        <w:instrText>:</w:instrText>
      </w:r>
      <w:r>
        <w:rPr>
          <w:noProof/>
        </w:rPr>
        <w:tab/>
      </w:r>
      <w:r w:rsidRPr="004D65DB">
        <w:rPr>
          <w:rFonts w:eastAsia="MS Gothic"/>
          <w:noProof/>
        </w:rPr>
        <w:instrText>post-prandial plasma glucose</w:instrText>
      </w:r>
    </w:p>
    <w:p w:rsidR="005A26F6" w:rsidRDefault="005A26F6">
      <w:pPr>
        <w:pStyle w:val="Index1"/>
        <w:tabs>
          <w:tab w:val="right" w:leader="dot" w:pos="9460"/>
        </w:tabs>
        <w:rPr>
          <w:noProof/>
        </w:rPr>
      </w:pPr>
      <w:r w:rsidRPr="004D65DB">
        <w:rPr>
          <w:rFonts w:eastAsia="MS Gothic"/>
          <w:noProof/>
        </w:rPr>
        <w:instrText>PRE</w:instrText>
      </w:r>
      <w:r>
        <w:rPr>
          <w:noProof/>
        </w:rPr>
        <w:instrText>:</w:instrText>
      </w:r>
      <w:r>
        <w:rPr>
          <w:noProof/>
        </w:rPr>
        <w:tab/>
      </w:r>
      <w:r w:rsidRPr="004D65DB">
        <w:rPr>
          <w:rFonts w:eastAsia="MS Gothic"/>
          <w:noProof/>
        </w:rPr>
        <w:instrText>pen-related event</w:instrText>
      </w:r>
    </w:p>
    <w:p w:rsidR="005A26F6" w:rsidRDefault="005A26F6">
      <w:pPr>
        <w:pStyle w:val="Index1"/>
        <w:tabs>
          <w:tab w:val="right" w:leader="dot" w:pos="9460"/>
        </w:tabs>
        <w:rPr>
          <w:noProof/>
        </w:rPr>
      </w:pPr>
      <w:r>
        <w:rPr>
          <w:noProof/>
        </w:rPr>
        <w:instrText>PREQ:</w:instrText>
      </w:r>
      <w:r>
        <w:rPr>
          <w:noProof/>
        </w:rPr>
        <w:tab/>
        <w:instrText>pen-related event questionnaire</w:instrText>
      </w:r>
    </w:p>
    <w:p w:rsidR="005A26F6" w:rsidRDefault="005A26F6">
      <w:pPr>
        <w:pStyle w:val="Index1"/>
        <w:tabs>
          <w:tab w:val="right" w:leader="dot" w:pos="9460"/>
        </w:tabs>
        <w:rPr>
          <w:noProof/>
        </w:rPr>
      </w:pPr>
      <w:r w:rsidRPr="004D65DB">
        <w:rPr>
          <w:noProof/>
        </w:rPr>
        <w:instrText>PSAC</w:instrText>
      </w:r>
      <w:r>
        <w:rPr>
          <w:noProof/>
        </w:rPr>
        <w:instrText>:</w:instrText>
      </w:r>
      <w:r>
        <w:rPr>
          <w:noProof/>
        </w:rPr>
        <w:tab/>
      </w:r>
      <w:r w:rsidRPr="004D65DB">
        <w:rPr>
          <w:noProof/>
        </w:rPr>
        <w:instrText>pancreatic safety assessment committee</w:instrText>
      </w:r>
    </w:p>
    <w:p w:rsidR="005A26F6" w:rsidRDefault="005A26F6">
      <w:pPr>
        <w:pStyle w:val="Index1"/>
        <w:tabs>
          <w:tab w:val="right" w:leader="dot" w:pos="9460"/>
        </w:tabs>
        <w:rPr>
          <w:noProof/>
        </w:rPr>
      </w:pPr>
      <w:r>
        <w:rPr>
          <w:noProof/>
        </w:rPr>
        <w:instrText>PT:</w:instrText>
      </w:r>
      <w:r>
        <w:rPr>
          <w:noProof/>
        </w:rPr>
        <w:tab/>
        <w:instrText>preferred term</w:instrText>
      </w:r>
    </w:p>
    <w:p w:rsidR="005A26F6" w:rsidRDefault="005A26F6">
      <w:pPr>
        <w:pStyle w:val="Index1"/>
        <w:tabs>
          <w:tab w:val="right" w:leader="dot" w:pos="9460"/>
        </w:tabs>
        <w:rPr>
          <w:noProof/>
        </w:rPr>
      </w:pPr>
      <w:r>
        <w:rPr>
          <w:noProof/>
        </w:rPr>
        <w:instrText>PTC:</w:instrText>
      </w:r>
      <w:r>
        <w:rPr>
          <w:noProof/>
        </w:rPr>
        <w:tab/>
        <w:instrText>product technical complaint</w:instrText>
      </w:r>
    </w:p>
    <w:p w:rsidR="005A26F6" w:rsidRDefault="005A26F6">
      <w:pPr>
        <w:pStyle w:val="Index1"/>
        <w:tabs>
          <w:tab w:val="right" w:leader="dot" w:pos="9460"/>
        </w:tabs>
        <w:rPr>
          <w:noProof/>
        </w:rPr>
      </w:pPr>
      <w:r w:rsidRPr="004D65DB">
        <w:rPr>
          <w:rFonts w:eastAsia="MS Gothic"/>
          <w:noProof/>
        </w:rPr>
        <w:instrText>QD</w:instrText>
      </w:r>
      <w:r>
        <w:rPr>
          <w:noProof/>
        </w:rPr>
        <w:instrText>:</w:instrText>
      </w:r>
      <w:r>
        <w:rPr>
          <w:noProof/>
        </w:rPr>
        <w:tab/>
      </w:r>
      <w:r w:rsidRPr="004D65DB">
        <w:rPr>
          <w:rFonts w:eastAsia="MS Gothic"/>
          <w:noProof/>
        </w:rPr>
        <w:instrText>quague die = once daily</w:instrText>
      </w:r>
    </w:p>
    <w:p w:rsidR="005A26F6" w:rsidRDefault="005A26F6">
      <w:pPr>
        <w:pStyle w:val="Index1"/>
        <w:tabs>
          <w:tab w:val="right" w:leader="dot" w:pos="9460"/>
        </w:tabs>
        <w:rPr>
          <w:noProof/>
        </w:rPr>
      </w:pPr>
      <w:r w:rsidRPr="004D65DB">
        <w:rPr>
          <w:rFonts w:eastAsia="MS Gothic"/>
          <w:noProof/>
        </w:rPr>
        <w:instrText>QW</w:instrText>
      </w:r>
      <w:r>
        <w:rPr>
          <w:noProof/>
        </w:rPr>
        <w:instrText>:</w:instrText>
      </w:r>
      <w:r>
        <w:rPr>
          <w:noProof/>
        </w:rPr>
        <w:tab/>
      </w:r>
      <w:r w:rsidRPr="004D65DB">
        <w:rPr>
          <w:rFonts w:eastAsia="MS Gothic"/>
          <w:noProof/>
        </w:rPr>
        <w:instrText>once weekly</w:instrText>
      </w:r>
    </w:p>
    <w:p w:rsidR="005A26F6" w:rsidRDefault="005A26F6">
      <w:pPr>
        <w:pStyle w:val="Index1"/>
        <w:tabs>
          <w:tab w:val="right" w:leader="dot" w:pos="9460"/>
        </w:tabs>
        <w:rPr>
          <w:noProof/>
        </w:rPr>
      </w:pPr>
      <w:r>
        <w:rPr>
          <w:noProof/>
        </w:rPr>
        <w:instrText>SAE:</w:instrText>
      </w:r>
      <w:r>
        <w:rPr>
          <w:noProof/>
        </w:rPr>
        <w:tab/>
        <w:instrText>serious adverse event</w:instrText>
      </w:r>
    </w:p>
    <w:p w:rsidR="005A26F6" w:rsidRDefault="005A26F6">
      <w:pPr>
        <w:pStyle w:val="Index1"/>
        <w:tabs>
          <w:tab w:val="right" w:leader="dot" w:pos="9460"/>
        </w:tabs>
        <w:rPr>
          <w:noProof/>
        </w:rPr>
      </w:pPr>
      <w:r w:rsidRPr="004D65DB">
        <w:rPr>
          <w:noProof/>
        </w:rPr>
        <w:instrText>SAS</w:instrText>
      </w:r>
      <w:r>
        <w:rPr>
          <w:noProof/>
        </w:rPr>
        <w:instrText>:</w:instrText>
      </w:r>
      <w:r>
        <w:rPr>
          <w:noProof/>
        </w:rPr>
        <w:tab/>
      </w:r>
      <w:r w:rsidRPr="004D65DB">
        <w:rPr>
          <w:noProof/>
        </w:rPr>
        <w:instrText>statistical analysis system</w:instrText>
      </w:r>
    </w:p>
    <w:p w:rsidR="005A26F6" w:rsidRDefault="005A26F6">
      <w:pPr>
        <w:pStyle w:val="Index1"/>
        <w:tabs>
          <w:tab w:val="right" w:leader="dot" w:pos="9460"/>
        </w:tabs>
        <w:rPr>
          <w:noProof/>
        </w:rPr>
      </w:pPr>
      <w:r>
        <w:rPr>
          <w:noProof/>
        </w:rPr>
        <w:instrText>SC:</w:instrText>
      </w:r>
      <w:r>
        <w:rPr>
          <w:noProof/>
        </w:rPr>
        <w:tab/>
        <w:instrText>subcutaneous</w:instrText>
      </w:r>
    </w:p>
    <w:p w:rsidR="005A26F6" w:rsidRDefault="005A26F6">
      <w:pPr>
        <w:pStyle w:val="Index1"/>
        <w:tabs>
          <w:tab w:val="right" w:leader="dot" w:pos="9460"/>
        </w:tabs>
        <w:rPr>
          <w:noProof/>
        </w:rPr>
      </w:pPr>
      <w:r>
        <w:rPr>
          <w:noProof/>
        </w:rPr>
        <w:instrText>SD:</w:instrText>
      </w:r>
      <w:r>
        <w:rPr>
          <w:noProof/>
        </w:rPr>
        <w:tab/>
        <w:instrText>standard deviation</w:instrText>
      </w:r>
    </w:p>
    <w:p w:rsidR="005A26F6" w:rsidRDefault="005A26F6">
      <w:pPr>
        <w:pStyle w:val="Index1"/>
        <w:tabs>
          <w:tab w:val="right" w:leader="dot" w:pos="9460"/>
        </w:tabs>
        <w:rPr>
          <w:noProof/>
        </w:rPr>
      </w:pPr>
      <w:r>
        <w:rPr>
          <w:noProof/>
        </w:rPr>
        <w:instrText>SmPC:</w:instrText>
      </w:r>
      <w:r>
        <w:rPr>
          <w:noProof/>
        </w:rPr>
        <w:tab/>
        <w:instrText>summary of product characteristics</w:instrText>
      </w:r>
    </w:p>
    <w:p w:rsidR="005A26F6" w:rsidRDefault="005A26F6">
      <w:pPr>
        <w:pStyle w:val="Index1"/>
        <w:tabs>
          <w:tab w:val="right" w:leader="dot" w:pos="9460"/>
        </w:tabs>
        <w:rPr>
          <w:noProof/>
        </w:rPr>
      </w:pPr>
      <w:r w:rsidRPr="004D65DB">
        <w:rPr>
          <w:rFonts w:eastAsia="MS Gothic"/>
          <w:noProof/>
        </w:rPr>
        <w:instrText>SMPG</w:instrText>
      </w:r>
      <w:r>
        <w:rPr>
          <w:noProof/>
        </w:rPr>
        <w:instrText>:</w:instrText>
      </w:r>
      <w:r>
        <w:rPr>
          <w:noProof/>
        </w:rPr>
        <w:tab/>
      </w:r>
      <w:r w:rsidRPr="004D65DB">
        <w:rPr>
          <w:rFonts w:eastAsia="MS Gothic"/>
          <w:noProof/>
        </w:rPr>
        <w:instrText>self-monitored plasma glucose</w:instrText>
      </w:r>
    </w:p>
    <w:p w:rsidR="005A26F6" w:rsidRDefault="005A26F6">
      <w:pPr>
        <w:pStyle w:val="Index1"/>
        <w:tabs>
          <w:tab w:val="right" w:leader="dot" w:pos="9460"/>
        </w:tabs>
        <w:rPr>
          <w:noProof/>
        </w:rPr>
      </w:pPr>
      <w:r>
        <w:rPr>
          <w:noProof/>
        </w:rPr>
        <w:instrText>SOC:</w:instrText>
      </w:r>
      <w:r>
        <w:rPr>
          <w:noProof/>
        </w:rPr>
        <w:tab/>
        <w:instrText>system organ class</w:instrText>
      </w:r>
    </w:p>
    <w:p w:rsidR="005A26F6" w:rsidRDefault="005A26F6">
      <w:pPr>
        <w:pStyle w:val="Index1"/>
        <w:tabs>
          <w:tab w:val="right" w:leader="dot" w:pos="9460"/>
        </w:tabs>
        <w:rPr>
          <w:noProof/>
        </w:rPr>
      </w:pPr>
      <w:r>
        <w:rPr>
          <w:noProof/>
        </w:rPr>
        <w:instrText>TEAE:</w:instrText>
      </w:r>
      <w:r>
        <w:rPr>
          <w:noProof/>
        </w:rPr>
        <w:tab/>
        <w:instrText>treatment-emergent adverse event</w:instrText>
      </w:r>
    </w:p>
    <w:p w:rsidR="005A26F6" w:rsidRDefault="005A26F6">
      <w:pPr>
        <w:pStyle w:val="Index1"/>
        <w:tabs>
          <w:tab w:val="right" w:leader="dot" w:pos="9460"/>
        </w:tabs>
        <w:rPr>
          <w:noProof/>
        </w:rPr>
      </w:pPr>
      <w:r w:rsidRPr="004D65DB">
        <w:rPr>
          <w:rFonts w:eastAsia="MS Gothic"/>
          <w:noProof/>
        </w:rPr>
        <w:instrText>ULN</w:instrText>
      </w:r>
      <w:r>
        <w:rPr>
          <w:noProof/>
        </w:rPr>
        <w:instrText>:</w:instrText>
      </w:r>
      <w:r>
        <w:rPr>
          <w:noProof/>
        </w:rPr>
        <w:tab/>
      </w:r>
      <w:r w:rsidRPr="004D65DB">
        <w:rPr>
          <w:rFonts w:eastAsia="MS Gothic"/>
          <w:noProof/>
        </w:rPr>
        <w:instrText>upper limit of normal range</w:instrText>
      </w:r>
    </w:p>
    <w:p w:rsidR="005A26F6" w:rsidRDefault="005A26F6">
      <w:pPr>
        <w:pStyle w:val="Index1"/>
        <w:tabs>
          <w:tab w:val="right" w:leader="dot" w:pos="9460"/>
        </w:tabs>
        <w:rPr>
          <w:noProof/>
        </w:rPr>
      </w:pPr>
      <w:r>
        <w:rPr>
          <w:noProof/>
        </w:rPr>
        <w:instrText>WHO-DD:</w:instrText>
      </w:r>
      <w:r>
        <w:rPr>
          <w:noProof/>
        </w:rPr>
        <w:tab/>
        <w:instrText>World Health Organization - Drug Dictionary</w:instrText>
      </w:r>
    </w:p>
    <w:p w:rsidR="005A26F6" w:rsidRDefault="00942434" w:rsidP="00942434">
      <w:pPr>
        <w:rPr>
          <w:noProof/>
        </w:rPr>
      </w:pPr>
      <w:r>
        <w:fldChar w:fldCharType="end"/>
      </w:r>
      <w:r>
        <w:instrText xml:space="preserve"> = "Error!*" "(No abbreviations defined yet)" </w:instrText>
      </w:r>
      <w:r>
        <w:fldChar w:fldCharType="begin"/>
      </w:r>
      <w:r>
        <w:instrText xml:space="preserve"> if </w:instrText>
      </w:r>
      <w:r>
        <w:fldChar w:fldCharType="begin"/>
      </w:r>
      <w:r>
        <w:instrText xml:space="preserve"> INDEX \r \e ":</w:instrText>
      </w:r>
      <w:r>
        <w:tab/>
        <w:instrText xml:space="preserve">" \f Abbreviation </w:instrText>
      </w:r>
      <w:r>
        <w:fldChar w:fldCharType="separate"/>
      </w:r>
    </w:p>
    <w:p w:rsidR="005A26F6" w:rsidRDefault="005A26F6">
      <w:pPr>
        <w:pStyle w:val="Index1"/>
        <w:tabs>
          <w:tab w:val="right" w:leader="dot" w:pos="9460"/>
        </w:tabs>
        <w:rPr>
          <w:noProof/>
        </w:rPr>
      </w:pPr>
      <w:r>
        <w:rPr>
          <w:noProof/>
        </w:rPr>
        <w:instrText>ADA:</w:instrText>
      </w:r>
      <w:r>
        <w:rPr>
          <w:noProof/>
        </w:rPr>
        <w:tab/>
        <w:instrText>American Diabetes Association</w:instrText>
      </w:r>
    </w:p>
    <w:p w:rsidR="005A26F6" w:rsidRDefault="005A26F6">
      <w:pPr>
        <w:pStyle w:val="Index1"/>
        <w:tabs>
          <w:tab w:val="right" w:leader="dot" w:pos="9460"/>
        </w:tabs>
        <w:rPr>
          <w:noProof/>
        </w:rPr>
      </w:pPr>
      <w:r w:rsidRPr="007F078B">
        <w:rPr>
          <w:rFonts w:eastAsia="MS Gothic"/>
          <w:noProof/>
        </w:rPr>
        <w:instrText>AE</w:instrText>
      </w:r>
      <w:r>
        <w:rPr>
          <w:noProof/>
        </w:rPr>
        <w:instrText>:</w:instrText>
      </w:r>
      <w:r>
        <w:rPr>
          <w:noProof/>
        </w:rPr>
        <w:tab/>
      </w:r>
      <w:r w:rsidRPr="007F078B">
        <w:rPr>
          <w:rFonts w:eastAsia="MS Gothic"/>
          <w:noProof/>
        </w:rPr>
        <w:instrText>adverse event</w:instrText>
      </w:r>
    </w:p>
    <w:p w:rsidR="005A26F6" w:rsidRDefault="005A26F6">
      <w:pPr>
        <w:pStyle w:val="Index1"/>
        <w:tabs>
          <w:tab w:val="right" w:leader="dot" w:pos="9460"/>
        </w:tabs>
        <w:rPr>
          <w:noProof/>
        </w:rPr>
      </w:pPr>
      <w:r w:rsidRPr="007F078B">
        <w:rPr>
          <w:rFonts w:eastAsia="MS Gothic"/>
          <w:noProof/>
        </w:rPr>
        <w:instrText>AESI</w:instrText>
      </w:r>
      <w:r>
        <w:rPr>
          <w:noProof/>
        </w:rPr>
        <w:instrText>:</w:instrText>
      </w:r>
      <w:r>
        <w:rPr>
          <w:noProof/>
        </w:rPr>
        <w:tab/>
      </w:r>
      <w:r w:rsidRPr="007F078B">
        <w:rPr>
          <w:rFonts w:eastAsia="MS Gothic"/>
          <w:noProof/>
        </w:rPr>
        <w:instrText>adverse event of special interest</w:instrText>
      </w:r>
    </w:p>
    <w:p w:rsidR="005A26F6" w:rsidRDefault="005A26F6">
      <w:pPr>
        <w:pStyle w:val="Index1"/>
        <w:tabs>
          <w:tab w:val="right" w:leader="dot" w:pos="9460"/>
        </w:tabs>
        <w:rPr>
          <w:noProof/>
        </w:rPr>
      </w:pPr>
      <w:r>
        <w:rPr>
          <w:noProof/>
        </w:rPr>
        <w:instrText>ALP:</w:instrText>
      </w:r>
      <w:r>
        <w:rPr>
          <w:noProof/>
        </w:rPr>
        <w:tab/>
        <w:instrText>alkaline phosphatase</w:instrText>
      </w:r>
    </w:p>
    <w:p w:rsidR="005A26F6" w:rsidRDefault="005A26F6">
      <w:pPr>
        <w:pStyle w:val="Index1"/>
        <w:tabs>
          <w:tab w:val="right" w:leader="dot" w:pos="9460"/>
        </w:tabs>
        <w:rPr>
          <w:noProof/>
        </w:rPr>
      </w:pPr>
      <w:r>
        <w:rPr>
          <w:noProof/>
        </w:rPr>
        <w:instrText>ALT:</w:instrText>
      </w:r>
      <w:r>
        <w:rPr>
          <w:noProof/>
        </w:rPr>
        <w:tab/>
        <w:instrText>alanine aminotransferase</w:instrText>
      </w:r>
    </w:p>
    <w:p w:rsidR="005A26F6" w:rsidRDefault="005A26F6">
      <w:pPr>
        <w:pStyle w:val="Index1"/>
        <w:tabs>
          <w:tab w:val="right" w:leader="dot" w:pos="9460"/>
        </w:tabs>
        <w:rPr>
          <w:noProof/>
        </w:rPr>
      </w:pPr>
      <w:r>
        <w:rPr>
          <w:noProof/>
        </w:rPr>
        <w:instrText>ANCOVA:</w:instrText>
      </w:r>
      <w:r>
        <w:rPr>
          <w:noProof/>
        </w:rPr>
        <w:tab/>
        <w:instrText>analysis of covariance</w:instrText>
      </w:r>
    </w:p>
    <w:p w:rsidR="005A26F6" w:rsidRDefault="005A26F6">
      <w:pPr>
        <w:pStyle w:val="Index1"/>
        <w:tabs>
          <w:tab w:val="right" w:leader="dot" w:pos="9460"/>
        </w:tabs>
        <w:rPr>
          <w:noProof/>
        </w:rPr>
      </w:pPr>
      <w:r w:rsidRPr="007F078B">
        <w:rPr>
          <w:noProof/>
        </w:rPr>
        <w:instrText>ARAC</w:instrText>
      </w:r>
      <w:r>
        <w:rPr>
          <w:noProof/>
        </w:rPr>
        <w:instrText>:</w:instrText>
      </w:r>
      <w:r>
        <w:rPr>
          <w:noProof/>
        </w:rPr>
        <w:tab/>
      </w:r>
      <w:r w:rsidRPr="007F078B">
        <w:rPr>
          <w:noProof/>
        </w:rPr>
        <w:instrText>allergic reaction assessment committee</w:instrText>
      </w:r>
    </w:p>
    <w:p w:rsidR="005A26F6" w:rsidRDefault="005A26F6">
      <w:pPr>
        <w:pStyle w:val="Index1"/>
        <w:tabs>
          <w:tab w:val="right" w:leader="dot" w:pos="9460"/>
        </w:tabs>
        <w:rPr>
          <w:noProof/>
        </w:rPr>
      </w:pPr>
      <w:r>
        <w:rPr>
          <w:noProof/>
        </w:rPr>
        <w:instrText>AST:</w:instrText>
      </w:r>
      <w:r>
        <w:rPr>
          <w:noProof/>
        </w:rPr>
        <w:tab/>
        <w:instrText>aspartate aminotransferase</w:instrText>
      </w:r>
    </w:p>
    <w:p w:rsidR="005A26F6" w:rsidRDefault="005A26F6">
      <w:pPr>
        <w:pStyle w:val="Index1"/>
        <w:tabs>
          <w:tab w:val="right" w:leader="dot" w:pos="9460"/>
        </w:tabs>
        <w:rPr>
          <w:noProof/>
        </w:rPr>
      </w:pPr>
      <w:r>
        <w:rPr>
          <w:noProof/>
        </w:rPr>
        <w:instrText>ATC:</w:instrText>
      </w:r>
      <w:r>
        <w:rPr>
          <w:noProof/>
        </w:rPr>
        <w:tab/>
        <w:instrText>anatomic or therapeutic category</w:instrText>
      </w:r>
    </w:p>
    <w:p w:rsidR="005A26F6" w:rsidRDefault="005A26F6">
      <w:pPr>
        <w:pStyle w:val="Index1"/>
        <w:tabs>
          <w:tab w:val="right" w:leader="dot" w:pos="9460"/>
        </w:tabs>
        <w:rPr>
          <w:noProof/>
        </w:rPr>
      </w:pPr>
      <w:r w:rsidRPr="007F078B">
        <w:rPr>
          <w:rFonts w:eastAsia="MS Gothic"/>
          <w:noProof/>
        </w:rPr>
        <w:instrText>BID</w:instrText>
      </w:r>
      <w:r>
        <w:rPr>
          <w:noProof/>
        </w:rPr>
        <w:instrText>:</w:instrText>
      </w:r>
      <w:r>
        <w:rPr>
          <w:noProof/>
        </w:rPr>
        <w:tab/>
      </w:r>
      <w:r w:rsidRPr="007F078B">
        <w:rPr>
          <w:rFonts w:eastAsia="MS Gothic"/>
          <w:noProof/>
        </w:rPr>
        <w:instrText>bis in die = twice daily</w:instrText>
      </w:r>
    </w:p>
    <w:p w:rsidR="005A26F6" w:rsidRDefault="005A26F6">
      <w:pPr>
        <w:pStyle w:val="Index1"/>
        <w:tabs>
          <w:tab w:val="right" w:leader="dot" w:pos="9460"/>
        </w:tabs>
        <w:rPr>
          <w:noProof/>
        </w:rPr>
      </w:pPr>
      <w:r w:rsidRPr="007F078B">
        <w:rPr>
          <w:rFonts w:eastAsia="MS Gothic"/>
          <w:noProof/>
        </w:rPr>
        <w:instrText>BMI</w:instrText>
      </w:r>
      <w:r>
        <w:rPr>
          <w:noProof/>
        </w:rPr>
        <w:instrText>:</w:instrText>
      </w:r>
      <w:r>
        <w:rPr>
          <w:noProof/>
        </w:rPr>
        <w:tab/>
      </w:r>
      <w:r w:rsidRPr="007F078B">
        <w:rPr>
          <w:rFonts w:eastAsia="MS Gothic"/>
          <w:noProof/>
        </w:rPr>
        <w:instrText>body mass index</w:instrText>
      </w:r>
    </w:p>
    <w:p w:rsidR="005A26F6" w:rsidRDefault="005A26F6">
      <w:pPr>
        <w:pStyle w:val="Index1"/>
        <w:tabs>
          <w:tab w:val="right" w:leader="dot" w:pos="9460"/>
        </w:tabs>
        <w:rPr>
          <w:noProof/>
        </w:rPr>
      </w:pPr>
      <w:r w:rsidRPr="007F078B">
        <w:rPr>
          <w:rFonts w:cs="Arial"/>
          <w:noProof/>
        </w:rPr>
        <w:instrText>CI</w:instrText>
      </w:r>
      <w:r>
        <w:rPr>
          <w:noProof/>
        </w:rPr>
        <w:instrText>:</w:instrText>
      </w:r>
      <w:r>
        <w:rPr>
          <w:noProof/>
        </w:rPr>
        <w:tab/>
      </w:r>
      <w:r w:rsidRPr="007F078B">
        <w:rPr>
          <w:rFonts w:cs="Arial"/>
          <w:noProof/>
        </w:rPr>
        <w:instrText>confidence interval</w:instrText>
      </w:r>
    </w:p>
    <w:p w:rsidR="005A26F6" w:rsidRDefault="005A26F6">
      <w:pPr>
        <w:pStyle w:val="Index1"/>
        <w:tabs>
          <w:tab w:val="right" w:leader="dot" w:pos="9460"/>
        </w:tabs>
        <w:rPr>
          <w:noProof/>
        </w:rPr>
      </w:pPr>
      <w:r>
        <w:rPr>
          <w:noProof/>
        </w:rPr>
        <w:instrText>CSR:</w:instrText>
      </w:r>
      <w:r>
        <w:rPr>
          <w:noProof/>
        </w:rPr>
        <w:tab/>
        <w:instrText>clinical study report</w:instrText>
      </w:r>
    </w:p>
    <w:p w:rsidR="005A26F6" w:rsidRDefault="005A26F6">
      <w:pPr>
        <w:pStyle w:val="Index1"/>
        <w:tabs>
          <w:tab w:val="right" w:leader="dot" w:pos="9460"/>
        </w:tabs>
        <w:rPr>
          <w:noProof/>
        </w:rPr>
      </w:pPr>
      <w:r>
        <w:rPr>
          <w:noProof/>
        </w:rPr>
        <w:instrText>EASD:</w:instrText>
      </w:r>
      <w:r>
        <w:rPr>
          <w:noProof/>
        </w:rPr>
        <w:tab/>
        <w:instrText>European Association for the Study of Diabetes</w:instrText>
      </w:r>
    </w:p>
    <w:p w:rsidR="005A26F6" w:rsidRDefault="005A26F6">
      <w:pPr>
        <w:pStyle w:val="Index1"/>
        <w:tabs>
          <w:tab w:val="right" w:leader="dot" w:pos="9460"/>
        </w:tabs>
        <w:rPr>
          <w:noProof/>
        </w:rPr>
      </w:pPr>
      <w:r w:rsidRPr="007F078B">
        <w:rPr>
          <w:rFonts w:eastAsia="MS Gothic"/>
          <w:noProof/>
        </w:rPr>
        <w:instrText>ECG</w:instrText>
      </w:r>
      <w:r>
        <w:rPr>
          <w:noProof/>
        </w:rPr>
        <w:instrText>:</w:instrText>
      </w:r>
      <w:r>
        <w:rPr>
          <w:noProof/>
        </w:rPr>
        <w:tab/>
      </w:r>
      <w:r w:rsidRPr="007F078B">
        <w:rPr>
          <w:rFonts w:eastAsia="MS Gothic"/>
          <w:noProof/>
        </w:rPr>
        <w:instrText>electrocardiogram</w:instrText>
      </w:r>
    </w:p>
    <w:p w:rsidR="005A26F6" w:rsidRDefault="005A26F6">
      <w:pPr>
        <w:pStyle w:val="Index1"/>
        <w:tabs>
          <w:tab w:val="right" w:leader="dot" w:pos="9460"/>
        </w:tabs>
        <w:rPr>
          <w:noProof/>
        </w:rPr>
      </w:pPr>
      <w:r w:rsidRPr="007F078B">
        <w:rPr>
          <w:rFonts w:eastAsia="MS Gothic"/>
          <w:noProof/>
        </w:rPr>
        <w:instrText>e-CRF</w:instrText>
      </w:r>
      <w:r>
        <w:rPr>
          <w:noProof/>
        </w:rPr>
        <w:instrText>:</w:instrText>
      </w:r>
      <w:r>
        <w:rPr>
          <w:noProof/>
        </w:rPr>
        <w:tab/>
      </w:r>
      <w:r w:rsidRPr="007F078B">
        <w:rPr>
          <w:rFonts w:eastAsia="MS Gothic"/>
          <w:noProof/>
        </w:rPr>
        <w:instrText>electronic case report form</w:instrText>
      </w:r>
    </w:p>
    <w:p w:rsidR="005A26F6" w:rsidRDefault="005A26F6">
      <w:pPr>
        <w:pStyle w:val="Index1"/>
        <w:tabs>
          <w:tab w:val="right" w:leader="dot" w:pos="9460"/>
        </w:tabs>
        <w:rPr>
          <w:noProof/>
        </w:rPr>
      </w:pPr>
      <w:r w:rsidRPr="007F078B">
        <w:rPr>
          <w:rFonts w:eastAsia="MS Gothic"/>
          <w:noProof/>
        </w:rPr>
        <w:instrText>FPG</w:instrText>
      </w:r>
      <w:r>
        <w:rPr>
          <w:noProof/>
        </w:rPr>
        <w:instrText>:</w:instrText>
      </w:r>
      <w:r>
        <w:rPr>
          <w:noProof/>
        </w:rPr>
        <w:tab/>
      </w:r>
      <w:r w:rsidRPr="007F078B">
        <w:rPr>
          <w:rFonts w:eastAsia="MS Gothic"/>
          <w:noProof/>
        </w:rPr>
        <w:instrText>fasting plasma glucose</w:instrText>
      </w:r>
    </w:p>
    <w:p w:rsidR="005A26F6" w:rsidRDefault="005A26F6">
      <w:pPr>
        <w:pStyle w:val="Index1"/>
        <w:tabs>
          <w:tab w:val="right" w:leader="dot" w:pos="9460"/>
        </w:tabs>
        <w:rPr>
          <w:noProof/>
        </w:rPr>
      </w:pPr>
      <w:r w:rsidRPr="007F078B">
        <w:rPr>
          <w:noProof/>
        </w:rPr>
        <w:instrText>FRC</w:instrText>
      </w:r>
      <w:r>
        <w:rPr>
          <w:noProof/>
        </w:rPr>
        <w:instrText>:</w:instrText>
      </w:r>
      <w:r>
        <w:rPr>
          <w:noProof/>
        </w:rPr>
        <w:tab/>
      </w:r>
      <w:r w:rsidRPr="007F078B">
        <w:rPr>
          <w:noProof/>
        </w:rPr>
        <w:instrText>fixed Ratio Combination</w:instrText>
      </w:r>
    </w:p>
    <w:p w:rsidR="005A26F6" w:rsidRDefault="005A26F6">
      <w:pPr>
        <w:pStyle w:val="Index1"/>
        <w:tabs>
          <w:tab w:val="right" w:leader="dot" w:pos="9460"/>
        </w:tabs>
        <w:rPr>
          <w:noProof/>
        </w:rPr>
      </w:pPr>
      <w:r>
        <w:rPr>
          <w:noProof/>
        </w:rPr>
        <w:instrText>GCP:</w:instrText>
      </w:r>
      <w:r>
        <w:rPr>
          <w:noProof/>
        </w:rPr>
        <w:tab/>
        <w:instrText>good clinical practice</w:instrText>
      </w:r>
    </w:p>
    <w:p w:rsidR="005A26F6" w:rsidRDefault="005A26F6">
      <w:pPr>
        <w:pStyle w:val="Index1"/>
        <w:tabs>
          <w:tab w:val="right" w:leader="dot" w:pos="9460"/>
        </w:tabs>
        <w:rPr>
          <w:noProof/>
        </w:rPr>
      </w:pPr>
      <w:r w:rsidRPr="007F078B">
        <w:rPr>
          <w:rFonts w:eastAsia="MS Gothic"/>
          <w:noProof/>
        </w:rPr>
        <w:instrText>GFR</w:instrText>
      </w:r>
      <w:r>
        <w:rPr>
          <w:noProof/>
        </w:rPr>
        <w:instrText>:</w:instrText>
      </w:r>
      <w:r>
        <w:rPr>
          <w:noProof/>
        </w:rPr>
        <w:tab/>
      </w:r>
      <w:r w:rsidRPr="007F078B">
        <w:rPr>
          <w:rFonts w:eastAsia="MS Gothic"/>
          <w:noProof/>
        </w:rPr>
        <w:instrText>glomerular filtration rate</w:instrText>
      </w:r>
    </w:p>
    <w:p w:rsidR="005A26F6" w:rsidRDefault="005A26F6">
      <w:pPr>
        <w:pStyle w:val="Index1"/>
        <w:tabs>
          <w:tab w:val="right" w:leader="dot" w:pos="9460"/>
        </w:tabs>
        <w:rPr>
          <w:noProof/>
        </w:rPr>
      </w:pPr>
      <w:r>
        <w:rPr>
          <w:noProof/>
        </w:rPr>
        <w:instrText>GLP-1 RA:</w:instrText>
      </w:r>
      <w:r>
        <w:rPr>
          <w:noProof/>
        </w:rPr>
        <w:tab/>
        <w:instrText>glucagon-like peptide-1 receptor agonist</w:instrText>
      </w:r>
    </w:p>
    <w:p w:rsidR="005A26F6" w:rsidRDefault="005A26F6">
      <w:pPr>
        <w:pStyle w:val="Index1"/>
        <w:tabs>
          <w:tab w:val="right" w:leader="dot" w:pos="9460"/>
        </w:tabs>
        <w:rPr>
          <w:noProof/>
        </w:rPr>
      </w:pPr>
      <w:r>
        <w:rPr>
          <w:noProof/>
        </w:rPr>
        <w:instrText>HbA1c:</w:instrText>
      </w:r>
      <w:r>
        <w:rPr>
          <w:noProof/>
        </w:rPr>
        <w:tab/>
        <w:instrText>hemoglobin A1c</w:instrText>
      </w:r>
    </w:p>
    <w:p w:rsidR="005A26F6" w:rsidRDefault="005A26F6">
      <w:pPr>
        <w:pStyle w:val="Index1"/>
        <w:tabs>
          <w:tab w:val="right" w:leader="dot" w:pos="9460"/>
        </w:tabs>
        <w:rPr>
          <w:noProof/>
        </w:rPr>
      </w:pPr>
      <w:r>
        <w:rPr>
          <w:noProof/>
        </w:rPr>
        <w:instrText>HDL:</w:instrText>
      </w:r>
      <w:r>
        <w:rPr>
          <w:noProof/>
        </w:rPr>
        <w:tab/>
        <w:instrText>high density lipoprotein</w:instrText>
      </w:r>
    </w:p>
    <w:p w:rsidR="005A26F6" w:rsidRDefault="005A26F6">
      <w:pPr>
        <w:pStyle w:val="Index1"/>
        <w:tabs>
          <w:tab w:val="right" w:leader="dot" w:pos="9460"/>
        </w:tabs>
        <w:rPr>
          <w:noProof/>
        </w:rPr>
      </w:pPr>
      <w:r>
        <w:rPr>
          <w:noProof/>
        </w:rPr>
        <w:instrText>HLGT:</w:instrText>
      </w:r>
      <w:r>
        <w:rPr>
          <w:noProof/>
        </w:rPr>
        <w:tab/>
        <w:instrText>high level group term</w:instrText>
      </w:r>
    </w:p>
    <w:p w:rsidR="005A26F6" w:rsidRDefault="005A26F6">
      <w:pPr>
        <w:pStyle w:val="Index1"/>
        <w:tabs>
          <w:tab w:val="right" w:leader="dot" w:pos="9460"/>
        </w:tabs>
        <w:rPr>
          <w:noProof/>
        </w:rPr>
      </w:pPr>
      <w:r>
        <w:rPr>
          <w:noProof/>
        </w:rPr>
        <w:instrText>HLT:</w:instrText>
      </w:r>
      <w:r>
        <w:rPr>
          <w:noProof/>
        </w:rPr>
        <w:tab/>
        <w:instrText>high level term</w:instrText>
      </w:r>
    </w:p>
    <w:p w:rsidR="005A26F6" w:rsidRDefault="005A26F6">
      <w:pPr>
        <w:pStyle w:val="Index1"/>
        <w:tabs>
          <w:tab w:val="right" w:leader="dot" w:pos="9460"/>
        </w:tabs>
        <w:rPr>
          <w:noProof/>
        </w:rPr>
      </w:pPr>
      <w:r>
        <w:rPr>
          <w:noProof/>
        </w:rPr>
        <w:instrText>ICH:</w:instrText>
      </w:r>
      <w:r>
        <w:rPr>
          <w:noProof/>
        </w:rPr>
        <w:tab/>
        <w:instrText>International Conference on Harmonization</w:instrText>
      </w:r>
    </w:p>
    <w:p w:rsidR="005A26F6" w:rsidRDefault="005A26F6">
      <w:pPr>
        <w:pStyle w:val="Index1"/>
        <w:tabs>
          <w:tab w:val="right" w:leader="dot" w:pos="9460"/>
        </w:tabs>
        <w:rPr>
          <w:noProof/>
        </w:rPr>
      </w:pPr>
      <w:r>
        <w:rPr>
          <w:noProof/>
        </w:rPr>
        <w:instrText>IEC:</w:instrText>
      </w:r>
      <w:r>
        <w:rPr>
          <w:noProof/>
        </w:rPr>
        <w:tab/>
        <w:instrText>independent ethics committee</w:instrText>
      </w:r>
    </w:p>
    <w:p w:rsidR="005A26F6" w:rsidRDefault="005A26F6">
      <w:pPr>
        <w:pStyle w:val="Index1"/>
        <w:tabs>
          <w:tab w:val="right" w:leader="dot" w:pos="9460"/>
        </w:tabs>
        <w:rPr>
          <w:noProof/>
        </w:rPr>
      </w:pPr>
      <w:r>
        <w:rPr>
          <w:noProof/>
        </w:rPr>
        <w:instrText>IgM:</w:instrText>
      </w:r>
      <w:r>
        <w:rPr>
          <w:noProof/>
        </w:rPr>
        <w:tab/>
        <w:instrText>immunoglobulin M</w:instrText>
      </w:r>
    </w:p>
    <w:p w:rsidR="005A26F6" w:rsidRDefault="005A26F6">
      <w:pPr>
        <w:pStyle w:val="Index1"/>
        <w:tabs>
          <w:tab w:val="right" w:leader="dot" w:pos="9460"/>
        </w:tabs>
        <w:rPr>
          <w:noProof/>
        </w:rPr>
      </w:pPr>
      <w:r>
        <w:rPr>
          <w:noProof/>
        </w:rPr>
        <w:instrText>IMP:</w:instrText>
      </w:r>
      <w:r>
        <w:rPr>
          <w:noProof/>
        </w:rPr>
        <w:tab/>
        <w:instrText>investigational medicinal product</w:instrText>
      </w:r>
    </w:p>
    <w:p w:rsidR="005A26F6" w:rsidRDefault="005A26F6">
      <w:pPr>
        <w:pStyle w:val="Index1"/>
        <w:tabs>
          <w:tab w:val="right" w:leader="dot" w:pos="9460"/>
        </w:tabs>
        <w:rPr>
          <w:noProof/>
        </w:rPr>
      </w:pPr>
      <w:r>
        <w:rPr>
          <w:noProof/>
        </w:rPr>
        <w:instrText>IRB:</w:instrText>
      </w:r>
      <w:r>
        <w:rPr>
          <w:noProof/>
        </w:rPr>
        <w:tab/>
        <w:instrText>institutional review board</w:instrText>
      </w:r>
    </w:p>
    <w:p w:rsidR="005A26F6" w:rsidRDefault="005A26F6">
      <w:pPr>
        <w:pStyle w:val="Index1"/>
        <w:tabs>
          <w:tab w:val="right" w:leader="dot" w:pos="9460"/>
        </w:tabs>
        <w:rPr>
          <w:noProof/>
        </w:rPr>
      </w:pPr>
      <w:r w:rsidRPr="007F078B">
        <w:rPr>
          <w:rFonts w:cs="Arial"/>
          <w:noProof/>
        </w:rPr>
        <w:instrText>ITT</w:instrText>
      </w:r>
      <w:r>
        <w:rPr>
          <w:noProof/>
        </w:rPr>
        <w:instrText>:</w:instrText>
      </w:r>
      <w:r>
        <w:rPr>
          <w:noProof/>
        </w:rPr>
        <w:tab/>
      </w:r>
      <w:r w:rsidRPr="007F078B">
        <w:rPr>
          <w:rFonts w:cs="Arial"/>
          <w:noProof/>
        </w:rPr>
        <w:instrText>intent-to-treat</w:instrText>
      </w:r>
    </w:p>
    <w:p w:rsidR="005A26F6" w:rsidRDefault="005A26F6">
      <w:pPr>
        <w:pStyle w:val="Index1"/>
        <w:tabs>
          <w:tab w:val="right" w:leader="dot" w:pos="9460"/>
        </w:tabs>
        <w:rPr>
          <w:noProof/>
        </w:rPr>
      </w:pPr>
      <w:r w:rsidRPr="007F078B">
        <w:rPr>
          <w:noProof/>
        </w:rPr>
        <w:instrText>IVRS/IWRS</w:instrText>
      </w:r>
      <w:r>
        <w:rPr>
          <w:noProof/>
        </w:rPr>
        <w:instrText>:</w:instrText>
      </w:r>
      <w:r>
        <w:rPr>
          <w:noProof/>
        </w:rPr>
        <w:tab/>
      </w:r>
      <w:r w:rsidRPr="007F078B">
        <w:rPr>
          <w:noProof/>
        </w:rPr>
        <w:instrText>interactive voice/web response system</w:instrText>
      </w:r>
    </w:p>
    <w:p w:rsidR="005A26F6" w:rsidRDefault="005A26F6">
      <w:pPr>
        <w:pStyle w:val="Index1"/>
        <w:tabs>
          <w:tab w:val="right" w:leader="dot" w:pos="9460"/>
        </w:tabs>
        <w:rPr>
          <w:noProof/>
        </w:rPr>
      </w:pPr>
      <w:r>
        <w:rPr>
          <w:noProof/>
        </w:rPr>
        <w:instrText>LDL:</w:instrText>
      </w:r>
      <w:r>
        <w:rPr>
          <w:noProof/>
        </w:rPr>
        <w:tab/>
        <w:instrText>low density lipoprotein</w:instrText>
      </w:r>
    </w:p>
    <w:p w:rsidR="005A26F6" w:rsidRDefault="005A26F6">
      <w:pPr>
        <w:pStyle w:val="Index1"/>
        <w:tabs>
          <w:tab w:val="right" w:leader="dot" w:pos="9460"/>
        </w:tabs>
        <w:rPr>
          <w:noProof/>
        </w:rPr>
      </w:pPr>
      <w:r>
        <w:rPr>
          <w:noProof/>
        </w:rPr>
        <w:instrText>LOCF:</w:instrText>
      </w:r>
      <w:r>
        <w:rPr>
          <w:noProof/>
        </w:rPr>
        <w:tab/>
        <w:instrText>last observation carried forward</w:instrText>
      </w:r>
    </w:p>
    <w:p w:rsidR="005A26F6" w:rsidRDefault="005A26F6">
      <w:pPr>
        <w:pStyle w:val="Index1"/>
        <w:tabs>
          <w:tab w:val="right" w:leader="dot" w:pos="9460"/>
        </w:tabs>
        <w:rPr>
          <w:noProof/>
        </w:rPr>
      </w:pPr>
      <w:r w:rsidRPr="007F078B">
        <w:rPr>
          <w:noProof/>
        </w:rPr>
        <w:instrText>mITT</w:instrText>
      </w:r>
      <w:r>
        <w:rPr>
          <w:noProof/>
        </w:rPr>
        <w:instrText>:</w:instrText>
      </w:r>
      <w:r>
        <w:rPr>
          <w:noProof/>
        </w:rPr>
        <w:tab/>
      </w:r>
      <w:r w:rsidRPr="007F078B">
        <w:rPr>
          <w:noProof/>
        </w:rPr>
        <w:instrText>modified intent-to-treat</w:instrText>
      </w:r>
    </w:p>
    <w:p w:rsidR="005A26F6" w:rsidRDefault="005A26F6">
      <w:pPr>
        <w:pStyle w:val="Index1"/>
        <w:tabs>
          <w:tab w:val="right" w:leader="dot" w:pos="9460"/>
        </w:tabs>
        <w:rPr>
          <w:noProof/>
        </w:rPr>
      </w:pPr>
      <w:r w:rsidRPr="007F078B">
        <w:rPr>
          <w:noProof/>
        </w:rPr>
        <w:instrText>MMRM</w:instrText>
      </w:r>
      <w:r>
        <w:rPr>
          <w:noProof/>
        </w:rPr>
        <w:instrText>:</w:instrText>
      </w:r>
      <w:r>
        <w:rPr>
          <w:noProof/>
        </w:rPr>
        <w:tab/>
      </w:r>
      <w:r w:rsidRPr="007F078B">
        <w:rPr>
          <w:noProof/>
        </w:rPr>
        <w:instrText>mixed-effect model with repeated measures</w:instrText>
      </w:r>
    </w:p>
    <w:p w:rsidR="005A26F6" w:rsidRDefault="005A26F6">
      <w:pPr>
        <w:pStyle w:val="Index1"/>
        <w:tabs>
          <w:tab w:val="right" w:leader="dot" w:pos="9460"/>
        </w:tabs>
        <w:rPr>
          <w:noProof/>
        </w:rPr>
      </w:pPr>
      <w:r w:rsidRPr="007F078B">
        <w:rPr>
          <w:rFonts w:eastAsia="MS Gothic"/>
          <w:noProof/>
        </w:rPr>
        <w:instrText>MTC</w:instrText>
      </w:r>
      <w:r>
        <w:rPr>
          <w:noProof/>
        </w:rPr>
        <w:instrText>:</w:instrText>
      </w:r>
      <w:r>
        <w:rPr>
          <w:noProof/>
        </w:rPr>
        <w:tab/>
      </w:r>
      <w:r w:rsidRPr="007F078B">
        <w:rPr>
          <w:rFonts w:eastAsia="MS Gothic"/>
          <w:noProof/>
        </w:rPr>
        <w:instrText>medullary thyroid cancer</w:instrText>
      </w:r>
    </w:p>
    <w:p w:rsidR="005A26F6" w:rsidRDefault="005A26F6">
      <w:pPr>
        <w:pStyle w:val="Index1"/>
        <w:tabs>
          <w:tab w:val="right" w:leader="dot" w:pos="9460"/>
        </w:tabs>
        <w:rPr>
          <w:noProof/>
        </w:rPr>
      </w:pPr>
      <w:r w:rsidRPr="007F078B">
        <w:rPr>
          <w:rFonts w:eastAsia="MS Gothic"/>
          <w:noProof/>
        </w:rPr>
        <w:instrText>MTD</w:instrText>
      </w:r>
      <w:r>
        <w:rPr>
          <w:noProof/>
        </w:rPr>
        <w:instrText>:</w:instrText>
      </w:r>
      <w:r>
        <w:rPr>
          <w:noProof/>
        </w:rPr>
        <w:tab/>
      </w:r>
      <w:r w:rsidRPr="007F078B">
        <w:rPr>
          <w:rFonts w:eastAsia="MS Gothic"/>
          <w:noProof/>
        </w:rPr>
        <w:instrText>maximum tolerated dose</w:instrText>
      </w:r>
    </w:p>
    <w:p w:rsidR="005A26F6" w:rsidRDefault="005A26F6">
      <w:pPr>
        <w:pStyle w:val="Index1"/>
        <w:tabs>
          <w:tab w:val="right" w:leader="dot" w:pos="9460"/>
        </w:tabs>
        <w:rPr>
          <w:noProof/>
        </w:rPr>
      </w:pPr>
      <w:r>
        <w:rPr>
          <w:noProof/>
        </w:rPr>
        <w:instrText>NIMP:</w:instrText>
      </w:r>
      <w:r>
        <w:rPr>
          <w:noProof/>
        </w:rPr>
        <w:tab/>
        <w:instrText>noninvestigational medicinal product</w:instrText>
      </w:r>
    </w:p>
    <w:p w:rsidR="005A26F6" w:rsidRDefault="005A26F6">
      <w:pPr>
        <w:pStyle w:val="Index1"/>
        <w:tabs>
          <w:tab w:val="right" w:leader="dot" w:pos="9460"/>
        </w:tabs>
        <w:rPr>
          <w:noProof/>
        </w:rPr>
      </w:pPr>
      <w:r w:rsidRPr="007F078B">
        <w:rPr>
          <w:rFonts w:eastAsia="MS Gothic"/>
          <w:noProof/>
        </w:rPr>
        <w:instrText>OAD</w:instrText>
      </w:r>
      <w:r>
        <w:rPr>
          <w:noProof/>
        </w:rPr>
        <w:instrText>:</w:instrText>
      </w:r>
      <w:r>
        <w:rPr>
          <w:noProof/>
        </w:rPr>
        <w:tab/>
      </w:r>
      <w:r w:rsidRPr="007F078B">
        <w:rPr>
          <w:rFonts w:eastAsia="MS Gothic"/>
          <w:noProof/>
        </w:rPr>
        <w:instrText>oral anti-diabetic drug</w:instrText>
      </w:r>
    </w:p>
    <w:p w:rsidR="005A26F6" w:rsidRDefault="005A26F6">
      <w:pPr>
        <w:pStyle w:val="Index1"/>
        <w:tabs>
          <w:tab w:val="right" w:leader="dot" w:pos="9460"/>
        </w:tabs>
        <w:rPr>
          <w:noProof/>
        </w:rPr>
      </w:pPr>
      <w:r>
        <w:rPr>
          <w:noProof/>
        </w:rPr>
        <w:instrText>PCSA:</w:instrText>
      </w:r>
      <w:r>
        <w:rPr>
          <w:noProof/>
        </w:rPr>
        <w:tab/>
        <w:instrText>potentially clinically significant abnormality</w:instrText>
      </w:r>
    </w:p>
    <w:p w:rsidR="005A26F6" w:rsidRDefault="005A26F6">
      <w:pPr>
        <w:pStyle w:val="Index1"/>
        <w:tabs>
          <w:tab w:val="right" w:leader="dot" w:pos="9460"/>
        </w:tabs>
        <w:rPr>
          <w:noProof/>
        </w:rPr>
      </w:pPr>
      <w:r>
        <w:rPr>
          <w:noProof/>
        </w:rPr>
        <w:instrText>PI:</w:instrText>
      </w:r>
      <w:r>
        <w:rPr>
          <w:noProof/>
        </w:rPr>
        <w:tab/>
        <w:instrText>prescribing information</w:instrText>
      </w:r>
    </w:p>
    <w:p w:rsidR="005A26F6" w:rsidRDefault="005A26F6">
      <w:pPr>
        <w:pStyle w:val="Index1"/>
        <w:tabs>
          <w:tab w:val="right" w:leader="dot" w:pos="9460"/>
        </w:tabs>
        <w:rPr>
          <w:noProof/>
        </w:rPr>
      </w:pPr>
      <w:r w:rsidRPr="007F078B">
        <w:rPr>
          <w:rFonts w:eastAsia="MS Gothic"/>
          <w:noProof/>
        </w:rPr>
        <w:instrText>PPG</w:instrText>
      </w:r>
      <w:r>
        <w:rPr>
          <w:noProof/>
        </w:rPr>
        <w:instrText>:</w:instrText>
      </w:r>
      <w:r>
        <w:rPr>
          <w:noProof/>
        </w:rPr>
        <w:tab/>
      </w:r>
      <w:r w:rsidRPr="007F078B">
        <w:rPr>
          <w:rFonts w:eastAsia="MS Gothic"/>
          <w:noProof/>
        </w:rPr>
        <w:instrText>post-prandial plasma glucose</w:instrText>
      </w:r>
    </w:p>
    <w:p w:rsidR="005A26F6" w:rsidRDefault="005A26F6">
      <w:pPr>
        <w:pStyle w:val="Index1"/>
        <w:tabs>
          <w:tab w:val="right" w:leader="dot" w:pos="9460"/>
        </w:tabs>
        <w:rPr>
          <w:noProof/>
        </w:rPr>
      </w:pPr>
      <w:r w:rsidRPr="007F078B">
        <w:rPr>
          <w:rFonts w:eastAsia="MS Gothic"/>
          <w:noProof/>
        </w:rPr>
        <w:instrText>PRE</w:instrText>
      </w:r>
      <w:r>
        <w:rPr>
          <w:noProof/>
        </w:rPr>
        <w:instrText>:</w:instrText>
      </w:r>
      <w:r>
        <w:rPr>
          <w:noProof/>
        </w:rPr>
        <w:tab/>
      </w:r>
      <w:r w:rsidRPr="007F078B">
        <w:rPr>
          <w:rFonts w:eastAsia="MS Gothic"/>
          <w:noProof/>
        </w:rPr>
        <w:instrText>pen-related event</w:instrText>
      </w:r>
    </w:p>
    <w:p w:rsidR="005A26F6" w:rsidRDefault="005A26F6">
      <w:pPr>
        <w:pStyle w:val="Index1"/>
        <w:tabs>
          <w:tab w:val="right" w:leader="dot" w:pos="9460"/>
        </w:tabs>
        <w:rPr>
          <w:noProof/>
        </w:rPr>
      </w:pPr>
      <w:r>
        <w:rPr>
          <w:noProof/>
        </w:rPr>
        <w:instrText>PREQ:</w:instrText>
      </w:r>
      <w:r>
        <w:rPr>
          <w:noProof/>
        </w:rPr>
        <w:tab/>
        <w:instrText>pen-related event questionnaire</w:instrText>
      </w:r>
    </w:p>
    <w:p w:rsidR="005A26F6" w:rsidRDefault="005A26F6">
      <w:pPr>
        <w:pStyle w:val="Index1"/>
        <w:tabs>
          <w:tab w:val="right" w:leader="dot" w:pos="9460"/>
        </w:tabs>
        <w:rPr>
          <w:noProof/>
        </w:rPr>
      </w:pPr>
      <w:r w:rsidRPr="007F078B">
        <w:rPr>
          <w:noProof/>
        </w:rPr>
        <w:instrText>PSAC</w:instrText>
      </w:r>
      <w:r>
        <w:rPr>
          <w:noProof/>
        </w:rPr>
        <w:instrText>:</w:instrText>
      </w:r>
      <w:r>
        <w:rPr>
          <w:noProof/>
        </w:rPr>
        <w:tab/>
      </w:r>
      <w:r w:rsidRPr="007F078B">
        <w:rPr>
          <w:noProof/>
        </w:rPr>
        <w:instrText>pancreatic safety assessment committee</w:instrText>
      </w:r>
    </w:p>
    <w:p w:rsidR="005A26F6" w:rsidRDefault="005A26F6">
      <w:pPr>
        <w:pStyle w:val="Index1"/>
        <w:tabs>
          <w:tab w:val="right" w:leader="dot" w:pos="9460"/>
        </w:tabs>
        <w:rPr>
          <w:noProof/>
        </w:rPr>
      </w:pPr>
      <w:r>
        <w:rPr>
          <w:noProof/>
        </w:rPr>
        <w:instrText>PT:</w:instrText>
      </w:r>
      <w:r>
        <w:rPr>
          <w:noProof/>
        </w:rPr>
        <w:tab/>
        <w:instrText>preferred term</w:instrText>
      </w:r>
    </w:p>
    <w:p w:rsidR="005A26F6" w:rsidRDefault="005A26F6">
      <w:pPr>
        <w:pStyle w:val="Index1"/>
        <w:tabs>
          <w:tab w:val="right" w:leader="dot" w:pos="9460"/>
        </w:tabs>
        <w:rPr>
          <w:noProof/>
        </w:rPr>
      </w:pPr>
      <w:r>
        <w:rPr>
          <w:noProof/>
        </w:rPr>
        <w:instrText>PTC:</w:instrText>
      </w:r>
      <w:r>
        <w:rPr>
          <w:noProof/>
        </w:rPr>
        <w:tab/>
        <w:instrText>product technical complaint</w:instrText>
      </w:r>
    </w:p>
    <w:p w:rsidR="005A26F6" w:rsidRDefault="005A26F6">
      <w:pPr>
        <w:pStyle w:val="Index1"/>
        <w:tabs>
          <w:tab w:val="right" w:leader="dot" w:pos="9460"/>
        </w:tabs>
        <w:rPr>
          <w:noProof/>
        </w:rPr>
      </w:pPr>
      <w:r w:rsidRPr="007F078B">
        <w:rPr>
          <w:rFonts w:eastAsia="MS Gothic"/>
          <w:noProof/>
        </w:rPr>
        <w:instrText>QD</w:instrText>
      </w:r>
      <w:r>
        <w:rPr>
          <w:noProof/>
        </w:rPr>
        <w:instrText>:</w:instrText>
      </w:r>
      <w:r>
        <w:rPr>
          <w:noProof/>
        </w:rPr>
        <w:tab/>
      </w:r>
      <w:r w:rsidRPr="007F078B">
        <w:rPr>
          <w:rFonts w:eastAsia="MS Gothic"/>
          <w:noProof/>
        </w:rPr>
        <w:instrText>quague die = once daily</w:instrText>
      </w:r>
    </w:p>
    <w:p w:rsidR="005A26F6" w:rsidRDefault="005A26F6">
      <w:pPr>
        <w:pStyle w:val="Index1"/>
        <w:tabs>
          <w:tab w:val="right" w:leader="dot" w:pos="9460"/>
        </w:tabs>
        <w:rPr>
          <w:noProof/>
        </w:rPr>
      </w:pPr>
      <w:r w:rsidRPr="007F078B">
        <w:rPr>
          <w:rFonts w:eastAsia="MS Gothic"/>
          <w:noProof/>
        </w:rPr>
        <w:instrText>QW</w:instrText>
      </w:r>
      <w:r>
        <w:rPr>
          <w:noProof/>
        </w:rPr>
        <w:instrText>:</w:instrText>
      </w:r>
      <w:r>
        <w:rPr>
          <w:noProof/>
        </w:rPr>
        <w:tab/>
      </w:r>
      <w:r w:rsidRPr="007F078B">
        <w:rPr>
          <w:rFonts w:eastAsia="MS Gothic"/>
          <w:noProof/>
        </w:rPr>
        <w:instrText>once weekly</w:instrText>
      </w:r>
    </w:p>
    <w:p w:rsidR="005A26F6" w:rsidRDefault="005A26F6">
      <w:pPr>
        <w:pStyle w:val="Index1"/>
        <w:tabs>
          <w:tab w:val="right" w:leader="dot" w:pos="9460"/>
        </w:tabs>
        <w:rPr>
          <w:noProof/>
        </w:rPr>
      </w:pPr>
      <w:r>
        <w:rPr>
          <w:noProof/>
        </w:rPr>
        <w:instrText>SAE:</w:instrText>
      </w:r>
      <w:r>
        <w:rPr>
          <w:noProof/>
        </w:rPr>
        <w:tab/>
        <w:instrText>serious adverse event</w:instrText>
      </w:r>
    </w:p>
    <w:p w:rsidR="005A26F6" w:rsidRDefault="005A26F6">
      <w:pPr>
        <w:pStyle w:val="Index1"/>
        <w:tabs>
          <w:tab w:val="right" w:leader="dot" w:pos="9460"/>
        </w:tabs>
        <w:rPr>
          <w:noProof/>
        </w:rPr>
      </w:pPr>
      <w:r w:rsidRPr="007F078B">
        <w:rPr>
          <w:noProof/>
        </w:rPr>
        <w:instrText>SAS</w:instrText>
      </w:r>
      <w:r>
        <w:rPr>
          <w:noProof/>
        </w:rPr>
        <w:instrText>:</w:instrText>
      </w:r>
      <w:r>
        <w:rPr>
          <w:noProof/>
        </w:rPr>
        <w:tab/>
      </w:r>
      <w:r w:rsidRPr="007F078B">
        <w:rPr>
          <w:noProof/>
        </w:rPr>
        <w:instrText>statistical analysis system</w:instrText>
      </w:r>
    </w:p>
    <w:p w:rsidR="005A26F6" w:rsidRDefault="005A26F6">
      <w:pPr>
        <w:pStyle w:val="Index1"/>
        <w:tabs>
          <w:tab w:val="right" w:leader="dot" w:pos="9460"/>
        </w:tabs>
        <w:rPr>
          <w:noProof/>
        </w:rPr>
      </w:pPr>
      <w:r>
        <w:rPr>
          <w:noProof/>
        </w:rPr>
        <w:instrText>SC:</w:instrText>
      </w:r>
      <w:r>
        <w:rPr>
          <w:noProof/>
        </w:rPr>
        <w:tab/>
        <w:instrText>subcutaneous</w:instrText>
      </w:r>
    </w:p>
    <w:p w:rsidR="005A26F6" w:rsidRDefault="005A26F6">
      <w:pPr>
        <w:pStyle w:val="Index1"/>
        <w:tabs>
          <w:tab w:val="right" w:leader="dot" w:pos="9460"/>
        </w:tabs>
        <w:rPr>
          <w:noProof/>
        </w:rPr>
      </w:pPr>
      <w:r>
        <w:rPr>
          <w:noProof/>
        </w:rPr>
        <w:instrText>SD:</w:instrText>
      </w:r>
      <w:r>
        <w:rPr>
          <w:noProof/>
        </w:rPr>
        <w:tab/>
        <w:instrText>standard deviation</w:instrText>
      </w:r>
    </w:p>
    <w:p w:rsidR="005A26F6" w:rsidRDefault="005A26F6">
      <w:pPr>
        <w:pStyle w:val="Index1"/>
        <w:tabs>
          <w:tab w:val="right" w:leader="dot" w:pos="9460"/>
        </w:tabs>
        <w:rPr>
          <w:noProof/>
        </w:rPr>
      </w:pPr>
      <w:r>
        <w:rPr>
          <w:noProof/>
        </w:rPr>
        <w:instrText>SmPC:</w:instrText>
      </w:r>
      <w:r>
        <w:rPr>
          <w:noProof/>
        </w:rPr>
        <w:tab/>
        <w:instrText>summary of product characteristics</w:instrText>
      </w:r>
    </w:p>
    <w:p w:rsidR="005A26F6" w:rsidRDefault="005A26F6">
      <w:pPr>
        <w:pStyle w:val="Index1"/>
        <w:tabs>
          <w:tab w:val="right" w:leader="dot" w:pos="9460"/>
        </w:tabs>
        <w:rPr>
          <w:noProof/>
        </w:rPr>
      </w:pPr>
      <w:r w:rsidRPr="007F078B">
        <w:rPr>
          <w:rFonts w:eastAsia="MS Gothic"/>
          <w:noProof/>
        </w:rPr>
        <w:instrText>SMPG</w:instrText>
      </w:r>
      <w:r>
        <w:rPr>
          <w:noProof/>
        </w:rPr>
        <w:instrText>:</w:instrText>
      </w:r>
      <w:r>
        <w:rPr>
          <w:noProof/>
        </w:rPr>
        <w:tab/>
      </w:r>
      <w:r w:rsidRPr="007F078B">
        <w:rPr>
          <w:rFonts w:eastAsia="MS Gothic"/>
          <w:noProof/>
        </w:rPr>
        <w:instrText>self-monitored plasma glucose</w:instrText>
      </w:r>
    </w:p>
    <w:p w:rsidR="005A26F6" w:rsidRDefault="005A26F6">
      <w:pPr>
        <w:pStyle w:val="Index1"/>
        <w:tabs>
          <w:tab w:val="right" w:leader="dot" w:pos="9460"/>
        </w:tabs>
        <w:rPr>
          <w:noProof/>
        </w:rPr>
      </w:pPr>
      <w:r>
        <w:rPr>
          <w:noProof/>
        </w:rPr>
        <w:instrText>SOC:</w:instrText>
      </w:r>
      <w:r>
        <w:rPr>
          <w:noProof/>
        </w:rPr>
        <w:tab/>
        <w:instrText>system organ class</w:instrText>
      </w:r>
    </w:p>
    <w:p w:rsidR="005A26F6" w:rsidRDefault="005A26F6">
      <w:pPr>
        <w:pStyle w:val="Index1"/>
        <w:tabs>
          <w:tab w:val="right" w:leader="dot" w:pos="9460"/>
        </w:tabs>
        <w:rPr>
          <w:noProof/>
        </w:rPr>
      </w:pPr>
      <w:r>
        <w:rPr>
          <w:noProof/>
        </w:rPr>
        <w:instrText>TEAE:</w:instrText>
      </w:r>
      <w:r>
        <w:rPr>
          <w:noProof/>
        </w:rPr>
        <w:tab/>
        <w:instrText>treatment-emergent adverse event</w:instrText>
      </w:r>
    </w:p>
    <w:p w:rsidR="005A26F6" w:rsidRDefault="005A26F6">
      <w:pPr>
        <w:pStyle w:val="Index1"/>
        <w:tabs>
          <w:tab w:val="right" w:leader="dot" w:pos="9460"/>
        </w:tabs>
        <w:rPr>
          <w:noProof/>
        </w:rPr>
      </w:pPr>
      <w:r w:rsidRPr="007F078B">
        <w:rPr>
          <w:rFonts w:eastAsia="MS Gothic"/>
          <w:noProof/>
        </w:rPr>
        <w:instrText>ULN</w:instrText>
      </w:r>
      <w:r>
        <w:rPr>
          <w:noProof/>
        </w:rPr>
        <w:instrText>:</w:instrText>
      </w:r>
      <w:r>
        <w:rPr>
          <w:noProof/>
        </w:rPr>
        <w:tab/>
      </w:r>
      <w:r w:rsidRPr="007F078B">
        <w:rPr>
          <w:rFonts w:eastAsia="MS Gothic"/>
          <w:noProof/>
        </w:rPr>
        <w:instrText>upper limit of normal range</w:instrText>
      </w:r>
    </w:p>
    <w:p w:rsidR="005A26F6" w:rsidRDefault="005A26F6">
      <w:pPr>
        <w:pStyle w:val="Index1"/>
        <w:tabs>
          <w:tab w:val="right" w:leader="dot" w:pos="9460"/>
        </w:tabs>
        <w:rPr>
          <w:noProof/>
        </w:rPr>
      </w:pPr>
      <w:r>
        <w:rPr>
          <w:noProof/>
        </w:rPr>
        <w:instrText>WHO-DD:</w:instrText>
      </w:r>
      <w:r>
        <w:rPr>
          <w:noProof/>
        </w:rPr>
        <w:tab/>
        <w:instrText>World Health Organization - Drug Dictionary</w:instrText>
      </w:r>
    </w:p>
    <w:p w:rsidR="005A26F6" w:rsidRDefault="00942434" w:rsidP="00942434">
      <w:pPr>
        <w:rPr>
          <w:noProof/>
        </w:rPr>
      </w:pPr>
      <w:r>
        <w:fldChar w:fldCharType="end"/>
      </w:r>
      <w:r>
        <w:instrText xml:space="preserve"> = "Fehler!*" "(No abbreviations defined yet)" </w:instrText>
      </w:r>
      <w:r>
        <w:fldChar w:fldCharType="begin"/>
      </w:r>
      <w:r>
        <w:instrText xml:space="preserve"> if </w:instrText>
      </w:r>
      <w:r>
        <w:fldChar w:fldCharType="begin"/>
      </w:r>
      <w:r>
        <w:instrText xml:space="preserve"> INDEX \r \e ":</w:instrText>
      </w:r>
      <w:r>
        <w:tab/>
        <w:instrText xml:space="preserve">" \f Abbreviation </w:instrText>
      </w:r>
      <w:r>
        <w:fldChar w:fldCharType="separate"/>
      </w:r>
    </w:p>
    <w:p w:rsidR="005A26F6" w:rsidRDefault="005A26F6">
      <w:pPr>
        <w:pStyle w:val="Index1"/>
        <w:tabs>
          <w:tab w:val="right" w:leader="dot" w:pos="9460"/>
        </w:tabs>
        <w:rPr>
          <w:noProof/>
        </w:rPr>
      </w:pPr>
      <w:r>
        <w:rPr>
          <w:noProof/>
        </w:rPr>
        <w:instrText>ADA:</w:instrText>
      </w:r>
      <w:r>
        <w:rPr>
          <w:noProof/>
        </w:rPr>
        <w:tab/>
        <w:instrText>American Diabetes Association</w:instrText>
      </w:r>
    </w:p>
    <w:p w:rsidR="005A26F6" w:rsidRDefault="005A26F6">
      <w:pPr>
        <w:pStyle w:val="Index1"/>
        <w:tabs>
          <w:tab w:val="right" w:leader="dot" w:pos="9460"/>
        </w:tabs>
        <w:rPr>
          <w:noProof/>
        </w:rPr>
      </w:pPr>
      <w:r w:rsidRPr="00032521">
        <w:rPr>
          <w:rFonts w:eastAsia="MS Gothic"/>
          <w:noProof/>
        </w:rPr>
        <w:instrText>AE</w:instrText>
      </w:r>
      <w:r>
        <w:rPr>
          <w:noProof/>
        </w:rPr>
        <w:instrText>:</w:instrText>
      </w:r>
      <w:r>
        <w:rPr>
          <w:noProof/>
        </w:rPr>
        <w:tab/>
      </w:r>
      <w:r w:rsidRPr="00032521">
        <w:rPr>
          <w:rFonts w:eastAsia="MS Gothic"/>
          <w:noProof/>
        </w:rPr>
        <w:instrText>adverse event</w:instrText>
      </w:r>
    </w:p>
    <w:p w:rsidR="005A26F6" w:rsidRDefault="005A26F6">
      <w:pPr>
        <w:pStyle w:val="Index1"/>
        <w:tabs>
          <w:tab w:val="right" w:leader="dot" w:pos="9460"/>
        </w:tabs>
        <w:rPr>
          <w:noProof/>
        </w:rPr>
      </w:pPr>
      <w:r w:rsidRPr="00032521">
        <w:rPr>
          <w:rFonts w:eastAsia="MS Gothic"/>
          <w:noProof/>
        </w:rPr>
        <w:instrText>AESI</w:instrText>
      </w:r>
      <w:r>
        <w:rPr>
          <w:noProof/>
        </w:rPr>
        <w:instrText>:</w:instrText>
      </w:r>
      <w:r>
        <w:rPr>
          <w:noProof/>
        </w:rPr>
        <w:tab/>
      </w:r>
      <w:r w:rsidRPr="00032521">
        <w:rPr>
          <w:rFonts w:eastAsia="MS Gothic"/>
          <w:noProof/>
        </w:rPr>
        <w:instrText>adverse event of special interest</w:instrText>
      </w:r>
    </w:p>
    <w:p w:rsidR="005A26F6" w:rsidRDefault="005A26F6">
      <w:pPr>
        <w:pStyle w:val="Index1"/>
        <w:tabs>
          <w:tab w:val="right" w:leader="dot" w:pos="9460"/>
        </w:tabs>
        <w:rPr>
          <w:noProof/>
        </w:rPr>
      </w:pPr>
      <w:r>
        <w:rPr>
          <w:noProof/>
        </w:rPr>
        <w:instrText>ALP:</w:instrText>
      </w:r>
      <w:r>
        <w:rPr>
          <w:noProof/>
        </w:rPr>
        <w:tab/>
        <w:instrText>alkaline phosphatase</w:instrText>
      </w:r>
    </w:p>
    <w:p w:rsidR="005A26F6" w:rsidRDefault="005A26F6">
      <w:pPr>
        <w:pStyle w:val="Index1"/>
        <w:tabs>
          <w:tab w:val="right" w:leader="dot" w:pos="9460"/>
        </w:tabs>
        <w:rPr>
          <w:noProof/>
        </w:rPr>
      </w:pPr>
      <w:r>
        <w:rPr>
          <w:noProof/>
        </w:rPr>
        <w:instrText>ALT:</w:instrText>
      </w:r>
      <w:r>
        <w:rPr>
          <w:noProof/>
        </w:rPr>
        <w:tab/>
        <w:instrText>alanine aminotransferase</w:instrText>
      </w:r>
    </w:p>
    <w:p w:rsidR="005A26F6" w:rsidRDefault="005A26F6">
      <w:pPr>
        <w:pStyle w:val="Index1"/>
        <w:tabs>
          <w:tab w:val="right" w:leader="dot" w:pos="9460"/>
        </w:tabs>
        <w:rPr>
          <w:noProof/>
        </w:rPr>
      </w:pPr>
      <w:r>
        <w:rPr>
          <w:noProof/>
        </w:rPr>
        <w:instrText>ANCOVA:</w:instrText>
      </w:r>
      <w:r>
        <w:rPr>
          <w:noProof/>
        </w:rPr>
        <w:tab/>
        <w:instrText>analysis of covariance</w:instrText>
      </w:r>
    </w:p>
    <w:p w:rsidR="005A26F6" w:rsidRDefault="005A26F6">
      <w:pPr>
        <w:pStyle w:val="Index1"/>
        <w:tabs>
          <w:tab w:val="right" w:leader="dot" w:pos="9460"/>
        </w:tabs>
        <w:rPr>
          <w:noProof/>
        </w:rPr>
      </w:pPr>
      <w:r w:rsidRPr="00032521">
        <w:rPr>
          <w:noProof/>
        </w:rPr>
        <w:instrText>ARAC</w:instrText>
      </w:r>
      <w:r>
        <w:rPr>
          <w:noProof/>
        </w:rPr>
        <w:instrText>:</w:instrText>
      </w:r>
      <w:r>
        <w:rPr>
          <w:noProof/>
        </w:rPr>
        <w:tab/>
      </w:r>
      <w:r w:rsidRPr="00032521">
        <w:rPr>
          <w:noProof/>
        </w:rPr>
        <w:instrText>allergic reaction assessment committee</w:instrText>
      </w:r>
    </w:p>
    <w:p w:rsidR="005A26F6" w:rsidRDefault="005A26F6">
      <w:pPr>
        <w:pStyle w:val="Index1"/>
        <w:tabs>
          <w:tab w:val="right" w:leader="dot" w:pos="9460"/>
        </w:tabs>
        <w:rPr>
          <w:noProof/>
        </w:rPr>
      </w:pPr>
      <w:r>
        <w:rPr>
          <w:noProof/>
        </w:rPr>
        <w:instrText>AST:</w:instrText>
      </w:r>
      <w:r>
        <w:rPr>
          <w:noProof/>
        </w:rPr>
        <w:tab/>
        <w:instrText>aspartate aminotransferase</w:instrText>
      </w:r>
    </w:p>
    <w:p w:rsidR="005A26F6" w:rsidRDefault="005A26F6">
      <w:pPr>
        <w:pStyle w:val="Index1"/>
        <w:tabs>
          <w:tab w:val="right" w:leader="dot" w:pos="9460"/>
        </w:tabs>
        <w:rPr>
          <w:noProof/>
        </w:rPr>
      </w:pPr>
      <w:r>
        <w:rPr>
          <w:noProof/>
        </w:rPr>
        <w:instrText>ATC:</w:instrText>
      </w:r>
      <w:r>
        <w:rPr>
          <w:noProof/>
        </w:rPr>
        <w:tab/>
        <w:instrText>anatomic or therapeutic category</w:instrText>
      </w:r>
    </w:p>
    <w:p w:rsidR="005A26F6" w:rsidRDefault="005A26F6">
      <w:pPr>
        <w:pStyle w:val="Index1"/>
        <w:tabs>
          <w:tab w:val="right" w:leader="dot" w:pos="9460"/>
        </w:tabs>
        <w:rPr>
          <w:noProof/>
        </w:rPr>
      </w:pPr>
      <w:r w:rsidRPr="00032521">
        <w:rPr>
          <w:rFonts w:eastAsia="MS Gothic"/>
          <w:noProof/>
        </w:rPr>
        <w:instrText>BID</w:instrText>
      </w:r>
      <w:r>
        <w:rPr>
          <w:noProof/>
        </w:rPr>
        <w:instrText>:</w:instrText>
      </w:r>
      <w:r>
        <w:rPr>
          <w:noProof/>
        </w:rPr>
        <w:tab/>
      </w:r>
      <w:r w:rsidRPr="00032521">
        <w:rPr>
          <w:rFonts w:eastAsia="MS Gothic"/>
          <w:noProof/>
        </w:rPr>
        <w:instrText>bis in die = twice daily</w:instrText>
      </w:r>
    </w:p>
    <w:p w:rsidR="005A26F6" w:rsidRDefault="005A26F6">
      <w:pPr>
        <w:pStyle w:val="Index1"/>
        <w:tabs>
          <w:tab w:val="right" w:leader="dot" w:pos="9460"/>
        </w:tabs>
        <w:rPr>
          <w:noProof/>
        </w:rPr>
      </w:pPr>
      <w:r w:rsidRPr="00032521">
        <w:rPr>
          <w:rFonts w:eastAsia="MS Gothic"/>
          <w:noProof/>
        </w:rPr>
        <w:instrText>BMI</w:instrText>
      </w:r>
      <w:r>
        <w:rPr>
          <w:noProof/>
        </w:rPr>
        <w:instrText>:</w:instrText>
      </w:r>
      <w:r>
        <w:rPr>
          <w:noProof/>
        </w:rPr>
        <w:tab/>
      </w:r>
      <w:r w:rsidRPr="00032521">
        <w:rPr>
          <w:rFonts w:eastAsia="MS Gothic"/>
          <w:noProof/>
        </w:rPr>
        <w:instrText>body mass index</w:instrText>
      </w:r>
    </w:p>
    <w:p w:rsidR="005A26F6" w:rsidRDefault="005A26F6">
      <w:pPr>
        <w:pStyle w:val="Index1"/>
        <w:tabs>
          <w:tab w:val="right" w:leader="dot" w:pos="9460"/>
        </w:tabs>
        <w:rPr>
          <w:noProof/>
        </w:rPr>
      </w:pPr>
      <w:r w:rsidRPr="00032521">
        <w:rPr>
          <w:rFonts w:cs="Arial"/>
          <w:noProof/>
        </w:rPr>
        <w:instrText>CI</w:instrText>
      </w:r>
      <w:r>
        <w:rPr>
          <w:noProof/>
        </w:rPr>
        <w:instrText>:</w:instrText>
      </w:r>
      <w:r>
        <w:rPr>
          <w:noProof/>
        </w:rPr>
        <w:tab/>
      </w:r>
      <w:r w:rsidRPr="00032521">
        <w:rPr>
          <w:rFonts w:cs="Arial"/>
          <w:noProof/>
        </w:rPr>
        <w:instrText>confidence interval</w:instrText>
      </w:r>
    </w:p>
    <w:p w:rsidR="005A26F6" w:rsidRDefault="005A26F6">
      <w:pPr>
        <w:pStyle w:val="Index1"/>
        <w:tabs>
          <w:tab w:val="right" w:leader="dot" w:pos="9460"/>
        </w:tabs>
        <w:rPr>
          <w:noProof/>
        </w:rPr>
      </w:pPr>
      <w:r>
        <w:rPr>
          <w:noProof/>
        </w:rPr>
        <w:instrText>CSR:</w:instrText>
      </w:r>
      <w:r>
        <w:rPr>
          <w:noProof/>
        </w:rPr>
        <w:tab/>
        <w:instrText>clinical study report</w:instrText>
      </w:r>
    </w:p>
    <w:p w:rsidR="005A26F6" w:rsidRDefault="005A26F6">
      <w:pPr>
        <w:pStyle w:val="Index1"/>
        <w:tabs>
          <w:tab w:val="right" w:leader="dot" w:pos="9460"/>
        </w:tabs>
        <w:rPr>
          <w:noProof/>
        </w:rPr>
      </w:pPr>
      <w:r>
        <w:rPr>
          <w:noProof/>
        </w:rPr>
        <w:instrText>EASD:</w:instrText>
      </w:r>
      <w:r>
        <w:rPr>
          <w:noProof/>
        </w:rPr>
        <w:tab/>
        <w:instrText>European Association for the Study of Diabetes</w:instrText>
      </w:r>
    </w:p>
    <w:p w:rsidR="005A26F6" w:rsidRDefault="005A26F6">
      <w:pPr>
        <w:pStyle w:val="Index1"/>
        <w:tabs>
          <w:tab w:val="right" w:leader="dot" w:pos="9460"/>
        </w:tabs>
        <w:rPr>
          <w:noProof/>
        </w:rPr>
      </w:pPr>
      <w:r w:rsidRPr="00032521">
        <w:rPr>
          <w:rFonts w:eastAsia="MS Gothic"/>
          <w:noProof/>
        </w:rPr>
        <w:instrText>ECG</w:instrText>
      </w:r>
      <w:r>
        <w:rPr>
          <w:noProof/>
        </w:rPr>
        <w:instrText>:</w:instrText>
      </w:r>
      <w:r>
        <w:rPr>
          <w:noProof/>
        </w:rPr>
        <w:tab/>
      </w:r>
      <w:r w:rsidRPr="00032521">
        <w:rPr>
          <w:rFonts w:eastAsia="MS Gothic"/>
          <w:noProof/>
        </w:rPr>
        <w:instrText>electrocardiogram</w:instrText>
      </w:r>
    </w:p>
    <w:p w:rsidR="005A26F6" w:rsidRDefault="005A26F6">
      <w:pPr>
        <w:pStyle w:val="Index1"/>
        <w:tabs>
          <w:tab w:val="right" w:leader="dot" w:pos="9460"/>
        </w:tabs>
        <w:rPr>
          <w:noProof/>
        </w:rPr>
      </w:pPr>
      <w:r w:rsidRPr="00032521">
        <w:rPr>
          <w:rFonts w:eastAsia="MS Gothic"/>
          <w:noProof/>
        </w:rPr>
        <w:instrText>e-CRF</w:instrText>
      </w:r>
      <w:r>
        <w:rPr>
          <w:noProof/>
        </w:rPr>
        <w:instrText>:</w:instrText>
      </w:r>
      <w:r>
        <w:rPr>
          <w:noProof/>
        </w:rPr>
        <w:tab/>
      </w:r>
      <w:r w:rsidRPr="00032521">
        <w:rPr>
          <w:rFonts w:eastAsia="MS Gothic"/>
          <w:noProof/>
        </w:rPr>
        <w:instrText>electronic case report form</w:instrText>
      </w:r>
    </w:p>
    <w:p w:rsidR="005A26F6" w:rsidRDefault="005A26F6">
      <w:pPr>
        <w:pStyle w:val="Index1"/>
        <w:tabs>
          <w:tab w:val="right" w:leader="dot" w:pos="9460"/>
        </w:tabs>
        <w:rPr>
          <w:noProof/>
        </w:rPr>
      </w:pPr>
      <w:r w:rsidRPr="00032521">
        <w:rPr>
          <w:rFonts w:eastAsia="MS Gothic"/>
          <w:noProof/>
        </w:rPr>
        <w:instrText>FPG</w:instrText>
      </w:r>
      <w:r>
        <w:rPr>
          <w:noProof/>
        </w:rPr>
        <w:instrText>:</w:instrText>
      </w:r>
      <w:r>
        <w:rPr>
          <w:noProof/>
        </w:rPr>
        <w:tab/>
      </w:r>
      <w:r w:rsidRPr="00032521">
        <w:rPr>
          <w:rFonts w:eastAsia="MS Gothic"/>
          <w:noProof/>
        </w:rPr>
        <w:instrText>fasting plasma glucose</w:instrText>
      </w:r>
    </w:p>
    <w:p w:rsidR="005A26F6" w:rsidRDefault="005A26F6">
      <w:pPr>
        <w:pStyle w:val="Index1"/>
        <w:tabs>
          <w:tab w:val="right" w:leader="dot" w:pos="9460"/>
        </w:tabs>
        <w:rPr>
          <w:noProof/>
        </w:rPr>
      </w:pPr>
      <w:r w:rsidRPr="00032521">
        <w:rPr>
          <w:noProof/>
        </w:rPr>
        <w:instrText>FRC</w:instrText>
      </w:r>
      <w:r>
        <w:rPr>
          <w:noProof/>
        </w:rPr>
        <w:instrText>:</w:instrText>
      </w:r>
      <w:r>
        <w:rPr>
          <w:noProof/>
        </w:rPr>
        <w:tab/>
      </w:r>
      <w:r w:rsidRPr="00032521">
        <w:rPr>
          <w:noProof/>
        </w:rPr>
        <w:instrText>fixed Ratio Combination</w:instrText>
      </w:r>
    </w:p>
    <w:p w:rsidR="005A26F6" w:rsidRDefault="005A26F6">
      <w:pPr>
        <w:pStyle w:val="Index1"/>
        <w:tabs>
          <w:tab w:val="right" w:leader="dot" w:pos="9460"/>
        </w:tabs>
        <w:rPr>
          <w:noProof/>
        </w:rPr>
      </w:pPr>
      <w:r>
        <w:rPr>
          <w:noProof/>
        </w:rPr>
        <w:instrText>GCP:</w:instrText>
      </w:r>
      <w:r>
        <w:rPr>
          <w:noProof/>
        </w:rPr>
        <w:tab/>
        <w:instrText>good clinical practice</w:instrText>
      </w:r>
    </w:p>
    <w:p w:rsidR="005A26F6" w:rsidRDefault="005A26F6">
      <w:pPr>
        <w:pStyle w:val="Index1"/>
        <w:tabs>
          <w:tab w:val="right" w:leader="dot" w:pos="9460"/>
        </w:tabs>
        <w:rPr>
          <w:noProof/>
        </w:rPr>
      </w:pPr>
      <w:r w:rsidRPr="00032521">
        <w:rPr>
          <w:rFonts w:eastAsia="MS Gothic"/>
          <w:noProof/>
        </w:rPr>
        <w:instrText>GFR</w:instrText>
      </w:r>
      <w:r>
        <w:rPr>
          <w:noProof/>
        </w:rPr>
        <w:instrText>:</w:instrText>
      </w:r>
      <w:r>
        <w:rPr>
          <w:noProof/>
        </w:rPr>
        <w:tab/>
      </w:r>
      <w:r w:rsidRPr="00032521">
        <w:rPr>
          <w:rFonts w:eastAsia="MS Gothic"/>
          <w:noProof/>
        </w:rPr>
        <w:instrText>glomerular filtration rate</w:instrText>
      </w:r>
    </w:p>
    <w:p w:rsidR="005A26F6" w:rsidRDefault="005A26F6">
      <w:pPr>
        <w:pStyle w:val="Index1"/>
        <w:tabs>
          <w:tab w:val="right" w:leader="dot" w:pos="9460"/>
        </w:tabs>
        <w:rPr>
          <w:noProof/>
        </w:rPr>
      </w:pPr>
      <w:r>
        <w:rPr>
          <w:noProof/>
        </w:rPr>
        <w:instrText>GLP-1 RA:</w:instrText>
      </w:r>
      <w:r>
        <w:rPr>
          <w:noProof/>
        </w:rPr>
        <w:tab/>
        <w:instrText>glucagon-like peptide-1 receptor agonist</w:instrText>
      </w:r>
    </w:p>
    <w:p w:rsidR="005A26F6" w:rsidRDefault="005A26F6">
      <w:pPr>
        <w:pStyle w:val="Index1"/>
        <w:tabs>
          <w:tab w:val="right" w:leader="dot" w:pos="9460"/>
        </w:tabs>
        <w:rPr>
          <w:noProof/>
        </w:rPr>
      </w:pPr>
      <w:r>
        <w:rPr>
          <w:noProof/>
        </w:rPr>
        <w:instrText>HbA1c:</w:instrText>
      </w:r>
      <w:r>
        <w:rPr>
          <w:noProof/>
        </w:rPr>
        <w:tab/>
        <w:instrText>hemoglobin A1c</w:instrText>
      </w:r>
    </w:p>
    <w:p w:rsidR="005A26F6" w:rsidRDefault="005A26F6">
      <w:pPr>
        <w:pStyle w:val="Index1"/>
        <w:tabs>
          <w:tab w:val="right" w:leader="dot" w:pos="9460"/>
        </w:tabs>
        <w:rPr>
          <w:noProof/>
        </w:rPr>
      </w:pPr>
      <w:r>
        <w:rPr>
          <w:noProof/>
        </w:rPr>
        <w:instrText>HDL:</w:instrText>
      </w:r>
      <w:r>
        <w:rPr>
          <w:noProof/>
        </w:rPr>
        <w:tab/>
        <w:instrText>high density lipoprotein</w:instrText>
      </w:r>
    </w:p>
    <w:p w:rsidR="005A26F6" w:rsidRDefault="005A26F6">
      <w:pPr>
        <w:pStyle w:val="Index1"/>
        <w:tabs>
          <w:tab w:val="right" w:leader="dot" w:pos="9460"/>
        </w:tabs>
        <w:rPr>
          <w:noProof/>
        </w:rPr>
      </w:pPr>
      <w:r>
        <w:rPr>
          <w:noProof/>
        </w:rPr>
        <w:instrText>HLGT:</w:instrText>
      </w:r>
      <w:r>
        <w:rPr>
          <w:noProof/>
        </w:rPr>
        <w:tab/>
        <w:instrText>high level group term</w:instrText>
      </w:r>
    </w:p>
    <w:p w:rsidR="005A26F6" w:rsidRDefault="005A26F6">
      <w:pPr>
        <w:pStyle w:val="Index1"/>
        <w:tabs>
          <w:tab w:val="right" w:leader="dot" w:pos="9460"/>
        </w:tabs>
        <w:rPr>
          <w:noProof/>
        </w:rPr>
      </w:pPr>
      <w:r>
        <w:rPr>
          <w:noProof/>
        </w:rPr>
        <w:instrText>HLT:</w:instrText>
      </w:r>
      <w:r>
        <w:rPr>
          <w:noProof/>
        </w:rPr>
        <w:tab/>
        <w:instrText>high level term</w:instrText>
      </w:r>
    </w:p>
    <w:p w:rsidR="005A26F6" w:rsidRDefault="005A26F6">
      <w:pPr>
        <w:pStyle w:val="Index1"/>
        <w:tabs>
          <w:tab w:val="right" w:leader="dot" w:pos="9460"/>
        </w:tabs>
        <w:rPr>
          <w:noProof/>
        </w:rPr>
      </w:pPr>
      <w:r>
        <w:rPr>
          <w:noProof/>
        </w:rPr>
        <w:instrText>ICH:</w:instrText>
      </w:r>
      <w:r>
        <w:rPr>
          <w:noProof/>
        </w:rPr>
        <w:tab/>
        <w:instrText>International Conference on Harmonization</w:instrText>
      </w:r>
    </w:p>
    <w:p w:rsidR="005A26F6" w:rsidRDefault="005A26F6">
      <w:pPr>
        <w:pStyle w:val="Index1"/>
        <w:tabs>
          <w:tab w:val="right" w:leader="dot" w:pos="9460"/>
        </w:tabs>
        <w:rPr>
          <w:noProof/>
        </w:rPr>
      </w:pPr>
      <w:r>
        <w:rPr>
          <w:noProof/>
        </w:rPr>
        <w:instrText>IEC:</w:instrText>
      </w:r>
      <w:r>
        <w:rPr>
          <w:noProof/>
        </w:rPr>
        <w:tab/>
        <w:instrText>independent ethics committee</w:instrText>
      </w:r>
    </w:p>
    <w:p w:rsidR="005A26F6" w:rsidRDefault="005A26F6">
      <w:pPr>
        <w:pStyle w:val="Index1"/>
        <w:tabs>
          <w:tab w:val="right" w:leader="dot" w:pos="9460"/>
        </w:tabs>
        <w:rPr>
          <w:noProof/>
        </w:rPr>
      </w:pPr>
      <w:r>
        <w:rPr>
          <w:noProof/>
        </w:rPr>
        <w:instrText>IgM:</w:instrText>
      </w:r>
      <w:r>
        <w:rPr>
          <w:noProof/>
        </w:rPr>
        <w:tab/>
        <w:instrText>immunoglobulin M</w:instrText>
      </w:r>
    </w:p>
    <w:p w:rsidR="005A26F6" w:rsidRDefault="005A26F6">
      <w:pPr>
        <w:pStyle w:val="Index1"/>
        <w:tabs>
          <w:tab w:val="right" w:leader="dot" w:pos="9460"/>
        </w:tabs>
        <w:rPr>
          <w:noProof/>
        </w:rPr>
      </w:pPr>
      <w:r>
        <w:rPr>
          <w:noProof/>
        </w:rPr>
        <w:instrText>IMP:</w:instrText>
      </w:r>
      <w:r>
        <w:rPr>
          <w:noProof/>
        </w:rPr>
        <w:tab/>
        <w:instrText>investigational medicinal product</w:instrText>
      </w:r>
    </w:p>
    <w:p w:rsidR="005A26F6" w:rsidRDefault="005A26F6">
      <w:pPr>
        <w:pStyle w:val="Index1"/>
        <w:tabs>
          <w:tab w:val="right" w:leader="dot" w:pos="9460"/>
        </w:tabs>
        <w:rPr>
          <w:noProof/>
        </w:rPr>
      </w:pPr>
      <w:r>
        <w:rPr>
          <w:noProof/>
        </w:rPr>
        <w:instrText>IRB:</w:instrText>
      </w:r>
      <w:r>
        <w:rPr>
          <w:noProof/>
        </w:rPr>
        <w:tab/>
        <w:instrText>institutional review board</w:instrText>
      </w:r>
    </w:p>
    <w:p w:rsidR="005A26F6" w:rsidRDefault="005A26F6">
      <w:pPr>
        <w:pStyle w:val="Index1"/>
        <w:tabs>
          <w:tab w:val="right" w:leader="dot" w:pos="9460"/>
        </w:tabs>
        <w:rPr>
          <w:noProof/>
        </w:rPr>
      </w:pPr>
      <w:r w:rsidRPr="00032521">
        <w:rPr>
          <w:rFonts w:cs="Arial"/>
          <w:noProof/>
        </w:rPr>
        <w:instrText>ITT</w:instrText>
      </w:r>
      <w:r>
        <w:rPr>
          <w:noProof/>
        </w:rPr>
        <w:instrText>:</w:instrText>
      </w:r>
      <w:r>
        <w:rPr>
          <w:noProof/>
        </w:rPr>
        <w:tab/>
      </w:r>
      <w:r w:rsidRPr="00032521">
        <w:rPr>
          <w:rFonts w:cs="Arial"/>
          <w:noProof/>
        </w:rPr>
        <w:instrText>intent-to-treat</w:instrText>
      </w:r>
    </w:p>
    <w:p w:rsidR="005A26F6" w:rsidRDefault="005A26F6">
      <w:pPr>
        <w:pStyle w:val="Index1"/>
        <w:tabs>
          <w:tab w:val="right" w:leader="dot" w:pos="9460"/>
        </w:tabs>
        <w:rPr>
          <w:noProof/>
        </w:rPr>
      </w:pPr>
      <w:r w:rsidRPr="00032521">
        <w:rPr>
          <w:noProof/>
        </w:rPr>
        <w:instrText>IVRS/IWRS</w:instrText>
      </w:r>
      <w:r>
        <w:rPr>
          <w:noProof/>
        </w:rPr>
        <w:instrText>:</w:instrText>
      </w:r>
      <w:r>
        <w:rPr>
          <w:noProof/>
        </w:rPr>
        <w:tab/>
      </w:r>
      <w:r w:rsidRPr="00032521">
        <w:rPr>
          <w:noProof/>
        </w:rPr>
        <w:instrText>interactive voice/web response system</w:instrText>
      </w:r>
    </w:p>
    <w:p w:rsidR="005A26F6" w:rsidRDefault="005A26F6">
      <w:pPr>
        <w:pStyle w:val="Index1"/>
        <w:tabs>
          <w:tab w:val="right" w:leader="dot" w:pos="9460"/>
        </w:tabs>
        <w:rPr>
          <w:noProof/>
        </w:rPr>
      </w:pPr>
      <w:r>
        <w:rPr>
          <w:noProof/>
        </w:rPr>
        <w:instrText>LDL:</w:instrText>
      </w:r>
      <w:r>
        <w:rPr>
          <w:noProof/>
        </w:rPr>
        <w:tab/>
        <w:instrText>low density lipoprotein</w:instrText>
      </w:r>
    </w:p>
    <w:p w:rsidR="005A26F6" w:rsidRDefault="005A26F6">
      <w:pPr>
        <w:pStyle w:val="Index1"/>
        <w:tabs>
          <w:tab w:val="right" w:leader="dot" w:pos="9460"/>
        </w:tabs>
        <w:rPr>
          <w:noProof/>
        </w:rPr>
      </w:pPr>
      <w:r>
        <w:rPr>
          <w:noProof/>
        </w:rPr>
        <w:instrText>LOCF:</w:instrText>
      </w:r>
      <w:r>
        <w:rPr>
          <w:noProof/>
        </w:rPr>
        <w:tab/>
        <w:instrText>last observation carried forward</w:instrText>
      </w:r>
    </w:p>
    <w:p w:rsidR="005A26F6" w:rsidRDefault="005A26F6">
      <w:pPr>
        <w:pStyle w:val="Index1"/>
        <w:tabs>
          <w:tab w:val="right" w:leader="dot" w:pos="9460"/>
        </w:tabs>
        <w:rPr>
          <w:noProof/>
        </w:rPr>
      </w:pPr>
      <w:r w:rsidRPr="00032521">
        <w:rPr>
          <w:noProof/>
        </w:rPr>
        <w:instrText>mITT</w:instrText>
      </w:r>
      <w:r>
        <w:rPr>
          <w:noProof/>
        </w:rPr>
        <w:instrText>:</w:instrText>
      </w:r>
      <w:r>
        <w:rPr>
          <w:noProof/>
        </w:rPr>
        <w:tab/>
      </w:r>
      <w:r w:rsidRPr="00032521">
        <w:rPr>
          <w:noProof/>
        </w:rPr>
        <w:instrText>modified intent-to-treat</w:instrText>
      </w:r>
    </w:p>
    <w:p w:rsidR="005A26F6" w:rsidRDefault="005A26F6">
      <w:pPr>
        <w:pStyle w:val="Index1"/>
        <w:tabs>
          <w:tab w:val="right" w:leader="dot" w:pos="9460"/>
        </w:tabs>
        <w:rPr>
          <w:noProof/>
        </w:rPr>
      </w:pPr>
      <w:r w:rsidRPr="00032521">
        <w:rPr>
          <w:noProof/>
        </w:rPr>
        <w:instrText>MMRM</w:instrText>
      </w:r>
      <w:r>
        <w:rPr>
          <w:noProof/>
        </w:rPr>
        <w:instrText>:</w:instrText>
      </w:r>
      <w:r>
        <w:rPr>
          <w:noProof/>
        </w:rPr>
        <w:tab/>
      </w:r>
      <w:r w:rsidRPr="00032521">
        <w:rPr>
          <w:noProof/>
        </w:rPr>
        <w:instrText>mixed-effect model with repeated measures</w:instrText>
      </w:r>
    </w:p>
    <w:p w:rsidR="005A26F6" w:rsidRDefault="005A26F6">
      <w:pPr>
        <w:pStyle w:val="Index1"/>
        <w:tabs>
          <w:tab w:val="right" w:leader="dot" w:pos="9460"/>
        </w:tabs>
        <w:rPr>
          <w:noProof/>
        </w:rPr>
      </w:pPr>
      <w:r w:rsidRPr="00032521">
        <w:rPr>
          <w:rFonts w:eastAsia="MS Gothic"/>
          <w:noProof/>
        </w:rPr>
        <w:instrText>MTC</w:instrText>
      </w:r>
      <w:r>
        <w:rPr>
          <w:noProof/>
        </w:rPr>
        <w:instrText>:</w:instrText>
      </w:r>
      <w:r>
        <w:rPr>
          <w:noProof/>
        </w:rPr>
        <w:tab/>
      </w:r>
      <w:r w:rsidRPr="00032521">
        <w:rPr>
          <w:rFonts w:eastAsia="MS Gothic"/>
          <w:noProof/>
        </w:rPr>
        <w:instrText>medullary thyroid cancer</w:instrText>
      </w:r>
    </w:p>
    <w:p w:rsidR="005A26F6" w:rsidRDefault="005A26F6">
      <w:pPr>
        <w:pStyle w:val="Index1"/>
        <w:tabs>
          <w:tab w:val="right" w:leader="dot" w:pos="9460"/>
        </w:tabs>
        <w:rPr>
          <w:noProof/>
        </w:rPr>
      </w:pPr>
      <w:r w:rsidRPr="00032521">
        <w:rPr>
          <w:rFonts w:eastAsia="MS Gothic"/>
          <w:noProof/>
        </w:rPr>
        <w:instrText>MTD</w:instrText>
      </w:r>
      <w:r>
        <w:rPr>
          <w:noProof/>
        </w:rPr>
        <w:instrText>:</w:instrText>
      </w:r>
      <w:r>
        <w:rPr>
          <w:noProof/>
        </w:rPr>
        <w:tab/>
      </w:r>
      <w:r w:rsidRPr="00032521">
        <w:rPr>
          <w:rFonts w:eastAsia="MS Gothic"/>
          <w:noProof/>
        </w:rPr>
        <w:instrText>maximum tolerated dose</w:instrText>
      </w:r>
    </w:p>
    <w:p w:rsidR="005A26F6" w:rsidRDefault="005A26F6">
      <w:pPr>
        <w:pStyle w:val="Index1"/>
        <w:tabs>
          <w:tab w:val="right" w:leader="dot" w:pos="9460"/>
        </w:tabs>
        <w:rPr>
          <w:noProof/>
        </w:rPr>
      </w:pPr>
      <w:r>
        <w:rPr>
          <w:noProof/>
        </w:rPr>
        <w:instrText>NIMP:</w:instrText>
      </w:r>
      <w:r>
        <w:rPr>
          <w:noProof/>
        </w:rPr>
        <w:tab/>
        <w:instrText>noninvestigational medicinal product</w:instrText>
      </w:r>
    </w:p>
    <w:p w:rsidR="005A26F6" w:rsidRDefault="005A26F6">
      <w:pPr>
        <w:pStyle w:val="Index1"/>
        <w:tabs>
          <w:tab w:val="right" w:leader="dot" w:pos="9460"/>
        </w:tabs>
        <w:rPr>
          <w:noProof/>
        </w:rPr>
      </w:pPr>
      <w:r w:rsidRPr="00032521">
        <w:rPr>
          <w:rFonts w:eastAsia="MS Gothic"/>
          <w:noProof/>
        </w:rPr>
        <w:instrText>OAD</w:instrText>
      </w:r>
      <w:r>
        <w:rPr>
          <w:noProof/>
        </w:rPr>
        <w:instrText>:</w:instrText>
      </w:r>
      <w:r>
        <w:rPr>
          <w:noProof/>
        </w:rPr>
        <w:tab/>
      </w:r>
      <w:r w:rsidRPr="00032521">
        <w:rPr>
          <w:rFonts w:eastAsia="MS Gothic"/>
          <w:noProof/>
        </w:rPr>
        <w:instrText>oral anti-diabetic drug</w:instrText>
      </w:r>
    </w:p>
    <w:p w:rsidR="005A26F6" w:rsidRDefault="005A26F6">
      <w:pPr>
        <w:pStyle w:val="Index1"/>
        <w:tabs>
          <w:tab w:val="right" w:leader="dot" w:pos="9460"/>
        </w:tabs>
        <w:rPr>
          <w:noProof/>
        </w:rPr>
      </w:pPr>
      <w:r>
        <w:rPr>
          <w:noProof/>
        </w:rPr>
        <w:instrText>PCSA:</w:instrText>
      </w:r>
      <w:r>
        <w:rPr>
          <w:noProof/>
        </w:rPr>
        <w:tab/>
        <w:instrText>potentially clinically significant abnormality</w:instrText>
      </w:r>
    </w:p>
    <w:p w:rsidR="005A26F6" w:rsidRDefault="005A26F6">
      <w:pPr>
        <w:pStyle w:val="Index1"/>
        <w:tabs>
          <w:tab w:val="right" w:leader="dot" w:pos="9460"/>
        </w:tabs>
        <w:rPr>
          <w:noProof/>
        </w:rPr>
      </w:pPr>
      <w:r>
        <w:rPr>
          <w:noProof/>
        </w:rPr>
        <w:instrText>PI:</w:instrText>
      </w:r>
      <w:r>
        <w:rPr>
          <w:noProof/>
        </w:rPr>
        <w:tab/>
        <w:instrText>prescribing information</w:instrText>
      </w:r>
    </w:p>
    <w:p w:rsidR="005A26F6" w:rsidRDefault="005A26F6">
      <w:pPr>
        <w:pStyle w:val="Index1"/>
        <w:tabs>
          <w:tab w:val="right" w:leader="dot" w:pos="9460"/>
        </w:tabs>
        <w:rPr>
          <w:noProof/>
        </w:rPr>
      </w:pPr>
      <w:r w:rsidRPr="00032521">
        <w:rPr>
          <w:rFonts w:eastAsia="MS Gothic"/>
          <w:noProof/>
        </w:rPr>
        <w:instrText>PPG</w:instrText>
      </w:r>
      <w:r>
        <w:rPr>
          <w:noProof/>
        </w:rPr>
        <w:instrText>:</w:instrText>
      </w:r>
      <w:r>
        <w:rPr>
          <w:noProof/>
        </w:rPr>
        <w:tab/>
      </w:r>
      <w:r w:rsidRPr="00032521">
        <w:rPr>
          <w:rFonts w:eastAsia="MS Gothic"/>
          <w:noProof/>
        </w:rPr>
        <w:instrText>post-prandial plasma glucose</w:instrText>
      </w:r>
    </w:p>
    <w:p w:rsidR="005A26F6" w:rsidRDefault="005A26F6">
      <w:pPr>
        <w:pStyle w:val="Index1"/>
        <w:tabs>
          <w:tab w:val="right" w:leader="dot" w:pos="9460"/>
        </w:tabs>
        <w:rPr>
          <w:noProof/>
        </w:rPr>
      </w:pPr>
      <w:r w:rsidRPr="00032521">
        <w:rPr>
          <w:rFonts w:eastAsia="MS Gothic"/>
          <w:noProof/>
        </w:rPr>
        <w:instrText>PRE</w:instrText>
      </w:r>
      <w:r>
        <w:rPr>
          <w:noProof/>
        </w:rPr>
        <w:instrText>:</w:instrText>
      </w:r>
      <w:r>
        <w:rPr>
          <w:noProof/>
        </w:rPr>
        <w:tab/>
      </w:r>
      <w:r w:rsidRPr="00032521">
        <w:rPr>
          <w:rFonts w:eastAsia="MS Gothic"/>
          <w:noProof/>
        </w:rPr>
        <w:instrText>pen-related event</w:instrText>
      </w:r>
    </w:p>
    <w:p w:rsidR="005A26F6" w:rsidRDefault="005A26F6">
      <w:pPr>
        <w:pStyle w:val="Index1"/>
        <w:tabs>
          <w:tab w:val="right" w:leader="dot" w:pos="9460"/>
        </w:tabs>
        <w:rPr>
          <w:noProof/>
        </w:rPr>
      </w:pPr>
      <w:r>
        <w:rPr>
          <w:noProof/>
        </w:rPr>
        <w:instrText>PREQ:</w:instrText>
      </w:r>
      <w:r>
        <w:rPr>
          <w:noProof/>
        </w:rPr>
        <w:tab/>
        <w:instrText>pen-related event questionnaire</w:instrText>
      </w:r>
    </w:p>
    <w:p w:rsidR="005A26F6" w:rsidRDefault="005A26F6">
      <w:pPr>
        <w:pStyle w:val="Index1"/>
        <w:tabs>
          <w:tab w:val="right" w:leader="dot" w:pos="9460"/>
        </w:tabs>
        <w:rPr>
          <w:noProof/>
        </w:rPr>
      </w:pPr>
      <w:r w:rsidRPr="00032521">
        <w:rPr>
          <w:noProof/>
        </w:rPr>
        <w:instrText>PSAC</w:instrText>
      </w:r>
      <w:r>
        <w:rPr>
          <w:noProof/>
        </w:rPr>
        <w:instrText>:</w:instrText>
      </w:r>
      <w:r>
        <w:rPr>
          <w:noProof/>
        </w:rPr>
        <w:tab/>
      </w:r>
      <w:r w:rsidRPr="00032521">
        <w:rPr>
          <w:noProof/>
        </w:rPr>
        <w:instrText>pancreatic safety assessment committee</w:instrText>
      </w:r>
    </w:p>
    <w:p w:rsidR="005A26F6" w:rsidRDefault="005A26F6">
      <w:pPr>
        <w:pStyle w:val="Index1"/>
        <w:tabs>
          <w:tab w:val="right" w:leader="dot" w:pos="9460"/>
        </w:tabs>
        <w:rPr>
          <w:noProof/>
        </w:rPr>
      </w:pPr>
      <w:r>
        <w:rPr>
          <w:noProof/>
        </w:rPr>
        <w:instrText>PT:</w:instrText>
      </w:r>
      <w:r>
        <w:rPr>
          <w:noProof/>
        </w:rPr>
        <w:tab/>
        <w:instrText>preferred term</w:instrText>
      </w:r>
    </w:p>
    <w:p w:rsidR="005A26F6" w:rsidRDefault="005A26F6">
      <w:pPr>
        <w:pStyle w:val="Index1"/>
        <w:tabs>
          <w:tab w:val="right" w:leader="dot" w:pos="9460"/>
        </w:tabs>
        <w:rPr>
          <w:noProof/>
        </w:rPr>
      </w:pPr>
      <w:r>
        <w:rPr>
          <w:noProof/>
        </w:rPr>
        <w:instrText>PTC:</w:instrText>
      </w:r>
      <w:r>
        <w:rPr>
          <w:noProof/>
        </w:rPr>
        <w:tab/>
        <w:instrText>product technical complaint</w:instrText>
      </w:r>
    </w:p>
    <w:p w:rsidR="005A26F6" w:rsidRDefault="005A26F6">
      <w:pPr>
        <w:pStyle w:val="Index1"/>
        <w:tabs>
          <w:tab w:val="right" w:leader="dot" w:pos="9460"/>
        </w:tabs>
        <w:rPr>
          <w:noProof/>
        </w:rPr>
      </w:pPr>
      <w:r w:rsidRPr="00032521">
        <w:rPr>
          <w:rFonts w:eastAsia="MS Gothic"/>
          <w:noProof/>
        </w:rPr>
        <w:instrText>QD</w:instrText>
      </w:r>
      <w:r>
        <w:rPr>
          <w:noProof/>
        </w:rPr>
        <w:instrText>:</w:instrText>
      </w:r>
      <w:r>
        <w:rPr>
          <w:noProof/>
        </w:rPr>
        <w:tab/>
      </w:r>
      <w:r w:rsidRPr="00032521">
        <w:rPr>
          <w:rFonts w:eastAsia="MS Gothic"/>
          <w:noProof/>
        </w:rPr>
        <w:instrText>quague die = once daily</w:instrText>
      </w:r>
    </w:p>
    <w:p w:rsidR="005A26F6" w:rsidRDefault="005A26F6">
      <w:pPr>
        <w:pStyle w:val="Index1"/>
        <w:tabs>
          <w:tab w:val="right" w:leader="dot" w:pos="9460"/>
        </w:tabs>
        <w:rPr>
          <w:noProof/>
        </w:rPr>
      </w:pPr>
      <w:r w:rsidRPr="00032521">
        <w:rPr>
          <w:rFonts w:eastAsia="MS Gothic"/>
          <w:noProof/>
        </w:rPr>
        <w:instrText>QW</w:instrText>
      </w:r>
      <w:r>
        <w:rPr>
          <w:noProof/>
        </w:rPr>
        <w:instrText>:</w:instrText>
      </w:r>
      <w:r>
        <w:rPr>
          <w:noProof/>
        </w:rPr>
        <w:tab/>
      </w:r>
      <w:r w:rsidRPr="00032521">
        <w:rPr>
          <w:rFonts w:eastAsia="MS Gothic"/>
          <w:noProof/>
        </w:rPr>
        <w:instrText>once weekly</w:instrText>
      </w:r>
    </w:p>
    <w:p w:rsidR="005A26F6" w:rsidRDefault="005A26F6">
      <w:pPr>
        <w:pStyle w:val="Index1"/>
        <w:tabs>
          <w:tab w:val="right" w:leader="dot" w:pos="9460"/>
        </w:tabs>
        <w:rPr>
          <w:noProof/>
        </w:rPr>
      </w:pPr>
      <w:r>
        <w:rPr>
          <w:noProof/>
        </w:rPr>
        <w:instrText>SAE:</w:instrText>
      </w:r>
      <w:r>
        <w:rPr>
          <w:noProof/>
        </w:rPr>
        <w:tab/>
        <w:instrText>serious adverse event</w:instrText>
      </w:r>
    </w:p>
    <w:p w:rsidR="005A26F6" w:rsidRDefault="005A26F6">
      <w:pPr>
        <w:pStyle w:val="Index1"/>
        <w:tabs>
          <w:tab w:val="right" w:leader="dot" w:pos="9460"/>
        </w:tabs>
        <w:rPr>
          <w:noProof/>
        </w:rPr>
      </w:pPr>
      <w:r w:rsidRPr="00032521">
        <w:rPr>
          <w:noProof/>
        </w:rPr>
        <w:instrText>SAS</w:instrText>
      </w:r>
      <w:r>
        <w:rPr>
          <w:noProof/>
        </w:rPr>
        <w:instrText>:</w:instrText>
      </w:r>
      <w:r>
        <w:rPr>
          <w:noProof/>
        </w:rPr>
        <w:tab/>
      </w:r>
      <w:r w:rsidRPr="00032521">
        <w:rPr>
          <w:noProof/>
        </w:rPr>
        <w:instrText>statistical analysis system</w:instrText>
      </w:r>
    </w:p>
    <w:p w:rsidR="005A26F6" w:rsidRDefault="005A26F6">
      <w:pPr>
        <w:pStyle w:val="Index1"/>
        <w:tabs>
          <w:tab w:val="right" w:leader="dot" w:pos="9460"/>
        </w:tabs>
        <w:rPr>
          <w:noProof/>
        </w:rPr>
      </w:pPr>
      <w:r>
        <w:rPr>
          <w:noProof/>
        </w:rPr>
        <w:instrText>SC:</w:instrText>
      </w:r>
      <w:r>
        <w:rPr>
          <w:noProof/>
        </w:rPr>
        <w:tab/>
        <w:instrText>subcutaneous</w:instrText>
      </w:r>
    </w:p>
    <w:p w:rsidR="005A26F6" w:rsidRDefault="005A26F6">
      <w:pPr>
        <w:pStyle w:val="Index1"/>
        <w:tabs>
          <w:tab w:val="right" w:leader="dot" w:pos="9460"/>
        </w:tabs>
        <w:rPr>
          <w:noProof/>
        </w:rPr>
      </w:pPr>
      <w:r>
        <w:rPr>
          <w:noProof/>
        </w:rPr>
        <w:instrText>SD:</w:instrText>
      </w:r>
      <w:r>
        <w:rPr>
          <w:noProof/>
        </w:rPr>
        <w:tab/>
        <w:instrText>standard deviation</w:instrText>
      </w:r>
    </w:p>
    <w:p w:rsidR="005A26F6" w:rsidRDefault="005A26F6">
      <w:pPr>
        <w:pStyle w:val="Index1"/>
        <w:tabs>
          <w:tab w:val="right" w:leader="dot" w:pos="9460"/>
        </w:tabs>
        <w:rPr>
          <w:noProof/>
        </w:rPr>
      </w:pPr>
      <w:r>
        <w:rPr>
          <w:noProof/>
        </w:rPr>
        <w:instrText>SmPC:</w:instrText>
      </w:r>
      <w:r>
        <w:rPr>
          <w:noProof/>
        </w:rPr>
        <w:tab/>
        <w:instrText>summary of product characteristics</w:instrText>
      </w:r>
    </w:p>
    <w:p w:rsidR="005A26F6" w:rsidRDefault="005A26F6">
      <w:pPr>
        <w:pStyle w:val="Index1"/>
        <w:tabs>
          <w:tab w:val="right" w:leader="dot" w:pos="9460"/>
        </w:tabs>
        <w:rPr>
          <w:noProof/>
        </w:rPr>
      </w:pPr>
      <w:r w:rsidRPr="00032521">
        <w:rPr>
          <w:rFonts w:eastAsia="MS Gothic"/>
          <w:noProof/>
        </w:rPr>
        <w:instrText>SMPG</w:instrText>
      </w:r>
      <w:r>
        <w:rPr>
          <w:noProof/>
        </w:rPr>
        <w:instrText>:</w:instrText>
      </w:r>
      <w:r>
        <w:rPr>
          <w:noProof/>
        </w:rPr>
        <w:tab/>
      </w:r>
      <w:r w:rsidRPr="00032521">
        <w:rPr>
          <w:rFonts w:eastAsia="MS Gothic"/>
          <w:noProof/>
        </w:rPr>
        <w:instrText>self-monitored plasma glucose</w:instrText>
      </w:r>
    </w:p>
    <w:p w:rsidR="005A26F6" w:rsidRDefault="005A26F6">
      <w:pPr>
        <w:pStyle w:val="Index1"/>
        <w:tabs>
          <w:tab w:val="right" w:leader="dot" w:pos="9460"/>
        </w:tabs>
        <w:rPr>
          <w:noProof/>
        </w:rPr>
      </w:pPr>
      <w:r>
        <w:rPr>
          <w:noProof/>
        </w:rPr>
        <w:instrText>SOC:</w:instrText>
      </w:r>
      <w:r>
        <w:rPr>
          <w:noProof/>
        </w:rPr>
        <w:tab/>
        <w:instrText>system organ class</w:instrText>
      </w:r>
    </w:p>
    <w:p w:rsidR="005A26F6" w:rsidRDefault="005A26F6">
      <w:pPr>
        <w:pStyle w:val="Index1"/>
        <w:tabs>
          <w:tab w:val="right" w:leader="dot" w:pos="9460"/>
        </w:tabs>
        <w:rPr>
          <w:noProof/>
        </w:rPr>
      </w:pPr>
      <w:r>
        <w:rPr>
          <w:noProof/>
        </w:rPr>
        <w:instrText>TEAE:</w:instrText>
      </w:r>
      <w:r>
        <w:rPr>
          <w:noProof/>
        </w:rPr>
        <w:tab/>
        <w:instrText>treatment-emergent adverse event</w:instrText>
      </w:r>
    </w:p>
    <w:p w:rsidR="005A26F6" w:rsidRDefault="005A26F6">
      <w:pPr>
        <w:pStyle w:val="Index1"/>
        <w:tabs>
          <w:tab w:val="right" w:leader="dot" w:pos="9460"/>
        </w:tabs>
        <w:rPr>
          <w:noProof/>
        </w:rPr>
      </w:pPr>
      <w:r w:rsidRPr="00032521">
        <w:rPr>
          <w:rFonts w:eastAsia="MS Gothic"/>
          <w:noProof/>
        </w:rPr>
        <w:instrText>ULN</w:instrText>
      </w:r>
      <w:r>
        <w:rPr>
          <w:noProof/>
        </w:rPr>
        <w:instrText>:</w:instrText>
      </w:r>
      <w:r>
        <w:rPr>
          <w:noProof/>
        </w:rPr>
        <w:tab/>
      </w:r>
      <w:r w:rsidRPr="00032521">
        <w:rPr>
          <w:rFonts w:eastAsia="MS Gothic"/>
          <w:noProof/>
        </w:rPr>
        <w:instrText>upper limit of normal range</w:instrText>
      </w:r>
    </w:p>
    <w:p w:rsidR="005A26F6" w:rsidRDefault="005A26F6">
      <w:pPr>
        <w:pStyle w:val="Index1"/>
        <w:tabs>
          <w:tab w:val="right" w:leader="dot" w:pos="9460"/>
        </w:tabs>
        <w:rPr>
          <w:noProof/>
        </w:rPr>
      </w:pPr>
      <w:r>
        <w:rPr>
          <w:noProof/>
        </w:rPr>
        <w:instrText>WHO-DD:</w:instrText>
      </w:r>
      <w:r>
        <w:rPr>
          <w:noProof/>
        </w:rPr>
        <w:tab/>
        <w:instrText>World Health Organization - Drug Dictionary</w:instrText>
      </w:r>
    </w:p>
    <w:p w:rsidR="005A26F6" w:rsidRDefault="00942434" w:rsidP="00942434">
      <w:pPr>
        <w:rPr>
          <w:noProof/>
        </w:rPr>
      </w:pPr>
      <w:r>
        <w:fldChar w:fldCharType="end"/>
      </w:r>
      <w:r>
        <w:instrText xml:space="preserve"> = "Erreur*" "(No abbreviations defined yet)" </w:instrText>
      </w:r>
      <w:r>
        <w:fldChar w:fldCharType="begin"/>
      </w:r>
      <w:r>
        <w:instrText xml:space="preserve"> if </w:instrText>
      </w:r>
      <w:r>
        <w:fldChar w:fldCharType="begin"/>
      </w:r>
      <w:r>
        <w:instrText xml:space="preserve"> INDEX \r \e ":</w:instrText>
      </w:r>
      <w:r>
        <w:tab/>
        <w:instrText xml:space="preserve">" \f Abbreviation </w:instrText>
      </w:r>
      <w:r>
        <w:fldChar w:fldCharType="separate"/>
      </w:r>
    </w:p>
    <w:p w:rsidR="005A26F6" w:rsidRDefault="005A26F6">
      <w:pPr>
        <w:pStyle w:val="Index1"/>
        <w:tabs>
          <w:tab w:val="right" w:leader="dot" w:pos="9460"/>
        </w:tabs>
        <w:rPr>
          <w:noProof/>
        </w:rPr>
      </w:pPr>
      <w:r>
        <w:rPr>
          <w:noProof/>
        </w:rPr>
        <w:instrText>ADA:</w:instrText>
      </w:r>
      <w:r>
        <w:rPr>
          <w:noProof/>
        </w:rPr>
        <w:tab/>
        <w:instrText>American Diabetes Association</w:instrText>
      </w:r>
    </w:p>
    <w:p w:rsidR="005A26F6" w:rsidRDefault="005A26F6">
      <w:pPr>
        <w:pStyle w:val="Index1"/>
        <w:tabs>
          <w:tab w:val="right" w:leader="dot" w:pos="9460"/>
        </w:tabs>
        <w:rPr>
          <w:noProof/>
        </w:rPr>
      </w:pPr>
      <w:r w:rsidRPr="00432F17">
        <w:rPr>
          <w:rFonts w:eastAsia="MS Gothic"/>
          <w:noProof/>
        </w:rPr>
        <w:instrText>AE</w:instrText>
      </w:r>
      <w:r>
        <w:rPr>
          <w:noProof/>
        </w:rPr>
        <w:instrText>:</w:instrText>
      </w:r>
      <w:r>
        <w:rPr>
          <w:noProof/>
        </w:rPr>
        <w:tab/>
      </w:r>
      <w:r w:rsidRPr="00432F17">
        <w:rPr>
          <w:rFonts w:eastAsia="MS Gothic"/>
          <w:noProof/>
        </w:rPr>
        <w:instrText>adverse event</w:instrText>
      </w:r>
    </w:p>
    <w:p w:rsidR="005A26F6" w:rsidRDefault="005A26F6">
      <w:pPr>
        <w:pStyle w:val="Index1"/>
        <w:tabs>
          <w:tab w:val="right" w:leader="dot" w:pos="9460"/>
        </w:tabs>
        <w:rPr>
          <w:noProof/>
        </w:rPr>
      </w:pPr>
      <w:r w:rsidRPr="00432F17">
        <w:rPr>
          <w:rFonts w:eastAsia="MS Gothic"/>
          <w:noProof/>
        </w:rPr>
        <w:instrText>AESI</w:instrText>
      </w:r>
      <w:r>
        <w:rPr>
          <w:noProof/>
        </w:rPr>
        <w:instrText>:</w:instrText>
      </w:r>
      <w:r>
        <w:rPr>
          <w:noProof/>
        </w:rPr>
        <w:tab/>
      </w:r>
      <w:r w:rsidRPr="00432F17">
        <w:rPr>
          <w:rFonts w:eastAsia="MS Gothic"/>
          <w:noProof/>
        </w:rPr>
        <w:instrText>adverse event of special interest</w:instrText>
      </w:r>
    </w:p>
    <w:p w:rsidR="005A26F6" w:rsidRDefault="005A26F6">
      <w:pPr>
        <w:pStyle w:val="Index1"/>
        <w:tabs>
          <w:tab w:val="right" w:leader="dot" w:pos="9460"/>
        </w:tabs>
        <w:rPr>
          <w:noProof/>
        </w:rPr>
      </w:pPr>
      <w:r>
        <w:rPr>
          <w:noProof/>
        </w:rPr>
        <w:instrText>ALP:</w:instrText>
      </w:r>
      <w:r>
        <w:rPr>
          <w:noProof/>
        </w:rPr>
        <w:tab/>
        <w:instrText>alkaline phosphatase</w:instrText>
      </w:r>
    </w:p>
    <w:p w:rsidR="005A26F6" w:rsidRDefault="005A26F6">
      <w:pPr>
        <w:pStyle w:val="Index1"/>
        <w:tabs>
          <w:tab w:val="right" w:leader="dot" w:pos="9460"/>
        </w:tabs>
        <w:rPr>
          <w:noProof/>
        </w:rPr>
      </w:pPr>
      <w:r>
        <w:rPr>
          <w:noProof/>
        </w:rPr>
        <w:instrText>ALT:</w:instrText>
      </w:r>
      <w:r>
        <w:rPr>
          <w:noProof/>
        </w:rPr>
        <w:tab/>
        <w:instrText>alanine aminotransferase</w:instrText>
      </w:r>
    </w:p>
    <w:p w:rsidR="005A26F6" w:rsidRDefault="005A26F6">
      <w:pPr>
        <w:pStyle w:val="Index1"/>
        <w:tabs>
          <w:tab w:val="right" w:leader="dot" w:pos="9460"/>
        </w:tabs>
        <w:rPr>
          <w:noProof/>
        </w:rPr>
      </w:pPr>
      <w:r>
        <w:rPr>
          <w:noProof/>
        </w:rPr>
        <w:instrText>ANCOVA:</w:instrText>
      </w:r>
      <w:r>
        <w:rPr>
          <w:noProof/>
        </w:rPr>
        <w:tab/>
        <w:instrText>analysis of covariance</w:instrText>
      </w:r>
    </w:p>
    <w:p w:rsidR="005A26F6" w:rsidRDefault="005A26F6">
      <w:pPr>
        <w:pStyle w:val="Index1"/>
        <w:tabs>
          <w:tab w:val="right" w:leader="dot" w:pos="9460"/>
        </w:tabs>
        <w:rPr>
          <w:noProof/>
        </w:rPr>
      </w:pPr>
      <w:r w:rsidRPr="00432F17">
        <w:rPr>
          <w:noProof/>
        </w:rPr>
        <w:instrText>ARAC</w:instrText>
      </w:r>
      <w:r>
        <w:rPr>
          <w:noProof/>
        </w:rPr>
        <w:instrText>:</w:instrText>
      </w:r>
      <w:r>
        <w:rPr>
          <w:noProof/>
        </w:rPr>
        <w:tab/>
      </w:r>
      <w:r w:rsidRPr="00432F17">
        <w:rPr>
          <w:noProof/>
        </w:rPr>
        <w:instrText>allergic reaction assessment committee</w:instrText>
      </w:r>
    </w:p>
    <w:p w:rsidR="005A26F6" w:rsidRDefault="005A26F6">
      <w:pPr>
        <w:pStyle w:val="Index1"/>
        <w:tabs>
          <w:tab w:val="right" w:leader="dot" w:pos="9460"/>
        </w:tabs>
        <w:rPr>
          <w:noProof/>
        </w:rPr>
      </w:pPr>
      <w:r>
        <w:rPr>
          <w:noProof/>
        </w:rPr>
        <w:instrText>AST:</w:instrText>
      </w:r>
      <w:r>
        <w:rPr>
          <w:noProof/>
        </w:rPr>
        <w:tab/>
        <w:instrText>aspartate aminotransferase</w:instrText>
      </w:r>
    </w:p>
    <w:p w:rsidR="005A26F6" w:rsidRDefault="005A26F6">
      <w:pPr>
        <w:pStyle w:val="Index1"/>
        <w:tabs>
          <w:tab w:val="right" w:leader="dot" w:pos="9460"/>
        </w:tabs>
        <w:rPr>
          <w:noProof/>
        </w:rPr>
      </w:pPr>
      <w:r>
        <w:rPr>
          <w:noProof/>
        </w:rPr>
        <w:instrText>ATC:</w:instrText>
      </w:r>
      <w:r>
        <w:rPr>
          <w:noProof/>
        </w:rPr>
        <w:tab/>
        <w:instrText>anatomic or therapeutic category</w:instrText>
      </w:r>
    </w:p>
    <w:p w:rsidR="005A26F6" w:rsidRDefault="005A26F6">
      <w:pPr>
        <w:pStyle w:val="Index1"/>
        <w:tabs>
          <w:tab w:val="right" w:leader="dot" w:pos="9460"/>
        </w:tabs>
        <w:rPr>
          <w:noProof/>
        </w:rPr>
      </w:pPr>
      <w:r w:rsidRPr="00432F17">
        <w:rPr>
          <w:rFonts w:eastAsia="MS Gothic"/>
          <w:noProof/>
        </w:rPr>
        <w:instrText>BID</w:instrText>
      </w:r>
      <w:r>
        <w:rPr>
          <w:noProof/>
        </w:rPr>
        <w:instrText>:</w:instrText>
      </w:r>
      <w:r>
        <w:rPr>
          <w:noProof/>
        </w:rPr>
        <w:tab/>
      </w:r>
      <w:r w:rsidRPr="00432F17">
        <w:rPr>
          <w:rFonts w:eastAsia="MS Gothic"/>
          <w:noProof/>
        </w:rPr>
        <w:instrText>bis in die = twice daily</w:instrText>
      </w:r>
    </w:p>
    <w:p w:rsidR="005A26F6" w:rsidRDefault="005A26F6">
      <w:pPr>
        <w:pStyle w:val="Index1"/>
        <w:tabs>
          <w:tab w:val="right" w:leader="dot" w:pos="9460"/>
        </w:tabs>
        <w:rPr>
          <w:noProof/>
        </w:rPr>
      </w:pPr>
      <w:r w:rsidRPr="00432F17">
        <w:rPr>
          <w:rFonts w:eastAsia="MS Gothic"/>
          <w:noProof/>
        </w:rPr>
        <w:instrText>BMI</w:instrText>
      </w:r>
      <w:r>
        <w:rPr>
          <w:noProof/>
        </w:rPr>
        <w:instrText>:</w:instrText>
      </w:r>
      <w:r>
        <w:rPr>
          <w:noProof/>
        </w:rPr>
        <w:tab/>
      </w:r>
      <w:r w:rsidRPr="00432F17">
        <w:rPr>
          <w:rFonts w:eastAsia="MS Gothic"/>
          <w:noProof/>
        </w:rPr>
        <w:instrText>body mass index</w:instrText>
      </w:r>
    </w:p>
    <w:p w:rsidR="005A26F6" w:rsidRDefault="005A26F6">
      <w:pPr>
        <w:pStyle w:val="Index1"/>
        <w:tabs>
          <w:tab w:val="right" w:leader="dot" w:pos="9460"/>
        </w:tabs>
        <w:rPr>
          <w:noProof/>
        </w:rPr>
      </w:pPr>
      <w:r w:rsidRPr="00432F17">
        <w:rPr>
          <w:rFonts w:cs="Arial"/>
          <w:noProof/>
        </w:rPr>
        <w:instrText>CI</w:instrText>
      </w:r>
      <w:r>
        <w:rPr>
          <w:noProof/>
        </w:rPr>
        <w:instrText>:</w:instrText>
      </w:r>
      <w:r>
        <w:rPr>
          <w:noProof/>
        </w:rPr>
        <w:tab/>
      </w:r>
      <w:r w:rsidRPr="00432F17">
        <w:rPr>
          <w:rFonts w:cs="Arial"/>
          <w:noProof/>
        </w:rPr>
        <w:instrText>confidence interval</w:instrText>
      </w:r>
    </w:p>
    <w:p w:rsidR="005A26F6" w:rsidRDefault="005A26F6">
      <w:pPr>
        <w:pStyle w:val="Index1"/>
        <w:tabs>
          <w:tab w:val="right" w:leader="dot" w:pos="9460"/>
        </w:tabs>
        <w:rPr>
          <w:noProof/>
        </w:rPr>
      </w:pPr>
      <w:r>
        <w:rPr>
          <w:noProof/>
        </w:rPr>
        <w:instrText>CSR:</w:instrText>
      </w:r>
      <w:r>
        <w:rPr>
          <w:noProof/>
        </w:rPr>
        <w:tab/>
        <w:instrText>clinical study report</w:instrText>
      </w:r>
    </w:p>
    <w:p w:rsidR="005A26F6" w:rsidRDefault="005A26F6">
      <w:pPr>
        <w:pStyle w:val="Index1"/>
        <w:tabs>
          <w:tab w:val="right" w:leader="dot" w:pos="9460"/>
        </w:tabs>
        <w:rPr>
          <w:noProof/>
        </w:rPr>
      </w:pPr>
      <w:r>
        <w:rPr>
          <w:noProof/>
        </w:rPr>
        <w:instrText>EASD:</w:instrText>
      </w:r>
      <w:r>
        <w:rPr>
          <w:noProof/>
        </w:rPr>
        <w:tab/>
        <w:instrText>European Association for the Study of Diabetes</w:instrText>
      </w:r>
    </w:p>
    <w:p w:rsidR="005A26F6" w:rsidRDefault="005A26F6">
      <w:pPr>
        <w:pStyle w:val="Index1"/>
        <w:tabs>
          <w:tab w:val="right" w:leader="dot" w:pos="9460"/>
        </w:tabs>
        <w:rPr>
          <w:noProof/>
        </w:rPr>
      </w:pPr>
      <w:r w:rsidRPr="00432F17">
        <w:rPr>
          <w:rFonts w:eastAsia="MS Gothic"/>
          <w:noProof/>
        </w:rPr>
        <w:instrText>ECG</w:instrText>
      </w:r>
      <w:r>
        <w:rPr>
          <w:noProof/>
        </w:rPr>
        <w:instrText>:</w:instrText>
      </w:r>
      <w:r>
        <w:rPr>
          <w:noProof/>
        </w:rPr>
        <w:tab/>
      </w:r>
      <w:r w:rsidRPr="00432F17">
        <w:rPr>
          <w:rFonts w:eastAsia="MS Gothic"/>
          <w:noProof/>
        </w:rPr>
        <w:instrText>electrocardiogram</w:instrText>
      </w:r>
    </w:p>
    <w:p w:rsidR="005A26F6" w:rsidRDefault="005A26F6">
      <w:pPr>
        <w:pStyle w:val="Index1"/>
        <w:tabs>
          <w:tab w:val="right" w:leader="dot" w:pos="9460"/>
        </w:tabs>
        <w:rPr>
          <w:noProof/>
        </w:rPr>
      </w:pPr>
      <w:r w:rsidRPr="00432F17">
        <w:rPr>
          <w:rFonts w:eastAsia="MS Gothic"/>
          <w:noProof/>
        </w:rPr>
        <w:instrText>e-CRF</w:instrText>
      </w:r>
      <w:r>
        <w:rPr>
          <w:noProof/>
        </w:rPr>
        <w:instrText>:</w:instrText>
      </w:r>
      <w:r>
        <w:rPr>
          <w:noProof/>
        </w:rPr>
        <w:tab/>
      </w:r>
      <w:r w:rsidRPr="00432F17">
        <w:rPr>
          <w:rFonts w:eastAsia="MS Gothic"/>
          <w:noProof/>
        </w:rPr>
        <w:instrText>electronic case report form</w:instrText>
      </w:r>
    </w:p>
    <w:p w:rsidR="005A26F6" w:rsidRDefault="005A26F6">
      <w:pPr>
        <w:pStyle w:val="Index1"/>
        <w:tabs>
          <w:tab w:val="right" w:leader="dot" w:pos="9460"/>
        </w:tabs>
        <w:rPr>
          <w:noProof/>
        </w:rPr>
      </w:pPr>
      <w:r w:rsidRPr="00432F17">
        <w:rPr>
          <w:rFonts w:eastAsia="MS Gothic"/>
          <w:noProof/>
        </w:rPr>
        <w:instrText>FPG</w:instrText>
      </w:r>
      <w:r>
        <w:rPr>
          <w:noProof/>
        </w:rPr>
        <w:instrText>:</w:instrText>
      </w:r>
      <w:r>
        <w:rPr>
          <w:noProof/>
        </w:rPr>
        <w:tab/>
      </w:r>
      <w:r w:rsidRPr="00432F17">
        <w:rPr>
          <w:rFonts w:eastAsia="MS Gothic"/>
          <w:noProof/>
        </w:rPr>
        <w:instrText>fasting plasma glucose</w:instrText>
      </w:r>
    </w:p>
    <w:p w:rsidR="005A26F6" w:rsidRDefault="005A26F6">
      <w:pPr>
        <w:pStyle w:val="Index1"/>
        <w:tabs>
          <w:tab w:val="right" w:leader="dot" w:pos="9460"/>
        </w:tabs>
        <w:rPr>
          <w:noProof/>
        </w:rPr>
      </w:pPr>
      <w:r w:rsidRPr="00432F17">
        <w:rPr>
          <w:noProof/>
        </w:rPr>
        <w:instrText>FRC</w:instrText>
      </w:r>
      <w:r>
        <w:rPr>
          <w:noProof/>
        </w:rPr>
        <w:instrText>:</w:instrText>
      </w:r>
      <w:r>
        <w:rPr>
          <w:noProof/>
        </w:rPr>
        <w:tab/>
      </w:r>
      <w:r w:rsidRPr="00432F17">
        <w:rPr>
          <w:noProof/>
        </w:rPr>
        <w:instrText>fixed Ratio Combination</w:instrText>
      </w:r>
    </w:p>
    <w:p w:rsidR="005A26F6" w:rsidRDefault="005A26F6">
      <w:pPr>
        <w:pStyle w:val="Index1"/>
        <w:tabs>
          <w:tab w:val="right" w:leader="dot" w:pos="9460"/>
        </w:tabs>
        <w:rPr>
          <w:noProof/>
        </w:rPr>
      </w:pPr>
      <w:r>
        <w:rPr>
          <w:noProof/>
        </w:rPr>
        <w:instrText>GCP:</w:instrText>
      </w:r>
      <w:r>
        <w:rPr>
          <w:noProof/>
        </w:rPr>
        <w:tab/>
        <w:instrText>good clinical practice</w:instrText>
      </w:r>
    </w:p>
    <w:p w:rsidR="005A26F6" w:rsidRDefault="005A26F6">
      <w:pPr>
        <w:pStyle w:val="Index1"/>
        <w:tabs>
          <w:tab w:val="right" w:leader="dot" w:pos="9460"/>
        </w:tabs>
        <w:rPr>
          <w:noProof/>
        </w:rPr>
      </w:pPr>
      <w:r w:rsidRPr="00432F17">
        <w:rPr>
          <w:rFonts w:eastAsia="MS Gothic"/>
          <w:noProof/>
        </w:rPr>
        <w:instrText>GFR</w:instrText>
      </w:r>
      <w:r>
        <w:rPr>
          <w:noProof/>
        </w:rPr>
        <w:instrText>:</w:instrText>
      </w:r>
      <w:r>
        <w:rPr>
          <w:noProof/>
        </w:rPr>
        <w:tab/>
      </w:r>
      <w:r w:rsidRPr="00432F17">
        <w:rPr>
          <w:rFonts w:eastAsia="MS Gothic"/>
          <w:noProof/>
        </w:rPr>
        <w:instrText>glomerular filtration rate</w:instrText>
      </w:r>
    </w:p>
    <w:p w:rsidR="005A26F6" w:rsidRDefault="005A26F6">
      <w:pPr>
        <w:pStyle w:val="Index1"/>
        <w:tabs>
          <w:tab w:val="right" w:leader="dot" w:pos="9460"/>
        </w:tabs>
        <w:rPr>
          <w:noProof/>
        </w:rPr>
      </w:pPr>
      <w:r>
        <w:rPr>
          <w:noProof/>
        </w:rPr>
        <w:instrText>GLP-1 RA:</w:instrText>
      </w:r>
      <w:r>
        <w:rPr>
          <w:noProof/>
        </w:rPr>
        <w:tab/>
        <w:instrText>glucagon-like peptide-1 receptor agonist</w:instrText>
      </w:r>
    </w:p>
    <w:p w:rsidR="005A26F6" w:rsidRDefault="005A26F6">
      <w:pPr>
        <w:pStyle w:val="Index1"/>
        <w:tabs>
          <w:tab w:val="right" w:leader="dot" w:pos="9460"/>
        </w:tabs>
        <w:rPr>
          <w:noProof/>
        </w:rPr>
      </w:pPr>
      <w:r>
        <w:rPr>
          <w:noProof/>
        </w:rPr>
        <w:instrText>HbA1c:</w:instrText>
      </w:r>
      <w:r>
        <w:rPr>
          <w:noProof/>
        </w:rPr>
        <w:tab/>
        <w:instrText>hemoglobin A1c</w:instrText>
      </w:r>
    </w:p>
    <w:p w:rsidR="005A26F6" w:rsidRDefault="005A26F6">
      <w:pPr>
        <w:pStyle w:val="Index1"/>
        <w:tabs>
          <w:tab w:val="right" w:leader="dot" w:pos="9460"/>
        </w:tabs>
        <w:rPr>
          <w:noProof/>
        </w:rPr>
      </w:pPr>
      <w:r>
        <w:rPr>
          <w:noProof/>
        </w:rPr>
        <w:instrText>HDL:</w:instrText>
      </w:r>
      <w:r>
        <w:rPr>
          <w:noProof/>
        </w:rPr>
        <w:tab/>
        <w:instrText>high density lipoprotein</w:instrText>
      </w:r>
    </w:p>
    <w:p w:rsidR="005A26F6" w:rsidRDefault="005A26F6">
      <w:pPr>
        <w:pStyle w:val="Index1"/>
        <w:tabs>
          <w:tab w:val="right" w:leader="dot" w:pos="9460"/>
        </w:tabs>
        <w:rPr>
          <w:noProof/>
        </w:rPr>
      </w:pPr>
      <w:r>
        <w:rPr>
          <w:noProof/>
        </w:rPr>
        <w:instrText>HLGT:</w:instrText>
      </w:r>
      <w:r>
        <w:rPr>
          <w:noProof/>
        </w:rPr>
        <w:tab/>
        <w:instrText>high level group term</w:instrText>
      </w:r>
    </w:p>
    <w:p w:rsidR="005A26F6" w:rsidRDefault="005A26F6">
      <w:pPr>
        <w:pStyle w:val="Index1"/>
        <w:tabs>
          <w:tab w:val="right" w:leader="dot" w:pos="9460"/>
        </w:tabs>
        <w:rPr>
          <w:noProof/>
        </w:rPr>
      </w:pPr>
      <w:r>
        <w:rPr>
          <w:noProof/>
        </w:rPr>
        <w:instrText>HLT:</w:instrText>
      </w:r>
      <w:r>
        <w:rPr>
          <w:noProof/>
        </w:rPr>
        <w:tab/>
        <w:instrText>high level term</w:instrText>
      </w:r>
    </w:p>
    <w:p w:rsidR="005A26F6" w:rsidRDefault="005A26F6">
      <w:pPr>
        <w:pStyle w:val="Index1"/>
        <w:tabs>
          <w:tab w:val="right" w:leader="dot" w:pos="9460"/>
        </w:tabs>
        <w:rPr>
          <w:noProof/>
        </w:rPr>
      </w:pPr>
      <w:r>
        <w:rPr>
          <w:noProof/>
        </w:rPr>
        <w:instrText>ICH:</w:instrText>
      </w:r>
      <w:r>
        <w:rPr>
          <w:noProof/>
        </w:rPr>
        <w:tab/>
        <w:instrText>International Conference on Harmonization</w:instrText>
      </w:r>
    </w:p>
    <w:p w:rsidR="005A26F6" w:rsidRDefault="005A26F6">
      <w:pPr>
        <w:pStyle w:val="Index1"/>
        <w:tabs>
          <w:tab w:val="right" w:leader="dot" w:pos="9460"/>
        </w:tabs>
        <w:rPr>
          <w:noProof/>
        </w:rPr>
      </w:pPr>
      <w:r>
        <w:rPr>
          <w:noProof/>
        </w:rPr>
        <w:instrText>IEC:</w:instrText>
      </w:r>
      <w:r>
        <w:rPr>
          <w:noProof/>
        </w:rPr>
        <w:tab/>
        <w:instrText>independent ethics committee</w:instrText>
      </w:r>
    </w:p>
    <w:p w:rsidR="005A26F6" w:rsidRDefault="005A26F6">
      <w:pPr>
        <w:pStyle w:val="Index1"/>
        <w:tabs>
          <w:tab w:val="right" w:leader="dot" w:pos="9460"/>
        </w:tabs>
        <w:rPr>
          <w:noProof/>
        </w:rPr>
      </w:pPr>
      <w:r>
        <w:rPr>
          <w:noProof/>
        </w:rPr>
        <w:instrText>IgM:</w:instrText>
      </w:r>
      <w:r>
        <w:rPr>
          <w:noProof/>
        </w:rPr>
        <w:tab/>
        <w:instrText>immunoglobulin M</w:instrText>
      </w:r>
    </w:p>
    <w:p w:rsidR="005A26F6" w:rsidRDefault="005A26F6">
      <w:pPr>
        <w:pStyle w:val="Index1"/>
        <w:tabs>
          <w:tab w:val="right" w:leader="dot" w:pos="9460"/>
        </w:tabs>
        <w:rPr>
          <w:noProof/>
        </w:rPr>
      </w:pPr>
      <w:r>
        <w:rPr>
          <w:noProof/>
        </w:rPr>
        <w:instrText>IMP:</w:instrText>
      </w:r>
      <w:r>
        <w:rPr>
          <w:noProof/>
        </w:rPr>
        <w:tab/>
        <w:instrText>investigational medicinal product</w:instrText>
      </w:r>
    </w:p>
    <w:p w:rsidR="005A26F6" w:rsidRDefault="005A26F6">
      <w:pPr>
        <w:pStyle w:val="Index1"/>
        <w:tabs>
          <w:tab w:val="right" w:leader="dot" w:pos="9460"/>
        </w:tabs>
        <w:rPr>
          <w:noProof/>
        </w:rPr>
      </w:pPr>
      <w:r>
        <w:rPr>
          <w:noProof/>
        </w:rPr>
        <w:instrText>IRB:</w:instrText>
      </w:r>
      <w:r>
        <w:rPr>
          <w:noProof/>
        </w:rPr>
        <w:tab/>
        <w:instrText>institutional review board</w:instrText>
      </w:r>
    </w:p>
    <w:p w:rsidR="005A26F6" w:rsidRDefault="005A26F6">
      <w:pPr>
        <w:pStyle w:val="Index1"/>
        <w:tabs>
          <w:tab w:val="right" w:leader="dot" w:pos="9460"/>
        </w:tabs>
        <w:rPr>
          <w:noProof/>
        </w:rPr>
      </w:pPr>
      <w:r w:rsidRPr="00432F17">
        <w:rPr>
          <w:rFonts w:cs="Arial"/>
          <w:noProof/>
        </w:rPr>
        <w:instrText>ITT</w:instrText>
      </w:r>
      <w:r>
        <w:rPr>
          <w:noProof/>
        </w:rPr>
        <w:instrText>:</w:instrText>
      </w:r>
      <w:r>
        <w:rPr>
          <w:noProof/>
        </w:rPr>
        <w:tab/>
      </w:r>
      <w:r w:rsidRPr="00432F17">
        <w:rPr>
          <w:rFonts w:cs="Arial"/>
          <w:noProof/>
        </w:rPr>
        <w:instrText>intent-to-treat</w:instrText>
      </w:r>
    </w:p>
    <w:p w:rsidR="005A26F6" w:rsidRDefault="005A26F6">
      <w:pPr>
        <w:pStyle w:val="Index1"/>
        <w:tabs>
          <w:tab w:val="right" w:leader="dot" w:pos="9460"/>
        </w:tabs>
        <w:rPr>
          <w:noProof/>
        </w:rPr>
      </w:pPr>
      <w:r w:rsidRPr="00432F17">
        <w:rPr>
          <w:noProof/>
        </w:rPr>
        <w:instrText>IVRS/IWRS</w:instrText>
      </w:r>
      <w:r>
        <w:rPr>
          <w:noProof/>
        </w:rPr>
        <w:instrText>:</w:instrText>
      </w:r>
      <w:r>
        <w:rPr>
          <w:noProof/>
        </w:rPr>
        <w:tab/>
      </w:r>
      <w:r w:rsidRPr="00432F17">
        <w:rPr>
          <w:noProof/>
        </w:rPr>
        <w:instrText>interactive voice/web response system</w:instrText>
      </w:r>
    </w:p>
    <w:p w:rsidR="005A26F6" w:rsidRDefault="005A26F6">
      <w:pPr>
        <w:pStyle w:val="Index1"/>
        <w:tabs>
          <w:tab w:val="right" w:leader="dot" w:pos="9460"/>
        </w:tabs>
        <w:rPr>
          <w:noProof/>
        </w:rPr>
      </w:pPr>
      <w:r>
        <w:rPr>
          <w:noProof/>
        </w:rPr>
        <w:instrText>LDL:</w:instrText>
      </w:r>
      <w:r>
        <w:rPr>
          <w:noProof/>
        </w:rPr>
        <w:tab/>
        <w:instrText>low density lipoprotein</w:instrText>
      </w:r>
    </w:p>
    <w:p w:rsidR="005A26F6" w:rsidRDefault="005A26F6">
      <w:pPr>
        <w:pStyle w:val="Index1"/>
        <w:tabs>
          <w:tab w:val="right" w:leader="dot" w:pos="9460"/>
        </w:tabs>
        <w:rPr>
          <w:noProof/>
        </w:rPr>
      </w:pPr>
      <w:r>
        <w:rPr>
          <w:noProof/>
        </w:rPr>
        <w:instrText>LOCF:</w:instrText>
      </w:r>
      <w:r>
        <w:rPr>
          <w:noProof/>
        </w:rPr>
        <w:tab/>
        <w:instrText>last observation carried forward</w:instrText>
      </w:r>
    </w:p>
    <w:p w:rsidR="005A26F6" w:rsidRDefault="005A26F6">
      <w:pPr>
        <w:pStyle w:val="Index1"/>
        <w:tabs>
          <w:tab w:val="right" w:leader="dot" w:pos="9460"/>
        </w:tabs>
        <w:rPr>
          <w:noProof/>
        </w:rPr>
      </w:pPr>
      <w:r w:rsidRPr="00432F17">
        <w:rPr>
          <w:noProof/>
        </w:rPr>
        <w:instrText>mITT</w:instrText>
      </w:r>
      <w:r>
        <w:rPr>
          <w:noProof/>
        </w:rPr>
        <w:instrText>:</w:instrText>
      </w:r>
      <w:r>
        <w:rPr>
          <w:noProof/>
        </w:rPr>
        <w:tab/>
      </w:r>
      <w:r w:rsidRPr="00432F17">
        <w:rPr>
          <w:noProof/>
        </w:rPr>
        <w:instrText>modified intent-to-treat</w:instrText>
      </w:r>
    </w:p>
    <w:p w:rsidR="005A26F6" w:rsidRDefault="005A26F6">
      <w:pPr>
        <w:pStyle w:val="Index1"/>
        <w:tabs>
          <w:tab w:val="right" w:leader="dot" w:pos="9460"/>
        </w:tabs>
        <w:rPr>
          <w:noProof/>
        </w:rPr>
      </w:pPr>
      <w:r w:rsidRPr="00432F17">
        <w:rPr>
          <w:noProof/>
        </w:rPr>
        <w:instrText>MMRM</w:instrText>
      </w:r>
      <w:r>
        <w:rPr>
          <w:noProof/>
        </w:rPr>
        <w:instrText>:</w:instrText>
      </w:r>
      <w:r>
        <w:rPr>
          <w:noProof/>
        </w:rPr>
        <w:tab/>
      </w:r>
      <w:r w:rsidRPr="00432F17">
        <w:rPr>
          <w:noProof/>
        </w:rPr>
        <w:instrText>mixed-effect model with repeated measures</w:instrText>
      </w:r>
    </w:p>
    <w:p w:rsidR="005A26F6" w:rsidRDefault="005A26F6">
      <w:pPr>
        <w:pStyle w:val="Index1"/>
        <w:tabs>
          <w:tab w:val="right" w:leader="dot" w:pos="9460"/>
        </w:tabs>
        <w:rPr>
          <w:noProof/>
        </w:rPr>
      </w:pPr>
      <w:r w:rsidRPr="00432F17">
        <w:rPr>
          <w:rFonts w:eastAsia="MS Gothic"/>
          <w:noProof/>
        </w:rPr>
        <w:instrText>MTC</w:instrText>
      </w:r>
      <w:r>
        <w:rPr>
          <w:noProof/>
        </w:rPr>
        <w:instrText>:</w:instrText>
      </w:r>
      <w:r>
        <w:rPr>
          <w:noProof/>
        </w:rPr>
        <w:tab/>
      </w:r>
      <w:r w:rsidRPr="00432F17">
        <w:rPr>
          <w:rFonts w:eastAsia="MS Gothic"/>
          <w:noProof/>
        </w:rPr>
        <w:instrText>medullary thyroid cancer</w:instrText>
      </w:r>
    </w:p>
    <w:p w:rsidR="005A26F6" w:rsidRDefault="005A26F6">
      <w:pPr>
        <w:pStyle w:val="Index1"/>
        <w:tabs>
          <w:tab w:val="right" w:leader="dot" w:pos="9460"/>
        </w:tabs>
        <w:rPr>
          <w:noProof/>
        </w:rPr>
      </w:pPr>
      <w:r w:rsidRPr="00432F17">
        <w:rPr>
          <w:rFonts w:eastAsia="MS Gothic"/>
          <w:noProof/>
        </w:rPr>
        <w:instrText>MTD</w:instrText>
      </w:r>
      <w:r>
        <w:rPr>
          <w:noProof/>
        </w:rPr>
        <w:instrText>:</w:instrText>
      </w:r>
      <w:r>
        <w:rPr>
          <w:noProof/>
        </w:rPr>
        <w:tab/>
      </w:r>
      <w:r w:rsidRPr="00432F17">
        <w:rPr>
          <w:rFonts w:eastAsia="MS Gothic"/>
          <w:noProof/>
        </w:rPr>
        <w:instrText>maximum tolerated dose</w:instrText>
      </w:r>
    </w:p>
    <w:p w:rsidR="005A26F6" w:rsidRDefault="005A26F6">
      <w:pPr>
        <w:pStyle w:val="Index1"/>
        <w:tabs>
          <w:tab w:val="right" w:leader="dot" w:pos="9460"/>
        </w:tabs>
        <w:rPr>
          <w:noProof/>
        </w:rPr>
      </w:pPr>
      <w:r>
        <w:rPr>
          <w:noProof/>
        </w:rPr>
        <w:instrText>NIMP:</w:instrText>
      </w:r>
      <w:r>
        <w:rPr>
          <w:noProof/>
        </w:rPr>
        <w:tab/>
        <w:instrText>noninvestigational medicinal product</w:instrText>
      </w:r>
    </w:p>
    <w:p w:rsidR="005A26F6" w:rsidRDefault="005A26F6">
      <w:pPr>
        <w:pStyle w:val="Index1"/>
        <w:tabs>
          <w:tab w:val="right" w:leader="dot" w:pos="9460"/>
        </w:tabs>
        <w:rPr>
          <w:noProof/>
        </w:rPr>
      </w:pPr>
      <w:r w:rsidRPr="00432F17">
        <w:rPr>
          <w:rFonts w:eastAsia="MS Gothic"/>
          <w:noProof/>
        </w:rPr>
        <w:instrText>OAD</w:instrText>
      </w:r>
      <w:r>
        <w:rPr>
          <w:noProof/>
        </w:rPr>
        <w:instrText>:</w:instrText>
      </w:r>
      <w:r>
        <w:rPr>
          <w:noProof/>
        </w:rPr>
        <w:tab/>
      </w:r>
      <w:r w:rsidRPr="00432F17">
        <w:rPr>
          <w:rFonts w:eastAsia="MS Gothic"/>
          <w:noProof/>
        </w:rPr>
        <w:instrText>oral anti-diabetic drug</w:instrText>
      </w:r>
    </w:p>
    <w:p w:rsidR="005A26F6" w:rsidRDefault="005A26F6">
      <w:pPr>
        <w:pStyle w:val="Index1"/>
        <w:tabs>
          <w:tab w:val="right" w:leader="dot" w:pos="9460"/>
        </w:tabs>
        <w:rPr>
          <w:noProof/>
        </w:rPr>
      </w:pPr>
      <w:r>
        <w:rPr>
          <w:noProof/>
        </w:rPr>
        <w:instrText>PCSA:</w:instrText>
      </w:r>
      <w:r>
        <w:rPr>
          <w:noProof/>
        </w:rPr>
        <w:tab/>
        <w:instrText>potentially clinically significant abnormality</w:instrText>
      </w:r>
    </w:p>
    <w:p w:rsidR="005A26F6" w:rsidRDefault="005A26F6">
      <w:pPr>
        <w:pStyle w:val="Index1"/>
        <w:tabs>
          <w:tab w:val="right" w:leader="dot" w:pos="9460"/>
        </w:tabs>
        <w:rPr>
          <w:noProof/>
        </w:rPr>
      </w:pPr>
      <w:r>
        <w:rPr>
          <w:noProof/>
        </w:rPr>
        <w:instrText>PI:</w:instrText>
      </w:r>
      <w:r>
        <w:rPr>
          <w:noProof/>
        </w:rPr>
        <w:tab/>
        <w:instrText>prescribing information</w:instrText>
      </w:r>
    </w:p>
    <w:p w:rsidR="005A26F6" w:rsidRDefault="005A26F6">
      <w:pPr>
        <w:pStyle w:val="Index1"/>
        <w:tabs>
          <w:tab w:val="right" w:leader="dot" w:pos="9460"/>
        </w:tabs>
        <w:rPr>
          <w:noProof/>
        </w:rPr>
      </w:pPr>
      <w:r w:rsidRPr="00432F17">
        <w:rPr>
          <w:rFonts w:eastAsia="MS Gothic"/>
          <w:noProof/>
        </w:rPr>
        <w:instrText>PPG</w:instrText>
      </w:r>
      <w:r>
        <w:rPr>
          <w:noProof/>
        </w:rPr>
        <w:instrText>:</w:instrText>
      </w:r>
      <w:r>
        <w:rPr>
          <w:noProof/>
        </w:rPr>
        <w:tab/>
      </w:r>
      <w:r w:rsidRPr="00432F17">
        <w:rPr>
          <w:rFonts w:eastAsia="MS Gothic"/>
          <w:noProof/>
        </w:rPr>
        <w:instrText>post-prandial plasma glucose</w:instrText>
      </w:r>
    </w:p>
    <w:p w:rsidR="005A26F6" w:rsidRDefault="005A26F6">
      <w:pPr>
        <w:pStyle w:val="Index1"/>
        <w:tabs>
          <w:tab w:val="right" w:leader="dot" w:pos="9460"/>
        </w:tabs>
        <w:rPr>
          <w:noProof/>
        </w:rPr>
      </w:pPr>
      <w:r w:rsidRPr="00432F17">
        <w:rPr>
          <w:rFonts w:eastAsia="MS Gothic"/>
          <w:noProof/>
        </w:rPr>
        <w:instrText>PRE</w:instrText>
      </w:r>
      <w:r>
        <w:rPr>
          <w:noProof/>
        </w:rPr>
        <w:instrText>:</w:instrText>
      </w:r>
      <w:r>
        <w:rPr>
          <w:noProof/>
        </w:rPr>
        <w:tab/>
      </w:r>
      <w:r w:rsidRPr="00432F17">
        <w:rPr>
          <w:rFonts w:eastAsia="MS Gothic"/>
          <w:noProof/>
        </w:rPr>
        <w:instrText>pen-related event</w:instrText>
      </w:r>
    </w:p>
    <w:p w:rsidR="005A26F6" w:rsidRDefault="005A26F6">
      <w:pPr>
        <w:pStyle w:val="Index1"/>
        <w:tabs>
          <w:tab w:val="right" w:leader="dot" w:pos="9460"/>
        </w:tabs>
        <w:rPr>
          <w:noProof/>
        </w:rPr>
      </w:pPr>
      <w:r>
        <w:rPr>
          <w:noProof/>
        </w:rPr>
        <w:instrText>PREQ:</w:instrText>
      </w:r>
      <w:r>
        <w:rPr>
          <w:noProof/>
        </w:rPr>
        <w:tab/>
        <w:instrText>pen-related event questionnaire</w:instrText>
      </w:r>
    </w:p>
    <w:p w:rsidR="005A26F6" w:rsidRDefault="005A26F6">
      <w:pPr>
        <w:pStyle w:val="Index1"/>
        <w:tabs>
          <w:tab w:val="right" w:leader="dot" w:pos="9460"/>
        </w:tabs>
        <w:rPr>
          <w:noProof/>
        </w:rPr>
      </w:pPr>
      <w:r w:rsidRPr="00432F17">
        <w:rPr>
          <w:noProof/>
        </w:rPr>
        <w:instrText>PSAC</w:instrText>
      </w:r>
      <w:r>
        <w:rPr>
          <w:noProof/>
        </w:rPr>
        <w:instrText>:</w:instrText>
      </w:r>
      <w:r>
        <w:rPr>
          <w:noProof/>
        </w:rPr>
        <w:tab/>
      </w:r>
      <w:r w:rsidRPr="00432F17">
        <w:rPr>
          <w:noProof/>
        </w:rPr>
        <w:instrText>pancreatic safety assessment committee</w:instrText>
      </w:r>
    </w:p>
    <w:p w:rsidR="005A26F6" w:rsidRDefault="005A26F6">
      <w:pPr>
        <w:pStyle w:val="Index1"/>
        <w:tabs>
          <w:tab w:val="right" w:leader="dot" w:pos="9460"/>
        </w:tabs>
        <w:rPr>
          <w:noProof/>
        </w:rPr>
      </w:pPr>
      <w:r>
        <w:rPr>
          <w:noProof/>
        </w:rPr>
        <w:instrText>PT:</w:instrText>
      </w:r>
      <w:r>
        <w:rPr>
          <w:noProof/>
        </w:rPr>
        <w:tab/>
        <w:instrText>preferred term</w:instrText>
      </w:r>
    </w:p>
    <w:p w:rsidR="005A26F6" w:rsidRDefault="005A26F6">
      <w:pPr>
        <w:pStyle w:val="Index1"/>
        <w:tabs>
          <w:tab w:val="right" w:leader="dot" w:pos="9460"/>
        </w:tabs>
        <w:rPr>
          <w:noProof/>
        </w:rPr>
      </w:pPr>
      <w:r>
        <w:rPr>
          <w:noProof/>
        </w:rPr>
        <w:instrText>PTC:</w:instrText>
      </w:r>
      <w:r>
        <w:rPr>
          <w:noProof/>
        </w:rPr>
        <w:tab/>
        <w:instrText>product technical complaint</w:instrText>
      </w:r>
    </w:p>
    <w:p w:rsidR="005A26F6" w:rsidRDefault="005A26F6">
      <w:pPr>
        <w:pStyle w:val="Index1"/>
        <w:tabs>
          <w:tab w:val="right" w:leader="dot" w:pos="9460"/>
        </w:tabs>
        <w:rPr>
          <w:noProof/>
        </w:rPr>
      </w:pPr>
      <w:r w:rsidRPr="00432F17">
        <w:rPr>
          <w:rFonts w:eastAsia="MS Gothic"/>
          <w:noProof/>
        </w:rPr>
        <w:instrText>QD</w:instrText>
      </w:r>
      <w:r>
        <w:rPr>
          <w:noProof/>
        </w:rPr>
        <w:instrText>:</w:instrText>
      </w:r>
      <w:r>
        <w:rPr>
          <w:noProof/>
        </w:rPr>
        <w:tab/>
      </w:r>
      <w:r w:rsidRPr="00432F17">
        <w:rPr>
          <w:rFonts w:eastAsia="MS Gothic"/>
          <w:noProof/>
        </w:rPr>
        <w:instrText>quague die = once daily</w:instrText>
      </w:r>
    </w:p>
    <w:p w:rsidR="005A26F6" w:rsidRDefault="005A26F6">
      <w:pPr>
        <w:pStyle w:val="Index1"/>
        <w:tabs>
          <w:tab w:val="right" w:leader="dot" w:pos="9460"/>
        </w:tabs>
        <w:rPr>
          <w:noProof/>
        </w:rPr>
      </w:pPr>
      <w:r w:rsidRPr="00432F17">
        <w:rPr>
          <w:rFonts w:eastAsia="MS Gothic"/>
          <w:noProof/>
        </w:rPr>
        <w:instrText>QW</w:instrText>
      </w:r>
      <w:r>
        <w:rPr>
          <w:noProof/>
        </w:rPr>
        <w:instrText>:</w:instrText>
      </w:r>
      <w:r>
        <w:rPr>
          <w:noProof/>
        </w:rPr>
        <w:tab/>
      </w:r>
      <w:r w:rsidRPr="00432F17">
        <w:rPr>
          <w:rFonts w:eastAsia="MS Gothic"/>
          <w:noProof/>
        </w:rPr>
        <w:instrText>once weekly</w:instrText>
      </w:r>
    </w:p>
    <w:p w:rsidR="005A26F6" w:rsidRDefault="005A26F6">
      <w:pPr>
        <w:pStyle w:val="Index1"/>
        <w:tabs>
          <w:tab w:val="right" w:leader="dot" w:pos="9460"/>
        </w:tabs>
        <w:rPr>
          <w:noProof/>
        </w:rPr>
      </w:pPr>
      <w:r>
        <w:rPr>
          <w:noProof/>
        </w:rPr>
        <w:instrText>SAE:</w:instrText>
      </w:r>
      <w:r>
        <w:rPr>
          <w:noProof/>
        </w:rPr>
        <w:tab/>
        <w:instrText>serious adverse event</w:instrText>
      </w:r>
    </w:p>
    <w:p w:rsidR="005A26F6" w:rsidRDefault="005A26F6">
      <w:pPr>
        <w:pStyle w:val="Index1"/>
        <w:tabs>
          <w:tab w:val="right" w:leader="dot" w:pos="9460"/>
        </w:tabs>
        <w:rPr>
          <w:noProof/>
        </w:rPr>
      </w:pPr>
      <w:r w:rsidRPr="00432F17">
        <w:rPr>
          <w:noProof/>
        </w:rPr>
        <w:instrText>SAS</w:instrText>
      </w:r>
      <w:r>
        <w:rPr>
          <w:noProof/>
        </w:rPr>
        <w:instrText>:</w:instrText>
      </w:r>
      <w:r>
        <w:rPr>
          <w:noProof/>
        </w:rPr>
        <w:tab/>
      </w:r>
      <w:r w:rsidRPr="00432F17">
        <w:rPr>
          <w:noProof/>
        </w:rPr>
        <w:instrText>statistical analysis system</w:instrText>
      </w:r>
    </w:p>
    <w:p w:rsidR="005A26F6" w:rsidRDefault="005A26F6">
      <w:pPr>
        <w:pStyle w:val="Index1"/>
        <w:tabs>
          <w:tab w:val="right" w:leader="dot" w:pos="9460"/>
        </w:tabs>
        <w:rPr>
          <w:noProof/>
        </w:rPr>
      </w:pPr>
      <w:r>
        <w:rPr>
          <w:noProof/>
        </w:rPr>
        <w:instrText>SC:</w:instrText>
      </w:r>
      <w:r>
        <w:rPr>
          <w:noProof/>
        </w:rPr>
        <w:tab/>
        <w:instrText>subcutaneous</w:instrText>
      </w:r>
    </w:p>
    <w:p w:rsidR="005A26F6" w:rsidRDefault="005A26F6">
      <w:pPr>
        <w:pStyle w:val="Index1"/>
        <w:tabs>
          <w:tab w:val="right" w:leader="dot" w:pos="9460"/>
        </w:tabs>
        <w:rPr>
          <w:noProof/>
        </w:rPr>
      </w:pPr>
      <w:r>
        <w:rPr>
          <w:noProof/>
        </w:rPr>
        <w:instrText>SD:</w:instrText>
      </w:r>
      <w:r>
        <w:rPr>
          <w:noProof/>
        </w:rPr>
        <w:tab/>
        <w:instrText>standard deviation</w:instrText>
      </w:r>
    </w:p>
    <w:p w:rsidR="005A26F6" w:rsidRDefault="005A26F6">
      <w:pPr>
        <w:pStyle w:val="Index1"/>
        <w:tabs>
          <w:tab w:val="right" w:leader="dot" w:pos="9460"/>
        </w:tabs>
        <w:rPr>
          <w:noProof/>
        </w:rPr>
      </w:pPr>
      <w:r>
        <w:rPr>
          <w:noProof/>
        </w:rPr>
        <w:instrText>SmPC:</w:instrText>
      </w:r>
      <w:r>
        <w:rPr>
          <w:noProof/>
        </w:rPr>
        <w:tab/>
        <w:instrText>summary of product characteristics</w:instrText>
      </w:r>
    </w:p>
    <w:p w:rsidR="005A26F6" w:rsidRDefault="005A26F6">
      <w:pPr>
        <w:pStyle w:val="Index1"/>
        <w:tabs>
          <w:tab w:val="right" w:leader="dot" w:pos="9460"/>
        </w:tabs>
        <w:rPr>
          <w:noProof/>
        </w:rPr>
      </w:pPr>
      <w:r w:rsidRPr="00432F17">
        <w:rPr>
          <w:rFonts w:eastAsia="MS Gothic"/>
          <w:noProof/>
        </w:rPr>
        <w:instrText>SMPG</w:instrText>
      </w:r>
      <w:r>
        <w:rPr>
          <w:noProof/>
        </w:rPr>
        <w:instrText>:</w:instrText>
      </w:r>
      <w:r>
        <w:rPr>
          <w:noProof/>
        </w:rPr>
        <w:tab/>
      </w:r>
      <w:r w:rsidRPr="00432F17">
        <w:rPr>
          <w:rFonts w:eastAsia="MS Gothic"/>
          <w:noProof/>
        </w:rPr>
        <w:instrText>self-monitored plasma glucose</w:instrText>
      </w:r>
    </w:p>
    <w:p w:rsidR="005A26F6" w:rsidRDefault="005A26F6">
      <w:pPr>
        <w:pStyle w:val="Index1"/>
        <w:tabs>
          <w:tab w:val="right" w:leader="dot" w:pos="9460"/>
        </w:tabs>
        <w:rPr>
          <w:noProof/>
        </w:rPr>
      </w:pPr>
      <w:r>
        <w:rPr>
          <w:noProof/>
        </w:rPr>
        <w:instrText>SOC:</w:instrText>
      </w:r>
      <w:r>
        <w:rPr>
          <w:noProof/>
        </w:rPr>
        <w:tab/>
        <w:instrText>system organ class</w:instrText>
      </w:r>
    </w:p>
    <w:p w:rsidR="005A26F6" w:rsidRDefault="005A26F6">
      <w:pPr>
        <w:pStyle w:val="Index1"/>
        <w:tabs>
          <w:tab w:val="right" w:leader="dot" w:pos="9460"/>
        </w:tabs>
        <w:rPr>
          <w:noProof/>
        </w:rPr>
      </w:pPr>
      <w:r>
        <w:rPr>
          <w:noProof/>
        </w:rPr>
        <w:instrText>TEAE:</w:instrText>
      </w:r>
      <w:r>
        <w:rPr>
          <w:noProof/>
        </w:rPr>
        <w:tab/>
        <w:instrText>treatment-emergent adverse event</w:instrText>
      </w:r>
    </w:p>
    <w:p w:rsidR="005A26F6" w:rsidRDefault="005A26F6">
      <w:pPr>
        <w:pStyle w:val="Index1"/>
        <w:tabs>
          <w:tab w:val="right" w:leader="dot" w:pos="9460"/>
        </w:tabs>
        <w:rPr>
          <w:noProof/>
        </w:rPr>
      </w:pPr>
      <w:r w:rsidRPr="00432F17">
        <w:rPr>
          <w:rFonts w:eastAsia="MS Gothic"/>
          <w:noProof/>
        </w:rPr>
        <w:instrText>ULN</w:instrText>
      </w:r>
      <w:r>
        <w:rPr>
          <w:noProof/>
        </w:rPr>
        <w:instrText>:</w:instrText>
      </w:r>
      <w:r>
        <w:rPr>
          <w:noProof/>
        </w:rPr>
        <w:tab/>
      </w:r>
      <w:r w:rsidRPr="00432F17">
        <w:rPr>
          <w:rFonts w:eastAsia="MS Gothic"/>
          <w:noProof/>
        </w:rPr>
        <w:instrText>upper limit of normal range</w:instrText>
      </w:r>
    </w:p>
    <w:p w:rsidR="005A26F6" w:rsidRDefault="005A26F6">
      <w:pPr>
        <w:pStyle w:val="Index1"/>
        <w:tabs>
          <w:tab w:val="right" w:leader="dot" w:pos="9460"/>
        </w:tabs>
        <w:rPr>
          <w:noProof/>
        </w:rPr>
      </w:pPr>
      <w:r>
        <w:rPr>
          <w:noProof/>
        </w:rPr>
        <w:instrText>WHO-DD:</w:instrText>
      </w:r>
      <w:r>
        <w:rPr>
          <w:noProof/>
        </w:rPr>
        <w:tab/>
        <w:instrText>World Health Organization - Drug Dictionary</w:instrText>
      </w:r>
    </w:p>
    <w:p w:rsidR="005A26F6" w:rsidRDefault="00942434" w:rsidP="00942434">
      <w:pPr>
        <w:rPr>
          <w:noProof/>
        </w:rPr>
      </w:pPr>
      <w:r>
        <w:fldChar w:fldCharType="end"/>
      </w:r>
      <w:r>
        <w:instrText xml:space="preserve"> = "</w:instrText>
      </w:r>
      <w:r>
        <w:rPr>
          <w:rFonts w:ascii="MS Mincho" w:hAnsi="MS Mincho" w:cs="MS Mincho" w:hint="eastAsia"/>
        </w:rPr>
        <w:instrText>エラー</w:instrText>
      </w:r>
      <w:r>
        <w:instrText xml:space="preserve">!*" "(No abbreviations defined yet)" </w:instrText>
      </w:r>
      <w:r>
        <w:fldChar w:fldCharType="begin"/>
      </w:r>
      <w:r>
        <w:instrText xml:space="preserve"> INDEX \r \e ":</w:instrText>
      </w:r>
      <w:r>
        <w:tab/>
        <w:instrText xml:space="preserve">" \f Abbreviation </w:instrText>
      </w:r>
      <w:r>
        <w:fldChar w:fldCharType="separate"/>
      </w:r>
    </w:p>
    <w:p w:rsidR="005A26F6" w:rsidRDefault="005A26F6">
      <w:pPr>
        <w:pStyle w:val="Index1"/>
        <w:tabs>
          <w:tab w:val="right" w:leader="dot" w:pos="9460"/>
        </w:tabs>
        <w:rPr>
          <w:noProof/>
        </w:rPr>
      </w:pPr>
      <w:r>
        <w:rPr>
          <w:noProof/>
        </w:rPr>
        <w:instrText>ADA:</w:instrText>
      </w:r>
      <w:r>
        <w:rPr>
          <w:noProof/>
        </w:rPr>
        <w:tab/>
        <w:instrText>American Diabetes Association</w:instrText>
      </w:r>
    </w:p>
    <w:p w:rsidR="005A26F6" w:rsidRDefault="005A26F6">
      <w:pPr>
        <w:pStyle w:val="Index1"/>
        <w:tabs>
          <w:tab w:val="right" w:leader="dot" w:pos="9460"/>
        </w:tabs>
        <w:rPr>
          <w:noProof/>
        </w:rPr>
      </w:pPr>
      <w:r w:rsidRPr="008C2D13">
        <w:rPr>
          <w:rFonts w:eastAsia="MS Gothic"/>
          <w:noProof/>
        </w:rPr>
        <w:instrText>AE</w:instrText>
      </w:r>
      <w:r>
        <w:rPr>
          <w:noProof/>
        </w:rPr>
        <w:instrText>:</w:instrText>
      </w:r>
      <w:r>
        <w:rPr>
          <w:noProof/>
        </w:rPr>
        <w:tab/>
      </w:r>
      <w:r w:rsidRPr="008C2D13">
        <w:rPr>
          <w:rFonts w:eastAsia="MS Gothic"/>
          <w:noProof/>
        </w:rPr>
        <w:instrText>adverse event</w:instrText>
      </w:r>
    </w:p>
    <w:p w:rsidR="005A26F6" w:rsidRDefault="005A26F6">
      <w:pPr>
        <w:pStyle w:val="Index1"/>
        <w:tabs>
          <w:tab w:val="right" w:leader="dot" w:pos="9460"/>
        </w:tabs>
        <w:rPr>
          <w:noProof/>
        </w:rPr>
      </w:pPr>
      <w:r w:rsidRPr="008C2D13">
        <w:rPr>
          <w:rFonts w:eastAsia="MS Gothic"/>
          <w:noProof/>
        </w:rPr>
        <w:instrText>AESI</w:instrText>
      </w:r>
      <w:r>
        <w:rPr>
          <w:noProof/>
        </w:rPr>
        <w:instrText>:</w:instrText>
      </w:r>
      <w:r>
        <w:rPr>
          <w:noProof/>
        </w:rPr>
        <w:tab/>
      </w:r>
      <w:r w:rsidRPr="008C2D13">
        <w:rPr>
          <w:rFonts w:eastAsia="MS Gothic"/>
          <w:noProof/>
        </w:rPr>
        <w:instrText>adverse event of special interest</w:instrText>
      </w:r>
    </w:p>
    <w:p w:rsidR="005A26F6" w:rsidRDefault="005A26F6">
      <w:pPr>
        <w:pStyle w:val="Index1"/>
        <w:tabs>
          <w:tab w:val="right" w:leader="dot" w:pos="9460"/>
        </w:tabs>
        <w:rPr>
          <w:noProof/>
        </w:rPr>
      </w:pPr>
      <w:r>
        <w:rPr>
          <w:noProof/>
        </w:rPr>
        <w:instrText>ALP:</w:instrText>
      </w:r>
      <w:r>
        <w:rPr>
          <w:noProof/>
        </w:rPr>
        <w:tab/>
        <w:instrText>alkaline phosphatase</w:instrText>
      </w:r>
    </w:p>
    <w:p w:rsidR="005A26F6" w:rsidRDefault="005A26F6">
      <w:pPr>
        <w:pStyle w:val="Index1"/>
        <w:tabs>
          <w:tab w:val="right" w:leader="dot" w:pos="9460"/>
        </w:tabs>
        <w:rPr>
          <w:noProof/>
        </w:rPr>
      </w:pPr>
      <w:r>
        <w:rPr>
          <w:noProof/>
        </w:rPr>
        <w:instrText>ALT:</w:instrText>
      </w:r>
      <w:r>
        <w:rPr>
          <w:noProof/>
        </w:rPr>
        <w:tab/>
        <w:instrText>alanine aminotransferase</w:instrText>
      </w:r>
    </w:p>
    <w:p w:rsidR="005A26F6" w:rsidRDefault="005A26F6">
      <w:pPr>
        <w:pStyle w:val="Index1"/>
        <w:tabs>
          <w:tab w:val="right" w:leader="dot" w:pos="9460"/>
        </w:tabs>
        <w:rPr>
          <w:noProof/>
        </w:rPr>
      </w:pPr>
      <w:r>
        <w:rPr>
          <w:noProof/>
        </w:rPr>
        <w:instrText>ANCOVA:</w:instrText>
      </w:r>
      <w:r>
        <w:rPr>
          <w:noProof/>
        </w:rPr>
        <w:tab/>
        <w:instrText>analysis of covariance</w:instrText>
      </w:r>
    </w:p>
    <w:p w:rsidR="005A26F6" w:rsidRDefault="005A26F6">
      <w:pPr>
        <w:pStyle w:val="Index1"/>
        <w:tabs>
          <w:tab w:val="right" w:leader="dot" w:pos="9460"/>
        </w:tabs>
        <w:rPr>
          <w:noProof/>
        </w:rPr>
      </w:pPr>
      <w:r w:rsidRPr="008C2D13">
        <w:rPr>
          <w:noProof/>
        </w:rPr>
        <w:instrText>ARAC</w:instrText>
      </w:r>
      <w:r>
        <w:rPr>
          <w:noProof/>
        </w:rPr>
        <w:instrText>:</w:instrText>
      </w:r>
      <w:r>
        <w:rPr>
          <w:noProof/>
        </w:rPr>
        <w:tab/>
      </w:r>
      <w:r w:rsidRPr="008C2D13">
        <w:rPr>
          <w:noProof/>
        </w:rPr>
        <w:instrText>allergic reaction assessment committee</w:instrText>
      </w:r>
    </w:p>
    <w:p w:rsidR="005A26F6" w:rsidRDefault="005A26F6">
      <w:pPr>
        <w:pStyle w:val="Index1"/>
        <w:tabs>
          <w:tab w:val="right" w:leader="dot" w:pos="9460"/>
        </w:tabs>
        <w:rPr>
          <w:noProof/>
        </w:rPr>
      </w:pPr>
      <w:r>
        <w:rPr>
          <w:noProof/>
        </w:rPr>
        <w:instrText>AST:</w:instrText>
      </w:r>
      <w:r>
        <w:rPr>
          <w:noProof/>
        </w:rPr>
        <w:tab/>
        <w:instrText>aspartate aminotransferase</w:instrText>
      </w:r>
    </w:p>
    <w:p w:rsidR="005A26F6" w:rsidRDefault="005A26F6">
      <w:pPr>
        <w:pStyle w:val="Index1"/>
        <w:tabs>
          <w:tab w:val="right" w:leader="dot" w:pos="9460"/>
        </w:tabs>
        <w:rPr>
          <w:noProof/>
        </w:rPr>
      </w:pPr>
      <w:r>
        <w:rPr>
          <w:noProof/>
        </w:rPr>
        <w:instrText>ATC:</w:instrText>
      </w:r>
      <w:r>
        <w:rPr>
          <w:noProof/>
        </w:rPr>
        <w:tab/>
        <w:instrText>anatomic or therapeutic category</w:instrText>
      </w:r>
    </w:p>
    <w:p w:rsidR="005A26F6" w:rsidRDefault="005A26F6">
      <w:pPr>
        <w:pStyle w:val="Index1"/>
        <w:tabs>
          <w:tab w:val="right" w:leader="dot" w:pos="9460"/>
        </w:tabs>
        <w:rPr>
          <w:noProof/>
        </w:rPr>
      </w:pPr>
      <w:r w:rsidRPr="008C2D13">
        <w:rPr>
          <w:rFonts w:eastAsia="MS Gothic"/>
          <w:noProof/>
        </w:rPr>
        <w:instrText>BID</w:instrText>
      </w:r>
      <w:r>
        <w:rPr>
          <w:noProof/>
        </w:rPr>
        <w:instrText>:</w:instrText>
      </w:r>
      <w:r>
        <w:rPr>
          <w:noProof/>
        </w:rPr>
        <w:tab/>
      </w:r>
      <w:r w:rsidRPr="008C2D13">
        <w:rPr>
          <w:rFonts w:eastAsia="MS Gothic"/>
          <w:noProof/>
        </w:rPr>
        <w:instrText>bis in die = twice daily</w:instrText>
      </w:r>
    </w:p>
    <w:p w:rsidR="005A26F6" w:rsidRDefault="005A26F6">
      <w:pPr>
        <w:pStyle w:val="Index1"/>
        <w:tabs>
          <w:tab w:val="right" w:leader="dot" w:pos="9460"/>
        </w:tabs>
        <w:rPr>
          <w:noProof/>
        </w:rPr>
      </w:pPr>
      <w:r w:rsidRPr="008C2D13">
        <w:rPr>
          <w:rFonts w:eastAsia="MS Gothic"/>
          <w:noProof/>
        </w:rPr>
        <w:instrText>BMI</w:instrText>
      </w:r>
      <w:r>
        <w:rPr>
          <w:noProof/>
        </w:rPr>
        <w:instrText>:</w:instrText>
      </w:r>
      <w:r>
        <w:rPr>
          <w:noProof/>
        </w:rPr>
        <w:tab/>
      </w:r>
      <w:r w:rsidRPr="008C2D13">
        <w:rPr>
          <w:rFonts w:eastAsia="MS Gothic"/>
          <w:noProof/>
        </w:rPr>
        <w:instrText>body mass index</w:instrText>
      </w:r>
    </w:p>
    <w:p w:rsidR="005A26F6" w:rsidRDefault="005A26F6">
      <w:pPr>
        <w:pStyle w:val="Index1"/>
        <w:tabs>
          <w:tab w:val="right" w:leader="dot" w:pos="9460"/>
        </w:tabs>
        <w:rPr>
          <w:noProof/>
        </w:rPr>
      </w:pPr>
      <w:r w:rsidRPr="008C2D13">
        <w:rPr>
          <w:rFonts w:cs="Arial"/>
          <w:noProof/>
        </w:rPr>
        <w:instrText>CI</w:instrText>
      </w:r>
      <w:r>
        <w:rPr>
          <w:noProof/>
        </w:rPr>
        <w:instrText>:</w:instrText>
      </w:r>
      <w:r>
        <w:rPr>
          <w:noProof/>
        </w:rPr>
        <w:tab/>
      </w:r>
      <w:r w:rsidRPr="008C2D13">
        <w:rPr>
          <w:rFonts w:cs="Arial"/>
          <w:noProof/>
        </w:rPr>
        <w:instrText>confidence interval</w:instrText>
      </w:r>
    </w:p>
    <w:p w:rsidR="005A26F6" w:rsidRDefault="005A26F6">
      <w:pPr>
        <w:pStyle w:val="Index1"/>
        <w:tabs>
          <w:tab w:val="right" w:leader="dot" w:pos="9460"/>
        </w:tabs>
        <w:rPr>
          <w:noProof/>
        </w:rPr>
      </w:pPr>
      <w:r>
        <w:rPr>
          <w:noProof/>
        </w:rPr>
        <w:instrText>CSR:</w:instrText>
      </w:r>
      <w:r>
        <w:rPr>
          <w:noProof/>
        </w:rPr>
        <w:tab/>
        <w:instrText>clinical study report</w:instrText>
      </w:r>
    </w:p>
    <w:p w:rsidR="005A26F6" w:rsidRDefault="005A26F6">
      <w:pPr>
        <w:pStyle w:val="Index1"/>
        <w:tabs>
          <w:tab w:val="right" w:leader="dot" w:pos="9460"/>
        </w:tabs>
        <w:rPr>
          <w:noProof/>
        </w:rPr>
      </w:pPr>
      <w:r>
        <w:rPr>
          <w:noProof/>
        </w:rPr>
        <w:instrText>EASD:</w:instrText>
      </w:r>
      <w:r>
        <w:rPr>
          <w:noProof/>
        </w:rPr>
        <w:tab/>
        <w:instrText>European Association for the Study of Diabetes</w:instrText>
      </w:r>
    </w:p>
    <w:p w:rsidR="005A26F6" w:rsidRDefault="005A26F6">
      <w:pPr>
        <w:pStyle w:val="Index1"/>
        <w:tabs>
          <w:tab w:val="right" w:leader="dot" w:pos="9460"/>
        </w:tabs>
        <w:rPr>
          <w:noProof/>
        </w:rPr>
      </w:pPr>
      <w:r w:rsidRPr="008C2D13">
        <w:rPr>
          <w:rFonts w:eastAsia="MS Gothic"/>
          <w:noProof/>
        </w:rPr>
        <w:instrText>ECG</w:instrText>
      </w:r>
      <w:r>
        <w:rPr>
          <w:noProof/>
        </w:rPr>
        <w:instrText>:</w:instrText>
      </w:r>
      <w:r>
        <w:rPr>
          <w:noProof/>
        </w:rPr>
        <w:tab/>
      </w:r>
      <w:r w:rsidRPr="008C2D13">
        <w:rPr>
          <w:rFonts w:eastAsia="MS Gothic"/>
          <w:noProof/>
        </w:rPr>
        <w:instrText>electrocardiogram</w:instrText>
      </w:r>
    </w:p>
    <w:p w:rsidR="005A26F6" w:rsidRDefault="005A26F6">
      <w:pPr>
        <w:pStyle w:val="Index1"/>
        <w:tabs>
          <w:tab w:val="right" w:leader="dot" w:pos="9460"/>
        </w:tabs>
        <w:rPr>
          <w:noProof/>
        </w:rPr>
      </w:pPr>
      <w:r w:rsidRPr="008C2D13">
        <w:rPr>
          <w:rFonts w:eastAsia="MS Gothic"/>
          <w:noProof/>
        </w:rPr>
        <w:instrText>e-CRF</w:instrText>
      </w:r>
      <w:r>
        <w:rPr>
          <w:noProof/>
        </w:rPr>
        <w:instrText>:</w:instrText>
      </w:r>
      <w:r>
        <w:rPr>
          <w:noProof/>
        </w:rPr>
        <w:tab/>
      </w:r>
      <w:r w:rsidRPr="008C2D13">
        <w:rPr>
          <w:rFonts w:eastAsia="MS Gothic"/>
          <w:noProof/>
        </w:rPr>
        <w:instrText>electronic case report form</w:instrText>
      </w:r>
    </w:p>
    <w:p w:rsidR="005A26F6" w:rsidRDefault="005A26F6">
      <w:pPr>
        <w:pStyle w:val="Index1"/>
        <w:tabs>
          <w:tab w:val="right" w:leader="dot" w:pos="9460"/>
        </w:tabs>
        <w:rPr>
          <w:noProof/>
        </w:rPr>
      </w:pPr>
      <w:r w:rsidRPr="008C2D13">
        <w:rPr>
          <w:rFonts w:eastAsia="MS Gothic"/>
          <w:noProof/>
        </w:rPr>
        <w:instrText>FPG</w:instrText>
      </w:r>
      <w:r>
        <w:rPr>
          <w:noProof/>
        </w:rPr>
        <w:instrText>:</w:instrText>
      </w:r>
      <w:r>
        <w:rPr>
          <w:noProof/>
        </w:rPr>
        <w:tab/>
      </w:r>
      <w:r w:rsidRPr="008C2D13">
        <w:rPr>
          <w:rFonts w:eastAsia="MS Gothic"/>
          <w:noProof/>
        </w:rPr>
        <w:instrText>fasting plasma glucose</w:instrText>
      </w:r>
    </w:p>
    <w:p w:rsidR="005A26F6" w:rsidRDefault="005A26F6">
      <w:pPr>
        <w:pStyle w:val="Index1"/>
        <w:tabs>
          <w:tab w:val="right" w:leader="dot" w:pos="9460"/>
        </w:tabs>
        <w:rPr>
          <w:noProof/>
        </w:rPr>
      </w:pPr>
      <w:r w:rsidRPr="008C2D13">
        <w:rPr>
          <w:noProof/>
        </w:rPr>
        <w:instrText>FRC</w:instrText>
      </w:r>
      <w:r>
        <w:rPr>
          <w:noProof/>
        </w:rPr>
        <w:instrText>:</w:instrText>
      </w:r>
      <w:r>
        <w:rPr>
          <w:noProof/>
        </w:rPr>
        <w:tab/>
      </w:r>
      <w:r w:rsidRPr="008C2D13">
        <w:rPr>
          <w:noProof/>
        </w:rPr>
        <w:instrText>fixed Ratio Combination</w:instrText>
      </w:r>
    </w:p>
    <w:p w:rsidR="005A26F6" w:rsidRDefault="005A26F6">
      <w:pPr>
        <w:pStyle w:val="Index1"/>
        <w:tabs>
          <w:tab w:val="right" w:leader="dot" w:pos="9460"/>
        </w:tabs>
        <w:rPr>
          <w:noProof/>
        </w:rPr>
      </w:pPr>
      <w:r>
        <w:rPr>
          <w:noProof/>
        </w:rPr>
        <w:instrText>GCP:</w:instrText>
      </w:r>
      <w:r>
        <w:rPr>
          <w:noProof/>
        </w:rPr>
        <w:tab/>
        <w:instrText>good clinical practice</w:instrText>
      </w:r>
    </w:p>
    <w:p w:rsidR="005A26F6" w:rsidRDefault="005A26F6">
      <w:pPr>
        <w:pStyle w:val="Index1"/>
        <w:tabs>
          <w:tab w:val="right" w:leader="dot" w:pos="9460"/>
        </w:tabs>
        <w:rPr>
          <w:noProof/>
        </w:rPr>
      </w:pPr>
      <w:r w:rsidRPr="008C2D13">
        <w:rPr>
          <w:rFonts w:eastAsia="MS Gothic"/>
          <w:noProof/>
        </w:rPr>
        <w:instrText>GFR</w:instrText>
      </w:r>
      <w:r>
        <w:rPr>
          <w:noProof/>
        </w:rPr>
        <w:instrText>:</w:instrText>
      </w:r>
      <w:r>
        <w:rPr>
          <w:noProof/>
        </w:rPr>
        <w:tab/>
      </w:r>
      <w:r w:rsidRPr="008C2D13">
        <w:rPr>
          <w:rFonts w:eastAsia="MS Gothic"/>
          <w:noProof/>
        </w:rPr>
        <w:instrText>glomerular filtration rate</w:instrText>
      </w:r>
    </w:p>
    <w:p w:rsidR="005A26F6" w:rsidRDefault="005A26F6">
      <w:pPr>
        <w:pStyle w:val="Index1"/>
        <w:tabs>
          <w:tab w:val="right" w:leader="dot" w:pos="9460"/>
        </w:tabs>
        <w:rPr>
          <w:noProof/>
        </w:rPr>
      </w:pPr>
      <w:r>
        <w:rPr>
          <w:noProof/>
        </w:rPr>
        <w:instrText>GLP-1 RA:</w:instrText>
      </w:r>
      <w:r>
        <w:rPr>
          <w:noProof/>
        </w:rPr>
        <w:tab/>
        <w:instrText>glucagon-like peptide-1 receptor agonist</w:instrText>
      </w:r>
    </w:p>
    <w:p w:rsidR="005A26F6" w:rsidRDefault="005A26F6">
      <w:pPr>
        <w:pStyle w:val="Index1"/>
        <w:tabs>
          <w:tab w:val="right" w:leader="dot" w:pos="9460"/>
        </w:tabs>
        <w:rPr>
          <w:noProof/>
        </w:rPr>
      </w:pPr>
      <w:r>
        <w:rPr>
          <w:noProof/>
        </w:rPr>
        <w:instrText>HbA1c:</w:instrText>
      </w:r>
      <w:r>
        <w:rPr>
          <w:noProof/>
        </w:rPr>
        <w:tab/>
        <w:instrText>hemoglobin A1c</w:instrText>
      </w:r>
    </w:p>
    <w:p w:rsidR="005A26F6" w:rsidRDefault="005A26F6">
      <w:pPr>
        <w:pStyle w:val="Index1"/>
        <w:tabs>
          <w:tab w:val="right" w:leader="dot" w:pos="9460"/>
        </w:tabs>
        <w:rPr>
          <w:noProof/>
        </w:rPr>
      </w:pPr>
      <w:r>
        <w:rPr>
          <w:noProof/>
        </w:rPr>
        <w:instrText>HDL:</w:instrText>
      </w:r>
      <w:r>
        <w:rPr>
          <w:noProof/>
        </w:rPr>
        <w:tab/>
        <w:instrText>high density lipoprotein</w:instrText>
      </w:r>
    </w:p>
    <w:p w:rsidR="005A26F6" w:rsidRDefault="005A26F6">
      <w:pPr>
        <w:pStyle w:val="Index1"/>
        <w:tabs>
          <w:tab w:val="right" w:leader="dot" w:pos="9460"/>
        </w:tabs>
        <w:rPr>
          <w:noProof/>
        </w:rPr>
      </w:pPr>
      <w:r>
        <w:rPr>
          <w:noProof/>
        </w:rPr>
        <w:instrText>HLGT:</w:instrText>
      </w:r>
      <w:r>
        <w:rPr>
          <w:noProof/>
        </w:rPr>
        <w:tab/>
        <w:instrText>high level group term</w:instrText>
      </w:r>
    </w:p>
    <w:p w:rsidR="005A26F6" w:rsidRDefault="005A26F6">
      <w:pPr>
        <w:pStyle w:val="Index1"/>
        <w:tabs>
          <w:tab w:val="right" w:leader="dot" w:pos="9460"/>
        </w:tabs>
        <w:rPr>
          <w:noProof/>
        </w:rPr>
      </w:pPr>
      <w:r>
        <w:rPr>
          <w:noProof/>
        </w:rPr>
        <w:instrText>HLT:</w:instrText>
      </w:r>
      <w:r>
        <w:rPr>
          <w:noProof/>
        </w:rPr>
        <w:tab/>
        <w:instrText>high level term</w:instrText>
      </w:r>
    </w:p>
    <w:p w:rsidR="005A26F6" w:rsidRDefault="005A26F6">
      <w:pPr>
        <w:pStyle w:val="Index1"/>
        <w:tabs>
          <w:tab w:val="right" w:leader="dot" w:pos="9460"/>
        </w:tabs>
        <w:rPr>
          <w:noProof/>
        </w:rPr>
      </w:pPr>
      <w:r>
        <w:rPr>
          <w:noProof/>
        </w:rPr>
        <w:instrText>ICH:</w:instrText>
      </w:r>
      <w:r>
        <w:rPr>
          <w:noProof/>
        </w:rPr>
        <w:tab/>
        <w:instrText>International Conference on Harmonization</w:instrText>
      </w:r>
    </w:p>
    <w:p w:rsidR="005A26F6" w:rsidRDefault="005A26F6">
      <w:pPr>
        <w:pStyle w:val="Index1"/>
        <w:tabs>
          <w:tab w:val="right" w:leader="dot" w:pos="9460"/>
        </w:tabs>
        <w:rPr>
          <w:noProof/>
        </w:rPr>
      </w:pPr>
      <w:r>
        <w:rPr>
          <w:noProof/>
        </w:rPr>
        <w:instrText>IEC:</w:instrText>
      </w:r>
      <w:r>
        <w:rPr>
          <w:noProof/>
        </w:rPr>
        <w:tab/>
        <w:instrText>independent ethics committee</w:instrText>
      </w:r>
    </w:p>
    <w:p w:rsidR="005A26F6" w:rsidRDefault="005A26F6">
      <w:pPr>
        <w:pStyle w:val="Index1"/>
        <w:tabs>
          <w:tab w:val="right" w:leader="dot" w:pos="9460"/>
        </w:tabs>
        <w:rPr>
          <w:noProof/>
        </w:rPr>
      </w:pPr>
      <w:r>
        <w:rPr>
          <w:noProof/>
        </w:rPr>
        <w:instrText>IgM:</w:instrText>
      </w:r>
      <w:r>
        <w:rPr>
          <w:noProof/>
        </w:rPr>
        <w:tab/>
        <w:instrText>immunoglobulin M</w:instrText>
      </w:r>
    </w:p>
    <w:p w:rsidR="005A26F6" w:rsidRDefault="005A26F6">
      <w:pPr>
        <w:pStyle w:val="Index1"/>
        <w:tabs>
          <w:tab w:val="right" w:leader="dot" w:pos="9460"/>
        </w:tabs>
        <w:rPr>
          <w:noProof/>
        </w:rPr>
      </w:pPr>
      <w:r>
        <w:rPr>
          <w:noProof/>
        </w:rPr>
        <w:instrText>IMP:</w:instrText>
      </w:r>
      <w:r>
        <w:rPr>
          <w:noProof/>
        </w:rPr>
        <w:tab/>
        <w:instrText>investigational medicinal product</w:instrText>
      </w:r>
    </w:p>
    <w:p w:rsidR="005A26F6" w:rsidRDefault="005A26F6">
      <w:pPr>
        <w:pStyle w:val="Index1"/>
        <w:tabs>
          <w:tab w:val="right" w:leader="dot" w:pos="9460"/>
        </w:tabs>
        <w:rPr>
          <w:noProof/>
        </w:rPr>
      </w:pPr>
      <w:r>
        <w:rPr>
          <w:noProof/>
        </w:rPr>
        <w:instrText>IRB:</w:instrText>
      </w:r>
      <w:r>
        <w:rPr>
          <w:noProof/>
        </w:rPr>
        <w:tab/>
        <w:instrText>institutional review board</w:instrText>
      </w:r>
    </w:p>
    <w:p w:rsidR="005A26F6" w:rsidRDefault="005A26F6">
      <w:pPr>
        <w:pStyle w:val="Index1"/>
        <w:tabs>
          <w:tab w:val="right" w:leader="dot" w:pos="9460"/>
        </w:tabs>
        <w:rPr>
          <w:noProof/>
        </w:rPr>
      </w:pPr>
      <w:r w:rsidRPr="008C2D13">
        <w:rPr>
          <w:rFonts w:cs="Arial"/>
          <w:noProof/>
        </w:rPr>
        <w:instrText>ITT</w:instrText>
      </w:r>
      <w:r>
        <w:rPr>
          <w:noProof/>
        </w:rPr>
        <w:instrText>:</w:instrText>
      </w:r>
      <w:r>
        <w:rPr>
          <w:noProof/>
        </w:rPr>
        <w:tab/>
      </w:r>
      <w:r w:rsidRPr="008C2D13">
        <w:rPr>
          <w:rFonts w:cs="Arial"/>
          <w:noProof/>
        </w:rPr>
        <w:instrText>intent-to-treat</w:instrText>
      </w:r>
    </w:p>
    <w:p w:rsidR="005A26F6" w:rsidRDefault="005A26F6">
      <w:pPr>
        <w:pStyle w:val="Index1"/>
        <w:tabs>
          <w:tab w:val="right" w:leader="dot" w:pos="9460"/>
        </w:tabs>
        <w:rPr>
          <w:noProof/>
        </w:rPr>
      </w:pPr>
      <w:r w:rsidRPr="008C2D13">
        <w:rPr>
          <w:noProof/>
        </w:rPr>
        <w:instrText>IVRS/IWRS</w:instrText>
      </w:r>
      <w:r>
        <w:rPr>
          <w:noProof/>
        </w:rPr>
        <w:instrText>:</w:instrText>
      </w:r>
      <w:r>
        <w:rPr>
          <w:noProof/>
        </w:rPr>
        <w:tab/>
      </w:r>
      <w:r w:rsidRPr="008C2D13">
        <w:rPr>
          <w:noProof/>
        </w:rPr>
        <w:instrText>interactive voice/web response system</w:instrText>
      </w:r>
    </w:p>
    <w:p w:rsidR="005A26F6" w:rsidRDefault="005A26F6">
      <w:pPr>
        <w:pStyle w:val="Index1"/>
        <w:tabs>
          <w:tab w:val="right" w:leader="dot" w:pos="9460"/>
        </w:tabs>
        <w:rPr>
          <w:noProof/>
        </w:rPr>
      </w:pPr>
      <w:r>
        <w:rPr>
          <w:noProof/>
        </w:rPr>
        <w:instrText>LDL:</w:instrText>
      </w:r>
      <w:r>
        <w:rPr>
          <w:noProof/>
        </w:rPr>
        <w:tab/>
        <w:instrText>low density lipoprotein</w:instrText>
      </w:r>
    </w:p>
    <w:p w:rsidR="005A26F6" w:rsidRDefault="005A26F6">
      <w:pPr>
        <w:pStyle w:val="Index1"/>
        <w:tabs>
          <w:tab w:val="right" w:leader="dot" w:pos="9460"/>
        </w:tabs>
        <w:rPr>
          <w:noProof/>
        </w:rPr>
      </w:pPr>
      <w:r>
        <w:rPr>
          <w:noProof/>
        </w:rPr>
        <w:instrText>LOCF:</w:instrText>
      </w:r>
      <w:r>
        <w:rPr>
          <w:noProof/>
        </w:rPr>
        <w:tab/>
        <w:instrText>last observation carried forward</w:instrText>
      </w:r>
    </w:p>
    <w:p w:rsidR="005A26F6" w:rsidRDefault="005A26F6">
      <w:pPr>
        <w:pStyle w:val="Index1"/>
        <w:tabs>
          <w:tab w:val="right" w:leader="dot" w:pos="9460"/>
        </w:tabs>
        <w:rPr>
          <w:noProof/>
        </w:rPr>
      </w:pPr>
      <w:r w:rsidRPr="008C2D13">
        <w:rPr>
          <w:noProof/>
        </w:rPr>
        <w:instrText>mITT</w:instrText>
      </w:r>
      <w:r>
        <w:rPr>
          <w:noProof/>
        </w:rPr>
        <w:instrText>:</w:instrText>
      </w:r>
      <w:r>
        <w:rPr>
          <w:noProof/>
        </w:rPr>
        <w:tab/>
      </w:r>
      <w:r w:rsidRPr="008C2D13">
        <w:rPr>
          <w:noProof/>
        </w:rPr>
        <w:instrText>modified intent-to-treat</w:instrText>
      </w:r>
    </w:p>
    <w:p w:rsidR="005A26F6" w:rsidRDefault="005A26F6">
      <w:pPr>
        <w:pStyle w:val="Index1"/>
        <w:tabs>
          <w:tab w:val="right" w:leader="dot" w:pos="9460"/>
        </w:tabs>
        <w:rPr>
          <w:noProof/>
        </w:rPr>
      </w:pPr>
      <w:r w:rsidRPr="008C2D13">
        <w:rPr>
          <w:noProof/>
        </w:rPr>
        <w:instrText>MMRM</w:instrText>
      </w:r>
      <w:r>
        <w:rPr>
          <w:noProof/>
        </w:rPr>
        <w:instrText>:</w:instrText>
      </w:r>
      <w:r>
        <w:rPr>
          <w:noProof/>
        </w:rPr>
        <w:tab/>
      </w:r>
      <w:r w:rsidRPr="008C2D13">
        <w:rPr>
          <w:noProof/>
        </w:rPr>
        <w:instrText>mixed-effect model with repeated measures</w:instrText>
      </w:r>
    </w:p>
    <w:p w:rsidR="005A26F6" w:rsidRDefault="005A26F6">
      <w:pPr>
        <w:pStyle w:val="Index1"/>
        <w:tabs>
          <w:tab w:val="right" w:leader="dot" w:pos="9460"/>
        </w:tabs>
        <w:rPr>
          <w:noProof/>
        </w:rPr>
      </w:pPr>
      <w:r w:rsidRPr="008C2D13">
        <w:rPr>
          <w:rFonts w:eastAsia="MS Gothic"/>
          <w:noProof/>
        </w:rPr>
        <w:instrText>MTC</w:instrText>
      </w:r>
      <w:r>
        <w:rPr>
          <w:noProof/>
        </w:rPr>
        <w:instrText>:</w:instrText>
      </w:r>
      <w:r>
        <w:rPr>
          <w:noProof/>
        </w:rPr>
        <w:tab/>
      </w:r>
      <w:r w:rsidRPr="008C2D13">
        <w:rPr>
          <w:rFonts w:eastAsia="MS Gothic"/>
          <w:noProof/>
        </w:rPr>
        <w:instrText>medullary thyroid cancer</w:instrText>
      </w:r>
    </w:p>
    <w:p w:rsidR="005A26F6" w:rsidRDefault="005A26F6">
      <w:pPr>
        <w:pStyle w:val="Index1"/>
        <w:tabs>
          <w:tab w:val="right" w:leader="dot" w:pos="9460"/>
        </w:tabs>
        <w:rPr>
          <w:noProof/>
        </w:rPr>
      </w:pPr>
      <w:r w:rsidRPr="008C2D13">
        <w:rPr>
          <w:rFonts w:eastAsia="MS Gothic"/>
          <w:noProof/>
        </w:rPr>
        <w:instrText>MTD</w:instrText>
      </w:r>
      <w:r>
        <w:rPr>
          <w:noProof/>
        </w:rPr>
        <w:instrText>:</w:instrText>
      </w:r>
      <w:r>
        <w:rPr>
          <w:noProof/>
        </w:rPr>
        <w:tab/>
      </w:r>
      <w:r w:rsidRPr="008C2D13">
        <w:rPr>
          <w:rFonts w:eastAsia="MS Gothic"/>
          <w:noProof/>
        </w:rPr>
        <w:instrText>maximum tolerated dose</w:instrText>
      </w:r>
    </w:p>
    <w:p w:rsidR="005A26F6" w:rsidRDefault="005A26F6">
      <w:pPr>
        <w:pStyle w:val="Index1"/>
        <w:tabs>
          <w:tab w:val="right" w:leader="dot" w:pos="9460"/>
        </w:tabs>
        <w:rPr>
          <w:noProof/>
        </w:rPr>
      </w:pPr>
      <w:r>
        <w:rPr>
          <w:noProof/>
        </w:rPr>
        <w:instrText>NIMP:</w:instrText>
      </w:r>
      <w:r>
        <w:rPr>
          <w:noProof/>
        </w:rPr>
        <w:tab/>
        <w:instrText>noninvestigational medicinal product</w:instrText>
      </w:r>
    </w:p>
    <w:p w:rsidR="005A26F6" w:rsidRDefault="005A26F6">
      <w:pPr>
        <w:pStyle w:val="Index1"/>
        <w:tabs>
          <w:tab w:val="right" w:leader="dot" w:pos="9460"/>
        </w:tabs>
        <w:rPr>
          <w:noProof/>
        </w:rPr>
      </w:pPr>
      <w:r w:rsidRPr="008C2D13">
        <w:rPr>
          <w:rFonts w:eastAsia="MS Gothic"/>
          <w:noProof/>
        </w:rPr>
        <w:instrText>OAD</w:instrText>
      </w:r>
      <w:r>
        <w:rPr>
          <w:noProof/>
        </w:rPr>
        <w:instrText>:</w:instrText>
      </w:r>
      <w:r>
        <w:rPr>
          <w:noProof/>
        </w:rPr>
        <w:tab/>
      </w:r>
      <w:r w:rsidRPr="008C2D13">
        <w:rPr>
          <w:rFonts w:eastAsia="MS Gothic"/>
          <w:noProof/>
        </w:rPr>
        <w:instrText>oral anti-diabetic drug</w:instrText>
      </w:r>
    </w:p>
    <w:p w:rsidR="005A26F6" w:rsidRDefault="005A26F6">
      <w:pPr>
        <w:pStyle w:val="Index1"/>
        <w:tabs>
          <w:tab w:val="right" w:leader="dot" w:pos="9460"/>
        </w:tabs>
        <w:rPr>
          <w:noProof/>
        </w:rPr>
      </w:pPr>
      <w:r>
        <w:rPr>
          <w:noProof/>
        </w:rPr>
        <w:instrText>PCSA:</w:instrText>
      </w:r>
      <w:r>
        <w:rPr>
          <w:noProof/>
        </w:rPr>
        <w:tab/>
        <w:instrText>potentially clinically significant abnormality</w:instrText>
      </w:r>
    </w:p>
    <w:p w:rsidR="005A26F6" w:rsidRDefault="005A26F6">
      <w:pPr>
        <w:pStyle w:val="Index1"/>
        <w:tabs>
          <w:tab w:val="right" w:leader="dot" w:pos="9460"/>
        </w:tabs>
        <w:rPr>
          <w:noProof/>
        </w:rPr>
      </w:pPr>
      <w:r>
        <w:rPr>
          <w:noProof/>
        </w:rPr>
        <w:instrText>PI:</w:instrText>
      </w:r>
      <w:r>
        <w:rPr>
          <w:noProof/>
        </w:rPr>
        <w:tab/>
        <w:instrText>prescribing information</w:instrText>
      </w:r>
    </w:p>
    <w:p w:rsidR="005A26F6" w:rsidRDefault="005A26F6">
      <w:pPr>
        <w:pStyle w:val="Index1"/>
        <w:tabs>
          <w:tab w:val="right" w:leader="dot" w:pos="9460"/>
        </w:tabs>
        <w:rPr>
          <w:noProof/>
        </w:rPr>
      </w:pPr>
      <w:r w:rsidRPr="008C2D13">
        <w:rPr>
          <w:rFonts w:eastAsia="MS Gothic"/>
          <w:noProof/>
        </w:rPr>
        <w:instrText>PPG</w:instrText>
      </w:r>
      <w:r>
        <w:rPr>
          <w:noProof/>
        </w:rPr>
        <w:instrText>:</w:instrText>
      </w:r>
      <w:r>
        <w:rPr>
          <w:noProof/>
        </w:rPr>
        <w:tab/>
      </w:r>
      <w:r w:rsidRPr="008C2D13">
        <w:rPr>
          <w:rFonts w:eastAsia="MS Gothic"/>
          <w:noProof/>
        </w:rPr>
        <w:instrText>post-prandial plasma glucose</w:instrText>
      </w:r>
    </w:p>
    <w:p w:rsidR="005A26F6" w:rsidRDefault="005A26F6">
      <w:pPr>
        <w:pStyle w:val="Index1"/>
        <w:tabs>
          <w:tab w:val="right" w:leader="dot" w:pos="9460"/>
        </w:tabs>
        <w:rPr>
          <w:noProof/>
        </w:rPr>
      </w:pPr>
      <w:r w:rsidRPr="008C2D13">
        <w:rPr>
          <w:rFonts w:eastAsia="MS Gothic"/>
          <w:noProof/>
        </w:rPr>
        <w:instrText>PRE</w:instrText>
      </w:r>
      <w:r>
        <w:rPr>
          <w:noProof/>
        </w:rPr>
        <w:instrText>:</w:instrText>
      </w:r>
      <w:r>
        <w:rPr>
          <w:noProof/>
        </w:rPr>
        <w:tab/>
      </w:r>
      <w:r w:rsidRPr="008C2D13">
        <w:rPr>
          <w:rFonts w:eastAsia="MS Gothic"/>
          <w:noProof/>
        </w:rPr>
        <w:instrText>pen-related event</w:instrText>
      </w:r>
    </w:p>
    <w:p w:rsidR="005A26F6" w:rsidRDefault="005A26F6">
      <w:pPr>
        <w:pStyle w:val="Index1"/>
        <w:tabs>
          <w:tab w:val="right" w:leader="dot" w:pos="9460"/>
        </w:tabs>
        <w:rPr>
          <w:noProof/>
        </w:rPr>
      </w:pPr>
      <w:r>
        <w:rPr>
          <w:noProof/>
        </w:rPr>
        <w:instrText>PREQ:</w:instrText>
      </w:r>
      <w:r>
        <w:rPr>
          <w:noProof/>
        </w:rPr>
        <w:tab/>
        <w:instrText>pen-related event questionnaire</w:instrText>
      </w:r>
    </w:p>
    <w:p w:rsidR="005A26F6" w:rsidRDefault="005A26F6">
      <w:pPr>
        <w:pStyle w:val="Index1"/>
        <w:tabs>
          <w:tab w:val="right" w:leader="dot" w:pos="9460"/>
        </w:tabs>
        <w:rPr>
          <w:noProof/>
        </w:rPr>
      </w:pPr>
      <w:r w:rsidRPr="008C2D13">
        <w:rPr>
          <w:noProof/>
        </w:rPr>
        <w:instrText>PSAC</w:instrText>
      </w:r>
      <w:r>
        <w:rPr>
          <w:noProof/>
        </w:rPr>
        <w:instrText>:</w:instrText>
      </w:r>
      <w:r>
        <w:rPr>
          <w:noProof/>
        </w:rPr>
        <w:tab/>
      </w:r>
      <w:r w:rsidRPr="008C2D13">
        <w:rPr>
          <w:noProof/>
        </w:rPr>
        <w:instrText>pancreatic safety assessment committee</w:instrText>
      </w:r>
    </w:p>
    <w:p w:rsidR="005A26F6" w:rsidRDefault="005A26F6">
      <w:pPr>
        <w:pStyle w:val="Index1"/>
        <w:tabs>
          <w:tab w:val="right" w:leader="dot" w:pos="9460"/>
        </w:tabs>
        <w:rPr>
          <w:noProof/>
        </w:rPr>
      </w:pPr>
      <w:r>
        <w:rPr>
          <w:noProof/>
        </w:rPr>
        <w:instrText>PT:</w:instrText>
      </w:r>
      <w:r>
        <w:rPr>
          <w:noProof/>
        </w:rPr>
        <w:tab/>
        <w:instrText>preferred term</w:instrText>
      </w:r>
    </w:p>
    <w:p w:rsidR="005A26F6" w:rsidRDefault="005A26F6">
      <w:pPr>
        <w:pStyle w:val="Index1"/>
        <w:tabs>
          <w:tab w:val="right" w:leader="dot" w:pos="9460"/>
        </w:tabs>
        <w:rPr>
          <w:noProof/>
        </w:rPr>
      </w:pPr>
      <w:r>
        <w:rPr>
          <w:noProof/>
        </w:rPr>
        <w:instrText>PTC:</w:instrText>
      </w:r>
      <w:r>
        <w:rPr>
          <w:noProof/>
        </w:rPr>
        <w:tab/>
        <w:instrText>product technical complaint</w:instrText>
      </w:r>
    </w:p>
    <w:p w:rsidR="005A26F6" w:rsidRDefault="005A26F6">
      <w:pPr>
        <w:pStyle w:val="Index1"/>
        <w:tabs>
          <w:tab w:val="right" w:leader="dot" w:pos="9460"/>
        </w:tabs>
        <w:rPr>
          <w:noProof/>
        </w:rPr>
      </w:pPr>
      <w:r w:rsidRPr="008C2D13">
        <w:rPr>
          <w:rFonts w:eastAsia="MS Gothic"/>
          <w:noProof/>
        </w:rPr>
        <w:instrText>QD</w:instrText>
      </w:r>
      <w:r>
        <w:rPr>
          <w:noProof/>
        </w:rPr>
        <w:instrText>:</w:instrText>
      </w:r>
      <w:r>
        <w:rPr>
          <w:noProof/>
        </w:rPr>
        <w:tab/>
      </w:r>
      <w:r w:rsidRPr="008C2D13">
        <w:rPr>
          <w:rFonts w:eastAsia="MS Gothic"/>
          <w:noProof/>
        </w:rPr>
        <w:instrText>quague die = once daily</w:instrText>
      </w:r>
    </w:p>
    <w:p w:rsidR="005A26F6" w:rsidRDefault="005A26F6">
      <w:pPr>
        <w:pStyle w:val="Index1"/>
        <w:tabs>
          <w:tab w:val="right" w:leader="dot" w:pos="9460"/>
        </w:tabs>
        <w:rPr>
          <w:noProof/>
        </w:rPr>
      </w:pPr>
      <w:r w:rsidRPr="008C2D13">
        <w:rPr>
          <w:rFonts w:eastAsia="MS Gothic"/>
          <w:noProof/>
        </w:rPr>
        <w:instrText>QW</w:instrText>
      </w:r>
      <w:r>
        <w:rPr>
          <w:noProof/>
        </w:rPr>
        <w:instrText>:</w:instrText>
      </w:r>
      <w:r>
        <w:rPr>
          <w:noProof/>
        </w:rPr>
        <w:tab/>
      </w:r>
      <w:r w:rsidRPr="008C2D13">
        <w:rPr>
          <w:rFonts w:eastAsia="MS Gothic"/>
          <w:noProof/>
        </w:rPr>
        <w:instrText>once weekly</w:instrText>
      </w:r>
    </w:p>
    <w:p w:rsidR="005A26F6" w:rsidRDefault="005A26F6">
      <w:pPr>
        <w:pStyle w:val="Index1"/>
        <w:tabs>
          <w:tab w:val="right" w:leader="dot" w:pos="9460"/>
        </w:tabs>
        <w:rPr>
          <w:noProof/>
        </w:rPr>
      </w:pPr>
      <w:r>
        <w:rPr>
          <w:noProof/>
        </w:rPr>
        <w:instrText>SAE:</w:instrText>
      </w:r>
      <w:r>
        <w:rPr>
          <w:noProof/>
        </w:rPr>
        <w:tab/>
        <w:instrText>serious adverse event</w:instrText>
      </w:r>
    </w:p>
    <w:p w:rsidR="005A26F6" w:rsidRDefault="005A26F6">
      <w:pPr>
        <w:pStyle w:val="Index1"/>
        <w:tabs>
          <w:tab w:val="right" w:leader="dot" w:pos="9460"/>
        </w:tabs>
        <w:rPr>
          <w:noProof/>
        </w:rPr>
      </w:pPr>
      <w:r w:rsidRPr="008C2D13">
        <w:rPr>
          <w:noProof/>
        </w:rPr>
        <w:instrText>SAS</w:instrText>
      </w:r>
      <w:r>
        <w:rPr>
          <w:noProof/>
        </w:rPr>
        <w:instrText>:</w:instrText>
      </w:r>
      <w:r>
        <w:rPr>
          <w:noProof/>
        </w:rPr>
        <w:tab/>
      </w:r>
      <w:r w:rsidRPr="008C2D13">
        <w:rPr>
          <w:noProof/>
        </w:rPr>
        <w:instrText>statistical analysis system</w:instrText>
      </w:r>
    </w:p>
    <w:p w:rsidR="005A26F6" w:rsidRDefault="005A26F6">
      <w:pPr>
        <w:pStyle w:val="Index1"/>
        <w:tabs>
          <w:tab w:val="right" w:leader="dot" w:pos="9460"/>
        </w:tabs>
        <w:rPr>
          <w:noProof/>
        </w:rPr>
      </w:pPr>
      <w:r>
        <w:rPr>
          <w:noProof/>
        </w:rPr>
        <w:instrText>SC:</w:instrText>
      </w:r>
      <w:r>
        <w:rPr>
          <w:noProof/>
        </w:rPr>
        <w:tab/>
        <w:instrText>subcutaneous</w:instrText>
      </w:r>
    </w:p>
    <w:p w:rsidR="005A26F6" w:rsidRDefault="005A26F6">
      <w:pPr>
        <w:pStyle w:val="Index1"/>
        <w:tabs>
          <w:tab w:val="right" w:leader="dot" w:pos="9460"/>
        </w:tabs>
        <w:rPr>
          <w:noProof/>
        </w:rPr>
      </w:pPr>
      <w:r>
        <w:rPr>
          <w:noProof/>
        </w:rPr>
        <w:instrText>SD:</w:instrText>
      </w:r>
      <w:r>
        <w:rPr>
          <w:noProof/>
        </w:rPr>
        <w:tab/>
        <w:instrText>standard deviation</w:instrText>
      </w:r>
    </w:p>
    <w:p w:rsidR="005A26F6" w:rsidRDefault="005A26F6">
      <w:pPr>
        <w:pStyle w:val="Index1"/>
        <w:tabs>
          <w:tab w:val="right" w:leader="dot" w:pos="9460"/>
        </w:tabs>
        <w:rPr>
          <w:noProof/>
        </w:rPr>
      </w:pPr>
      <w:r>
        <w:rPr>
          <w:noProof/>
        </w:rPr>
        <w:instrText>SmPC:</w:instrText>
      </w:r>
      <w:r>
        <w:rPr>
          <w:noProof/>
        </w:rPr>
        <w:tab/>
        <w:instrText>summary of product characteristics</w:instrText>
      </w:r>
    </w:p>
    <w:p w:rsidR="005A26F6" w:rsidRDefault="005A26F6">
      <w:pPr>
        <w:pStyle w:val="Index1"/>
        <w:tabs>
          <w:tab w:val="right" w:leader="dot" w:pos="9460"/>
        </w:tabs>
        <w:rPr>
          <w:noProof/>
        </w:rPr>
      </w:pPr>
      <w:r w:rsidRPr="008C2D13">
        <w:rPr>
          <w:rFonts w:eastAsia="MS Gothic"/>
          <w:noProof/>
        </w:rPr>
        <w:instrText>SMPG</w:instrText>
      </w:r>
      <w:r>
        <w:rPr>
          <w:noProof/>
        </w:rPr>
        <w:instrText>:</w:instrText>
      </w:r>
      <w:r>
        <w:rPr>
          <w:noProof/>
        </w:rPr>
        <w:tab/>
      </w:r>
      <w:r w:rsidRPr="008C2D13">
        <w:rPr>
          <w:rFonts w:eastAsia="MS Gothic"/>
          <w:noProof/>
        </w:rPr>
        <w:instrText>self-monitored plasma glucose</w:instrText>
      </w:r>
    </w:p>
    <w:p w:rsidR="005A26F6" w:rsidRDefault="005A26F6">
      <w:pPr>
        <w:pStyle w:val="Index1"/>
        <w:tabs>
          <w:tab w:val="right" w:leader="dot" w:pos="9460"/>
        </w:tabs>
        <w:rPr>
          <w:noProof/>
        </w:rPr>
      </w:pPr>
      <w:r>
        <w:rPr>
          <w:noProof/>
        </w:rPr>
        <w:instrText>SOC:</w:instrText>
      </w:r>
      <w:r>
        <w:rPr>
          <w:noProof/>
        </w:rPr>
        <w:tab/>
        <w:instrText>system organ class</w:instrText>
      </w:r>
    </w:p>
    <w:p w:rsidR="005A26F6" w:rsidRDefault="005A26F6">
      <w:pPr>
        <w:pStyle w:val="Index1"/>
        <w:tabs>
          <w:tab w:val="right" w:leader="dot" w:pos="9460"/>
        </w:tabs>
        <w:rPr>
          <w:noProof/>
        </w:rPr>
      </w:pPr>
      <w:r>
        <w:rPr>
          <w:noProof/>
        </w:rPr>
        <w:instrText>TEAE:</w:instrText>
      </w:r>
      <w:r>
        <w:rPr>
          <w:noProof/>
        </w:rPr>
        <w:tab/>
        <w:instrText>treatment-emergent adverse event</w:instrText>
      </w:r>
    </w:p>
    <w:p w:rsidR="005A26F6" w:rsidRDefault="005A26F6">
      <w:pPr>
        <w:pStyle w:val="Index1"/>
        <w:tabs>
          <w:tab w:val="right" w:leader="dot" w:pos="9460"/>
        </w:tabs>
        <w:rPr>
          <w:noProof/>
        </w:rPr>
      </w:pPr>
      <w:r w:rsidRPr="008C2D13">
        <w:rPr>
          <w:rFonts w:eastAsia="MS Gothic"/>
          <w:noProof/>
        </w:rPr>
        <w:instrText>ULN</w:instrText>
      </w:r>
      <w:r>
        <w:rPr>
          <w:noProof/>
        </w:rPr>
        <w:instrText>:</w:instrText>
      </w:r>
      <w:r>
        <w:rPr>
          <w:noProof/>
        </w:rPr>
        <w:tab/>
      </w:r>
      <w:r w:rsidRPr="008C2D13">
        <w:rPr>
          <w:rFonts w:eastAsia="MS Gothic"/>
          <w:noProof/>
        </w:rPr>
        <w:instrText>upper limit of normal range</w:instrText>
      </w:r>
    </w:p>
    <w:p w:rsidR="005A26F6" w:rsidRDefault="005A26F6">
      <w:pPr>
        <w:pStyle w:val="Index1"/>
        <w:tabs>
          <w:tab w:val="right" w:leader="dot" w:pos="9460"/>
        </w:tabs>
        <w:rPr>
          <w:noProof/>
        </w:rPr>
      </w:pPr>
      <w:r>
        <w:rPr>
          <w:noProof/>
        </w:rPr>
        <w:instrText>WHO-DD:</w:instrText>
      </w:r>
      <w:r>
        <w:rPr>
          <w:noProof/>
        </w:rPr>
        <w:tab/>
        <w:instrText>World Health Organization - Drug Dictionary</w:instrText>
      </w:r>
    </w:p>
    <w:p w:rsidR="005A26F6" w:rsidRDefault="00942434" w:rsidP="00942434">
      <w:pPr>
        <w:rPr>
          <w:noProof/>
        </w:rPr>
      </w:pPr>
      <w:r>
        <w:fldChar w:fldCharType="end"/>
      </w:r>
      <w:r>
        <w:fldChar w:fldCharType="separate"/>
      </w:r>
    </w:p>
    <w:p w:rsidR="005A26F6" w:rsidRDefault="005A26F6">
      <w:pPr>
        <w:pStyle w:val="Index1"/>
        <w:tabs>
          <w:tab w:val="right" w:leader="dot" w:pos="9460"/>
        </w:tabs>
        <w:rPr>
          <w:noProof/>
        </w:rPr>
      </w:pPr>
      <w:r>
        <w:rPr>
          <w:noProof/>
        </w:rPr>
        <w:instrText>ADA:</w:instrText>
      </w:r>
      <w:r>
        <w:rPr>
          <w:noProof/>
        </w:rPr>
        <w:tab/>
        <w:instrText>American Diabetes Association</w:instrText>
      </w:r>
    </w:p>
    <w:p w:rsidR="005A26F6" w:rsidRDefault="005A26F6">
      <w:pPr>
        <w:pStyle w:val="Index1"/>
        <w:tabs>
          <w:tab w:val="right" w:leader="dot" w:pos="9460"/>
        </w:tabs>
        <w:rPr>
          <w:noProof/>
        </w:rPr>
      </w:pPr>
      <w:r w:rsidRPr="008C2D13">
        <w:rPr>
          <w:rFonts w:eastAsia="MS Gothic"/>
          <w:noProof/>
        </w:rPr>
        <w:instrText>AE</w:instrText>
      </w:r>
      <w:r>
        <w:rPr>
          <w:noProof/>
        </w:rPr>
        <w:instrText>:</w:instrText>
      </w:r>
      <w:r>
        <w:rPr>
          <w:noProof/>
        </w:rPr>
        <w:tab/>
      </w:r>
      <w:r w:rsidRPr="008C2D13">
        <w:rPr>
          <w:rFonts w:eastAsia="MS Gothic"/>
          <w:noProof/>
        </w:rPr>
        <w:instrText>adverse event</w:instrText>
      </w:r>
    </w:p>
    <w:p w:rsidR="005A26F6" w:rsidRDefault="005A26F6">
      <w:pPr>
        <w:pStyle w:val="Index1"/>
        <w:tabs>
          <w:tab w:val="right" w:leader="dot" w:pos="9460"/>
        </w:tabs>
        <w:rPr>
          <w:noProof/>
        </w:rPr>
      </w:pPr>
      <w:r w:rsidRPr="008C2D13">
        <w:rPr>
          <w:rFonts w:eastAsia="MS Gothic"/>
          <w:noProof/>
        </w:rPr>
        <w:instrText>AESI</w:instrText>
      </w:r>
      <w:r>
        <w:rPr>
          <w:noProof/>
        </w:rPr>
        <w:instrText>:</w:instrText>
      </w:r>
      <w:r>
        <w:rPr>
          <w:noProof/>
        </w:rPr>
        <w:tab/>
      </w:r>
      <w:r w:rsidRPr="008C2D13">
        <w:rPr>
          <w:rFonts w:eastAsia="MS Gothic"/>
          <w:noProof/>
        </w:rPr>
        <w:instrText>adverse event of special interest</w:instrText>
      </w:r>
    </w:p>
    <w:p w:rsidR="005A26F6" w:rsidRDefault="005A26F6">
      <w:pPr>
        <w:pStyle w:val="Index1"/>
        <w:tabs>
          <w:tab w:val="right" w:leader="dot" w:pos="9460"/>
        </w:tabs>
        <w:rPr>
          <w:noProof/>
        </w:rPr>
      </w:pPr>
      <w:r>
        <w:rPr>
          <w:noProof/>
        </w:rPr>
        <w:instrText>ALP:</w:instrText>
      </w:r>
      <w:r>
        <w:rPr>
          <w:noProof/>
        </w:rPr>
        <w:tab/>
        <w:instrText>alkaline phosphatase</w:instrText>
      </w:r>
    </w:p>
    <w:p w:rsidR="005A26F6" w:rsidRDefault="005A26F6">
      <w:pPr>
        <w:pStyle w:val="Index1"/>
        <w:tabs>
          <w:tab w:val="right" w:leader="dot" w:pos="9460"/>
        </w:tabs>
        <w:rPr>
          <w:noProof/>
        </w:rPr>
      </w:pPr>
      <w:r>
        <w:rPr>
          <w:noProof/>
        </w:rPr>
        <w:instrText>ALT:</w:instrText>
      </w:r>
      <w:r>
        <w:rPr>
          <w:noProof/>
        </w:rPr>
        <w:tab/>
        <w:instrText>alanine aminotransferase</w:instrText>
      </w:r>
    </w:p>
    <w:p w:rsidR="005A26F6" w:rsidRDefault="005A26F6">
      <w:pPr>
        <w:pStyle w:val="Index1"/>
        <w:tabs>
          <w:tab w:val="right" w:leader="dot" w:pos="9460"/>
        </w:tabs>
        <w:rPr>
          <w:noProof/>
        </w:rPr>
      </w:pPr>
      <w:r>
        <w:rPr>
          <w:noProof/>
        </w:rPr>
        <w:instrText>ANCOVA:</w:instrText>
      </w:r>
      <w:r>
        <w:rPr>
          <w:noProof/>
        </w:rPr>
        <w:tab/>
        <w:instrText>analysis of covariance</w:instrText>
      </w:r>
    </w:p>
    <w:p w:rsidR="005A26F6" w:rsidRDefault="005A26F6">
      <w:pPr>
        <w:pStyle w:val="Index1"/>
        <w:tabs>
          <w:tab w:val="right" w:leader="dot" w:pos="9460"/>
        </w:tabs>
        <w:rPr>
          <w:noProof/>
        </w:rPr>
      </w:pPr>
      <w:r w:rsidRPr="008C2D13">
        <w:rPr>
          <w:noProof/>
        </w:rPr>
        <w:instrText>ARAC</w:instrText>
      </w:r>
      <w:r>
        <w:rPr>
          <w:noProof/>
        </w:rPr>
        <w:instrText>:</w:instrText>
      </w:r>
      <w:r>
        <w:rPr>
          <w:noProof/>
        </w:rPr>
        <w:tab/>
      </w:r>
      <w:r w:rsidRPr="008C2D13">
        <w:rPr>
          <w:noProof/>
        </w:rPr>
        <w:instrText>allergic reaction assessment committee</w:instrText>
      </w:r>
    </w:p>
    <w:p w:rsidR="005A26F6" w:rsidRDefault="005A26F6">
      <w:pPr>
        <w:pStyle w:val="Index1"/>
        <w:tabs>
          <w:tab w:val="right" w:leader="dot" w:pos="9460"/>
        </w:tabs>
        <w:rPr>
          <w:noProof/>
        </w:rPr>
      </w:pPr>
      <w:r>
        <w:rPr>
          <w:noProof/>
        </w:rPr>
        <w:instrText>AST:</w:instrText>
      </w:r>
      <w:r>
        <w:rPr>
          <w:noProof/>
        </w:rPr>
        <w:tab/>
        <w:instrText>aspartate aminotransferase</w:instrText>
      </w:r>
    </w:p>
    <w:p w:rsidR="005A26F6" w:rsidRDefault="005A26F6">
      <w:pPr>
        <w:pStyle w:val="Index1"/>
        <w:tabs>
          <w:tab w:val="right" w:leader="dot" w:pos="9460"/>
        </w:tabs>
        <w:rPr>
          <w:noProof/>
        </w:rPr>
      </w:pPr>
      <w:r>
        <w:rPr>
          <w:noProof/>
        </w:rPr>
        <w:instrText>ATC:</w:instrText>
      </w:r>
      <w:r>
        <w:rPr>
          <w:noProof/>
        </w:rPr>
        <w:tab/>
        <w:instrText>anatomic or therapeutic category</w:instrText>
      </w:r>
    </w:p>
    <w:p w:rsidR="005A26F6" w:rsidRDefault="005A26F6">
      <w:pPr>
        <w:pStyle w:val="Index1"/>
        <w:tabs>
          <w:tab w:val="right" w:leader="dot" w:pos="9460"/>
        </w:tabs>
        <w:rPr>
          <w:noProof/>
        </w:rPr>
      </w:pPr>
      <w:r w:rsidRPr="008C2D13">
        <w:rPr>
          <w:rFonts w:eastAsia="MS Gothic"/>
          <w:noProof/>
        </w:rPr>
        <w:instrText>BID</w:instrText>
      </w:r>
      <w:r>
        <w:rPr>
          <w:noProof/>
        </w:rPr>
        <w:instrText>:</w:instrText>
      </w:r>
      <w:r>
        <w:rPr>
          <w:noProof/>
        </w:rPr>
        <w:tab/>
      </w:r>
      <w:r w:rsidRPr="008C2D13">
        <w:rPr>
          <w:rFonts w:eastAsia="MS Gothic"/>
          <w:noProof/>
        </w:rPr>
        <w:instrText>bis in die = twice daily</w:instrText>
      </w:r>
    </w:p>
    <w:p w:rsidR="005A26F6" w:rsidRDefault="005A26F6">
      <w:pPr>
        <w:pStyle w:val="Index1"/>
        <w:tabs>
          <w:tab w:val="right" w:leader="dot" w:pos="9460"/>
        </w:tabs>
        <w:rPr>
          <w:noProof/>
        </w:rPr>
      </w:pPr>
      <w:r w:rsidRPr="008C2D13">
        <w:rPr>
          <w:rFonts w:eastAsia="MS Gothic"/>
          <w:noProof/>
        </w:rPr>
        <w:instrText>BMI</w:instrText>
      </w:r>
      <w:r>
        <w:rPr>
          <w:noProof/>
        </w:rPr>
        <w:instrText>:</w:instrText>
      </w:r>
      <w:r>
        <w:rPr>
          <w:noProof/>
        </w:rPr>
        <w:tab/>
      </w:r>
      <w:r w:rsidRPr="008C2D13">
        <w:rPr>
          <w:rFonts w:eastAsia="MS Gothic"/>
          <w:noProof/>
        </w:rPr>
        <w:instrText>body mass index</w:instrText>
      </w:r>
    </w:p>
    <w:p w:rsidR="005A26F6" w:rsidRDefault="005A26F6">
      <w:pPr>
        <w:pStyle w:val="Index1"/>
        <w:tabs>
          <w:tab w:val="right" w:leader="dot" w:pos="9460"/>
        </w:tabs>
        <w:rPr>
          <w:noProof/>
        </w:rPr>
      </w:pPr>
      <w:r w:rsidRPr="008C2D13">
        <w:rPr>
          <w:rFonts w:cs="Arial"/>
          <w:noProof/>
        </w:rPr>
        <w:instrText>CI</w:instrText>
      </w:r>
      <w:r>
        <w:rPr>
          <w:noProof/>
        </w:rPr>
        <w:instrText>:</w:instrText>
      </w:r>
      <w:r>
        <w:rPr>
          <w:noProof/>
        </w:rPr>
        <w:tab/>
      </w:r>
      <w:r w:rsidRPr="008C2D13">
        <w:rPr>
          <w:rFonts w:cs="Arial"/>
          <w:noProof/>
        </w:rPr>
        <w:instrText>confidence interval</w:instrText>
      </w:r>
    </w:p>
    <w:p w:rsidR="005A26F6" w:rsidRDefault="005A26F6">
      <w:pPr>
        <w:pStyle w:val="Index1"/>
        <w:tabs>
          <w:tab w:val="right" w:leader="dot" w:pos="9460"/>
        </w:tabs>
        <w:rPr>
          <w:noProof/>
        </w:rPr>
      </w:pPr>
      <w:r>
        <w:rPr>
          <w:noProof/>
        </w:rPr>
        <w:instrText>CSR:</w:instrText>
      </w:r>
      <w:r>
        <w:rPr>
          <w:noProof/>
        </w:rPr>
        <w:tab/>
        <w:instrText>clinical study report</w:instrText>
      </w:r>
    </w:p>
    <w:p w:rsidR="005A26F6" w:rsidRDefault="005A26F6">
      <w:pPr>
        <w:pStyle w:val="Index1"/>
        <w:tabs>
          <w:tab w:val="right" w:leader="dot" w:pos="9460"/>
        </w:tabs>
        <w:rPr>
          <w:noProof/>
        </w:rPr>
      </w:pPr>
      <w:r>
        <w:rPr>
          <w:noProof/>
        </w:rPr>
        <w:instrText>EASD:</w:instrText>
      </w:r>
      <w:r>
        <w:rPr>
          <w:noProof/>
        </w:rPr>
        <w:tab/>
        <w:instrText>European Association for the Study of Diabetes</w:instrText>
      </w:r>
    </w:p>
    <w:p w:rsidR="005A26F6" w:rsidRDefault="005A26F6">
      <w:pPr>
        <w:pStyle w:val="Index1"/>
        <w:tabs>
          <w:tab w:val="right" w:leader="dot" w:pos="9460"/>
        </w:tabs>
        <w:rPr>
          <w:noProof/>
        </w:rPr>
      </w:pPr>
      <w:r w:rsidRPr="008C2D13">
        <w:rPr>
          <w:rFonts w:eastAsia="MS Gothic"/>
          <w:noProof/>
        </w:rPr>
        <w:instrText>ECG</w:instrText>
      </w:r>
      <w:r>
        <w:rPr>
          <w:noProof/>
        </w:rPr>
        <w:instrText>:</w:instrText>
      </w:r>
      <w:r>
        <w:rPr>
          <w:noProof/>
        </w:rPr>
        <w:tab/>
      </w:r>
      <w:r w:rsidRPr="008C2D13">
        <w:rPr>
          <w:rFonts w:eastAsia="MS Gothic"/>
          <w:noProof/>
        </w:rPr>
        <w:instrText>electrocardiogram</w:instrText>
      </w:r>
    </w:p>
    <w:p w:rsidR="005A26F6" w:rsidRDefault="005A26F6">
      <w:pPr>
        <w:pStyle w:val="Index1"/>
        <w:tabs>
          <w:tab w:val="right" w:leader="dot" w:pos="9460"/>
        </w:tabs>
        <w:rPr>
          <w:noProof/>
        </w:rPr>
      </w:pPr>
      <w:r w:rsidRPr="008C2D13">
        <w:rPr>
          <w:rFonts w:eastAsia="MS Gothic"/>
          <w:noProof/>
        </w:rPr>
        <w:instrText>e-CRF</w:instrText>
      </w:r>
      <w:r>
        <w:rPr>
          <w:noProof/>
        </w:rPr>
        <w:instrText>:</w:instrText>
      </w:r>
      <w:r>
        <w:rPr>
          <w:noProof/>
        </w:rPr>
        <w:tab/>
      </w:r>
      <w:r w:rsidRPr="008C2D13">
        <w:rPr>
          <w:rFonts w:eastAsia="MS Gothic"/>
          <w:noProof/>
        </w:rPr>
        <w:instrText>electronic case report form</w:instrText>
      </w:r>
    </w:p>
    <w:p w:rsidR="005A26F6" w:rsidRDefault="005A26F6">
      <w:pPr>
        <w:pStyle w:val="Index1"/>
        <w:tabs>
          <w:tab w:val="right" w:leader="dot" w:pos="9460"/>
        </w:tabs>
        <w:rPr>
          <w:noProof/>
        </w:rPr>
      </w:pPr>
      <w:r w:rsidRPr="008C2D13">
        <w:rPr>
          <w:rFonts w:eastAsia="MS Gothic"/>
          <w:noProof/>
        </w:rPr>
        <w:instrText>FPG</w:instrText>
      </w:r>
      <w:r>
        <w:rPr>
          <w:noProof/>
        </w:rPr>
        <w:instrText>:</w:instrText>
      </w:r>
      <w:r>
        <w:rPr>
          <w:noProof/>
        </w:rPr>
        <w:tab/>
      </w:r>
      <w:r w:rsidRPr="008C2D13">
        <w:rPr>
          <w:rFonts w:eastAsia="MS Gothic"/>
          <w:noProof/>
        </w:rPr>
        <w:instrText>fasting plasma glucose</w:instrText>
      </w:r>
    </w:p>
    <w:p w:rsidR="005A26F6" w:rsidRDefault="005A26F6">
      <w:pPr>
        <w:pStyle w:val="Index1"/>
        <w:tabs>
          <w:tab w:val="right" w:leader="dot" w:pos="9460"/>
        </w:tabs>
        <w:rPr>
          <w:noProof/>
        </w:rPr>
      </w:pPr>
      <w:r w:rsidRPr="008C2D13">
        <w:rPr>
          <w:noProof/>
        </w:rPr>
        <w:instrText>FRC</w:instrText>
      </w:r>
      <w:r>
        <w:rPr>
          <w:noProof/>
        </w:rPr>
        <w:instrText>:</w:instrText>
      </w:r>
      <w:r>
        <w:rPr>
          <w:noProof/>
        </w:rPr>
        <w:tab/>
      </w:r>
      <w:r w:rsidRPr="008C2D13">
        <w:rPr>
          <w:noProof/>
        </w:rPr>
        <w:instrText>fixed Ratio Combination</w:instrText>
      </w:r>
    </w:p>
    <w:p w:rsidR="005A26F6" w:rsidRDefault="005A26F6">
      <w:pPr>
        <w:pStyle w:val="Index1"/>
        <w:tabs>
          <w:tab w:val="right" w:leader="dot" w:pos="9460"/>
        </w:tabs>
        <w:rPr>
          <w:noProof/>
        </w:rPr>
      </w:pPr>
      <w:r>
        <w:rPr>
          <w:noProof/>
        </w:rPr>
        <w:instrText>GCP:</w:instrText>
      </w:r>
      <w:r>
        <w:rPr>
          <w:noProof/>
        </w:rPr>
        <w:tab/>
        <w:instrText>good clinical practice</w:instrText>
      </w:r>
    </w:p>
    <w:p w:rsidR="005A26F6" w:rsidRDefault="005A26F6">
      <w:pPr>
        <w:pStyle w:val="Index1"/>
        <w:tabs>
          <w:tab w:val="right" w:leader="dot" w:pos="9460"/>
        </w:tabs>
        <w:rPr>
          <w:noProof/>
        </w:rPr>
      </w:pPr>
      <w:r w:rsidRPr="008C2D13">
        <w:rPr>
          <w:rFonts w:eastAsia="MS Gothic"/>
          <w:noProof/>
        </w:rPr>
        <w:instrText>GFR</w:instrText>
      </w:r>
      <w:r>
        <w:rPr>
          <w:noProof/>
        </w:rPr>
        <w:instrText>:</w:instrText>
      </w:r>
      <w:r>
        <w:rPr>
          <w:noProof/>
        </w:rPr>
        <w:tab/>
      </w:r>
      <w:r w:rsidRPr="008C2D13">
        <w:rPr>
          <w:rFonts w:eastAsia="MS Gothic"/>
          <w:noProof/>
        </w:rPr>
        <w:instrText>glomerular filtration rate</w:instrText>
      </w:r>
    </w:p>
    <w:p w:rsidR="005A26F6" w:rsidRDefault="005A26F6">
      <w:pPr>
        <w:pStyle w:val="Index1"/>
        <w:tabs>
          <w:tab w:val="right" w:leader="dot" w:pos="9460"/>
        </w:tabs>
        <w:rPr>
          <w:noProof/>
        </w:rPr>
      </w:pPr>
      <w:r>
        <w:rPr>
          <w:noProof/>
        </w:rPr>
        <w:instrText>GLP-1 RA:</w:instrText>
      </w:r>
      <w:r>
        <w:rPr>
          <w:noProof/>
        </w:rPr>
        <w:tab/>
        <w:instrText>glucagon-like peptide-1 receptor agonist</w:instrText>
      </w:r>
    </w:p>
    <w:p w:rsidR="005A26F6" w:rsidRDefault="005A26F6">
      <w:pPr>
        <w:pStyle w:val="Index1"/>
        <w:tabs>
          <w:tab w:val="right" w:leader="dot" w:pos="9460"/>
        </w:tabs>
        <w:rPr>
          <w:noProof/>
        </w:rPr>
      </w:pPr>
      <w:r>
        <w:rPr>
          <w:noProof/>
        </w:rPr>
        <w:instrText>HbA1c:</w:instrText>
      </w:r>
      <w:r>
        <w:rPr>
          <w:noProof/>
        </w:rPr>
        <w:tab/>
        <w:instrText>hemoglobin A1c</w:instrText>
      </w:r>
    </w:p>
    <w:p w:rsidR="005A26F6" w:rsidRDefault="005A26F6">
      <w:pPr>
        <w:pStyle w:val="Index1"/>
        <w:tabs>
          <w:tab w:val="right" w:leader="dot" w:pos="9460"/>
        </w:tabs>
        <w:rPr>
          <w:noProof/>
        </w:rPr>
      </w:pPr>
      <w:r>
        <w:rPr>
          <w:noProof/>
        </w:rPr>
        <w:instrText>HDL:</w:instrText>
      </w:r>
      <w:r>
        <w:rPr>
          <w:noProof/>
        </w:rPr>
        <w:tab/>
        <w:instrText>high density lipoprotein</w:instrText>
      </w:r>
    </w:p>
    <w:p w:rsidR="005A26F6" w:rsidRDefault="005A26F6">
      <w:pPr>
        <w:pStyle w:val="Index1"/>
        <w:tabs>
          <w:tab w:val="right" w:leader="dot" w:pos="9460"/>
        </w:tabs>
        <w:rPr>
          <w:noProof/>
        </w:rPr>
      </w:pPr>
      <w:r>
        <w:rPr>
          <w:noProof/>
        </w:rPr>
        <w:instrText>HLGT:</w:instrText>
      </w:r>
      <w:r>
        <w:rPr>
          <w:noProof/>
        </w:rPr>
        <w:tab/>
        <w:instrText>high level group term</w:instrText>
      </w:r>
    </w:p>
    <w:p w:rsidR="005A26F6" w:rsidRDefault="005A26F6">
      <w:pPr>
        <w:pStyle w:val="Index1"/>
        <w:tabs>
          <w:tab w:val="right" w:leader="dot" w:pos="9460"/>
        </w:tabs>
        <w:rPr>
          <w:noProof/>
        </w:rPr>
      </w:pPr>
      <w:r>
        <w:rPr>
          <w:noProof/>
        </w:rPr>
        <w:instrText>HLT:</w:instrText>
      </w:r>
      <w:r>
        <w:rPr>
          <w:noProof/>
        </w:rPr>
        <w:tab/>
        <w:instrText>high level term</w:instrText>
      </w:r>
    </w:p>
    <w:p w:rsidR="005A26F6" w:rsidRDefault="005A26F6">
      <w:pPr>
        <w:pStyle w:val="Index1"/>
        <w:tabs>
          <w:tab w:val="right" w:leader="dot" w:pos="9460"/>
        </w:tabs>
        <w:rPr>
          <w:noProof/>
        </w:rPr>
      </w:pPr>
      <w:r>
        <w:rPr>
          <w:noProof/>
        </w:rPr>
        <w:instrText>ICH:</w:instrText>
      </w:r>
      <w:r>
        <w:rPr>
          <w:noProof/>
        </w:rPr>
        <w:tab/>
        <w:instrText>International Conference on Harmonization</w:instrText>
      </w:r>
    </w:p>
    <w:p w:rsidR="005A26F6" w:rsidRDefault="005A26F6">
      <w:pPr>
        <w:pStyle w:val="Index1"/>
        <w:tabs>
          <w:tab w:val="right" w:leader="dot" w:pos="9460"/>
        </w:tabs>
        <w:rPr>
          <w:noProof/>
        </w:rPr>
      </w:pPr>
      <w:r>
        <w:rPr>
          <w:noProof/>
        </w:rPr>
        <w:instrText>IEC:</w:instrText>
      </w:r>
      <w:r>
        <w:rPr>
          <w:noProof/>
        </w:rPr>
        <w:tab/>
        <w:instrText>independent ethics committee</w:instrText>
      </w:r>
    </w:p>
    <w:p w:rsidR="005A26F6" w:rsidRDefault="005A26F6">
      <w:pPr>
        <w:pStyle w:val="Index1"/>
        <w:tabs>
          <w:tab w:val="right" w:leader="dot" w:pos="9460"/>
        </w:tabs>
        <w:rPr>
          <w:noProof/>
        </w:rPr>
      </w:pPr>
      <w:r>
        <w:rPr>
          <w:noProof/>
        </w:rPr>
        <w:instrText>IgM:</w:instrText>
      </w:r>
      <w:r>
        <w:rPr>
          <w:noProof/>
        </w:rPr>
        <w:tab/>
        <w:instrText>immunoglobulin M</w:instrText>
      </w:r>
    </w:p>
    <w:p w:rsidR="005A26F6" w:rsidRDefault="005A26F6">
      <w:pPr>
        <w:pStyle w:val="Index1"/>
        <w:tabs>
          <w:tab w:val="right" w:leader="dot" w:pos="9460"/>
        </w:tabs>
        <w:rPr>
          <w:noProof/>
        </w:rPr>
      </w:pPr>
      <w:r>
        <w:rPr>
          <w:noProof/>
        </w:rPr>
        <w:instrText>IMP:</w:instrText>
      </w:r>
      <w:r>
        <w:rPr>
          <w:noProof/>
        </w:rPr>
        <w:tab/>
        <w:instrText>investigational medicinal product</w:instrText>
      </w:r>
    </w:p>
    <w:p w:rsidR="005A26F6" w:rsidRDefault="005A26F6">
      <w:pPr>
        <w:pStyle w:val="Index1"/>
        <w:tabs>
          <w:tab w:val="right" w:leader="dot" w:pos="9460"/>
        </w:tabs>
        <w:rPr>
          <w:noProof/>
        </w:rPr>
      </w:pPr>
      <w:r>
        <w:rPr>
          <w:noProof/>
        </w:rPr>
        <w:instrText>IRB:</w:instrText>
      </w:r>
      <w:r>
        <w:rPr>
          <w:noProof/>
        </w:rPr>
        <w:tab/>
        <w:instrText>institutional review board</w:instrText>
      </w:r>
    </w:p>
    <w:p w:rsidR="005A26F6" w:rsidRDefault="005A26F6">
      <w:pPr>
        <w:pStyle w:val="Index1"/>
        <w:tabs>
          <w:tab w:val="right" w:leader="dot" w:pos="9460"/>
        </w:tabs>
        <w:rPr>
          <w:noProof/>
        </w:rPr>
      </w:pPr>
      <w:r w:rsidRPr="008C2D13">
        <w:rPr>
          <w:rFonts w:cs="Arial"/>
          <w:noProof/>
        </w:rPr>
        <w:instrText>ITT</w:instrText>
      </w:r>
      <w:r>
        <w:rPr>
          <w:noProof/>
        </w:rPr>
        <w:instrText>:</w:instrText>
      </w:r>
      <w:r>
        <w:rPr>
          <w:noProof/>
        </w:rPr>
        <w:tab/>
      </w:r>
      <w:r w:rsidRPr="008C2D13">
        <w:rPr>
          <w:rFonts w:cs="Arial"/>
          <w:noProof/>
        </w:rPr>
        <w:instrText>intent-to-treat</w:instrText>
      </w:r>
    </w:p>
    <w:p w:rsidR="005A26F6" w:rsidRDefault="005A26F6">
      <w:pPr>
        <w:pStyle w:val="Index1"/>
        <w:tabs>
          <w:tab w:val="right" w:leader="dot" w:pos="9460"/>
        </w:tabs>
        <w:rPr>
          <w:noProof/>
        </w:rPr>
      </w:pPr>
      <w:r w:rsidRPr="008C2D13">
        <w:rPr>
          <w:noProof/>
        </w:rPr>
        <w:instrText>IVRS/IWRS</w:instrText>
      </w:r>
      <w:r>
        <w:rPr>
          <w:noProof/>
        </w:rPr>
        <w:instrText>:</w:instrText>
      </w:r>
      <w:r>
        <w:rPr>
          <w:noProof/>
        </w:rPr>
        <w:tab/>
      </w:r>
      <w:r w:rsidRPr="008C2D13">
        <w:rPr>
          <w:noProof/>
        </w:rPr>
        <w:instrText>interactive voice/web response system</w:instrText>
      </w:r>
    </w:p>
    <w:p w:rsidR="005A26F6" w:rsidRDefault="005A26F6">
      <w:pPr>
        <w:pStyle w:val="Index1"/>
        <w:tabs>
          <w:tab w:val="right" w:leader="dot" w:pos="9460"/>
        </w:tabs>
        <w:rPr>
          <w:noProof/>
        </w:rPr>
      </w:pPr>
      <w:r>
        <w:rPr>
          <w:noProof/>
        </w:rPr>
        <w:instrText>LDL:</w:instrText>
      </w:r>
      <w:r>
        <w:rPr>
          <w:noProof/>
        </w:rPr>
        <w:tab/>
        <w:instrText>low density lipoprotein</w:instrText>
      </w:r>
    </w:p>
    <w:p w:rsidR="005A26F6" w:rsidRDefault="005A26F6">
      <w:pPr>
        <w:pStyle w:val="Index1"/>
        <w:tabs>
          <w:tab w:val="right" w:leader="dot" w:pos="9460"/>
        </w:tabs>
        <w:rPr>
          <w:noProof/>
        </w:rPr>
      </w:pPr>
      <w:r>
        <w:rPr>
          <w:noProof/>
        </w:rPr>
        <w:instrText>LOCF:</w:instrText>
      </w:r>
      <w:r>
        <w:rPr>
          <w:noProof/>
        </w:rPr>
        <w:tab/>
        <w:instrText>last observation carried forward</w:instrText>
      </w:r>
    </w:p>
    <w:p w:rsidR="005A26F6" w:rsidRDefault="005A26F6">
      <w:pPr>
        <w:pStyle w:val="Index1"/>
        <w:tabs>
          <w:tab w:val="right" w:leader="dot" w:pos="9460"/>
        </w:tabs>
        <w:rPr>
          <w:noProof/>
        </w:rPr>
      </w:pPr>
      <w:r w:rsidRPr="008C2D13">
        <w:rPr>
          <w:noProof/>
        </w:rPr>
        <w:instrText>mITT</w:instrText>
      </w:r>
      <w:r>
        <w:rPr>
          <w:noProof/>
        </w:rPr>
        <w:instrText>:</w:instrText>
      </w:r>
      <w:r>
        <w:rPr>
          <w:noProof/>
        </w:rPr>
        <w:tab/>
      </w:r>
      <w:r w:rsidRPr="008C2D13">
        <w:rPr>
          <w:noProof/>
        </w:rPr>
        <w:instrText>modified intent-to-treat</w:instrText>
      </w:r>
    </w:p>
    <w:p w:rsidR="005A26F6" w:rsidRDefault="005A26F6">
      <w:pPr>
        <w:pStyle w:val="Index1"/>
        <w:tabs>
          <w:tab w:val="right" w:leader="dot" w:pos="9460"/>
        </w:tabs>
        <w:rPr>
          <w:noProof/>
        </w:rPr>
      </w:pPr>
      <w:r w:rsidRPr="008C2D13">
        <w:rPr>
          <w:noProof/>
        </w:rPr>
        <w:instrText>MMRM</w:instrText>
      </w:r>
      <w:r>
        <w:rPr>
          <w:noProof/>
        </w:rPr>
        <w:instrText>:</w:instrText>
      </w:r>
      <w:r>
        <w:rPr>
          <w:noProof/>
        </w:rPr>
        <w:tab/>
      </w:r>
      <w:r w:rsidRPr="008C2D13">
        <w:rPr>
          <w:noProof/>
        </w:rPr>
        <w:instrText>mixed-effect model with repeated measures</w:instrText>
      </w:r>
    </w:p>
    <w:p w:rsidR="005A26F6" w:rsidRDefault="005A26F6">
      <w:pPr>
        <w:pStyle w:val="Index1"/>
        <w:tabs>
          <w:tab w:val="right" w:leader="dot" w:pos="9460"/>
        </w:tabs>
        <w:rPr>
          <w:noProof/>
        </w:rPr>
      </w:pPr>
      <w:r w:rsidRPr="008C2D13">
        <w:rPr>
          <w:rFonts w:eastAsia="MS Gothic"/>
          <w:noProof/>
        </w:rPr>
        <w:instrText>MTC</w:instrText>
      </w:r>
      <w:r>
        <w:rPr>
          <w:noProof/>
        </w:rPr>
        <w:instrText>:</w:instrText>
      </w:r>
      <w:r>
        <w:rPr>
          <w:noProof/>
        </w:rPr>
        <w:tab/>
      </w:r>
      <w:r w:rsidRPr="008C2D13">
        <w:rPr>
          <w:rFonts w:eastAsia="MS Gothic"/>
          <w:noProof/>
        </w:rPr>
        <w:instrText>medullary thyroid cancer</w:instrText>
      </w:r>
    </w:p>
    <w:p w:rsidR="005A26F6" w:rsidRDefault="005A26F6">
      <w:pPr>
        <w:pStyle w:val="Index1"/>
        <w:tabs>
          <w:tab w:val="right" w:leader="dot" w:pos="9460"/>
        </w:tabs>
        <w:rPr>
          <w:noProof/>
        </w:rPr>
      </w:pPr>
      <w:r w:rsidRPr="008C2D13">
        <w:rPr>
          <w:rFonts w:eastAsia="MS Gothic"/>
          <w:noProof/>
        </w:rPr>
        <w:instrText>MTD</w:instrText>
      </w:r>
      <w:r>
        <w:rPr>
          <w:noProof/>
        </w:rPr>
        <w:instrText>:</w:instrText>
      </w:r>
      <w:r>
        <w:rPr>
          <w:noProof/>
        </w:rPr>
        <w:tab/>
      </w:r>
      <w:r w:rsidRPr="008C2D13">
        <w:rPr>
          <w:rFonts w:eastAsia="MS Gothic"/>
          <w:noProof/>
        </w:rPr>
        <w:instrText>maximum tolerated dose</w:instrText>
      </w:r>
    </w:p>
    <w:p w:rsidR="005A26F6" w:rsidRDefault="005A26F6">
      <w:pPr>
        <w:pStyle w:val="Index1"/>
        <w:tabs>
          <w:tab w:val="right" w:leader="dot" w:pos="9460"/>
        </w:tabs>
        <w:rPr>
          <w:noProof/>
        </w:rPr>
      </w:pPr>
      <w:r>
        <w:rPr>
          <w:noProof/>
        </w:rPr>
        <w:instrText>NIMP:</w:instrText>
      </w:r>
      <w:r>
        <w:rPr>
          <w:noProof/>
        </w:rPr>
        <w:tab/>
        <w:instrText>noninvestigational medicinal product</w:instrText>
      </w:r>
    </w:p>
    <w:p w:rsidR="005A26F6" w:rsidRDefault="005A26F6">
      <w:pPr>
        <w:pStyle w:val="Index1"/>
        <w:tabs>
          <w:tab w:val="right" w:leader="dot" w:pos="9460"/>
        </w:tabs>
        <w:rPr>
          <w:noProof/>
        </w:rPr>
      </w:pPr>
      <w:r w:rsidRPr="008C2D13">
        <w:rPr>
          <w:rFonts w:eastAsia="MS Gothic"/>
          <w:noProof/>
        </w:rPr>
        <w:instrText>OAD</w:instrText>
      </w:r>
      <w:r>
        <w:rPr>
          <w:noProof/>
        </w:rPr>
        <w:instrText>:</w:instrText>
      </w:r>
      <w:r>
        <w:rPr>
          <w:noProof/>
        </w:rPr>
        <w:tab/>
      </w:r>
      <w:r w:rsidRPr="008C2D13">
        <w:rPr>
          <w:rFonts w:eastAsia="MS Gothic"/>
          <w:noProof/>
        </w:rPr>
        <w:instrText>oral anti-diabetic drug</w:instrText>
      </w:r>
    </w:p>
    <w:p w:rsidR="005A26F6" w:rsidRDefault="005A26F6">
      <w:pPr>
        <w:pStyle w:val="Index1"/>
        <w:tabs>
          <w:tab w:val="right" w:leader="dot" w:pos="9460"/>
        </w:tabs>
        <w:rPr>
          <w:noProof/>
        </w:rPr>
      </w:pPr>
      <w:r>
        <w:rPr>
          <w:noProof/>
        </w:rPr>
        <w:instrText>PCSA:</w:instrText>
      </w:r>
      <w:r>
        <w:rPr>
          <w:noProof/>
        </w:rPr>
        <w:tab/>
        <w:instrText>potentially clinically significant abnormality</w:instrText>
      </w:r>
    </w:p>
    <w:p w:rsidR="005A26F6" w:rsidRDefault="005A26F6">
      <w:pPr>
        <w:pStyle w:val="Index1"/>
        <w:tabs>
          <w:tab w:val="right" w:leader="dot" w:pos="9460"/>
        </w:tabs>
        <w:rPr>
          <w:noProof/>
        </w:rPr>
      </w:pPr>
      <w:r>
        <w:rPr>
          <w:noProof/>
        </w:rPr>
        <w:instrText>PI:</w:instrText>
      </w:r>
      <w:r>
        <w:rPr>
          <w:noProof/>
        </w:rPr>
        <w:tab/>
        <w:instrText>prescribing information</w:instrText>
      </w:r>
    </w:p>
    <w:p w:rsidR="005A26F6" w:rsidRDefault="005A26F6">
      <w:pPr>
        <w:pStyle w:val="Index1"/>
        <w:tabs>
          <w:tab w:val="right" w:leader="dot" w:pos="9460"/>
        </w:tabs>
        <w:rPr>
          <w:noProof/>
        </w:rPr>
      </w:pPr>
      <w:r w:rsidRPr="008C2D13">
        <w:rPr>
          <w:rFonts w:eastAsia="MS Gothic"/>
          <w:noProof/>
        </w:rPr>
        <w:instrText>PPG</w:instrText>
      </w:r>
      <w:r>
        <w:rPr>
          <w:noProof/>
        </w:rPr>
        <w:instrText>:</w:instrText>
      </w:r>
      <w:r>
        <w:rPr>
          <w:noProof/>
        </w:rPr>
        <w:tab/>
      </w:r>
      <w:r w:rsidRPr="008C2D13">
        <w:rPr>
          <w:rFonts w:eastAsia="MS Gothic"/>
          <w:noProof/>
        </w:rPr>
        <w:instrText>post-prandial plasma glucose</w:instrText>
      </w:r>
    </w:p>
    <w:p w:rsidR="005A26F6" w:rsidRDefault="005A26F6">
      <w:pPr>
        <w:pStyle w:val="Index1"/>
        <w:tabs>
          <w:tab w:val="right" w:leader="dot" w:pos="9460"/>
        </w:tabs>
        <w:rPr>
          <w:noProof/>
        </w:rPr>
      </w:pPr>
      <w:r w:rsidRPr="008C2D13">
        <w:rPr>
          <w:rFonts w:eastAsia="MS Gothic"/>
          <w:noProof/>
        </w:rPr>
        <w:instrText>PRE</w:instrText>
      </w:r>
      <w:r>
        <w:rPr>
          <w:noProof/>
        </w:rPr>
        <w:instrText>:</w:instrText>
      </w:r>
      <w:r>
        <w:rPr>
          <w:noProof/>
        </w:rPr>
        <w:tab/>
      </w:r>
      <w:r w:rsidRPr="008C2D13">
        <w:rPr>
          <w:rFonts w:eastAsia="MS Gothic"/>
          <w:noProof/>
        </w:rPr>
        <w:instrText>pen-related event</w:instrText>
      </w:r>
    </w:p>
    <w:p w:rsidR="005A26F6" w:rsidRDefault="005A26F6">
      <w:pPr>
        <w:pStyle w:val="Index1"/>
        <w:tabs>
          <w:tab w:val="right" w:leader="dot" w:pos="9460"/>
        </w:tabs>
        <w:rPr>
          <w:noProof/>
        </w:rPr>
      </w:pPr>
      <w:r>
        <w:rPr>
          <w:noProof/>
        </w:rPr>
        <w:instrText>PREQ:</w:instrText>
      </w:r>
      <w:r>
        <w:rPr>
          <w:noProof/>
        </w:rPr>
        <w:tab/>
        <w:instrText>pen-related event questionnaire</w:instrText>
      </w:r>
    </w:p>
    <w:p w:rsidR="005A26F6" w:rsidRDefault="005A26F6">
      <w:pPr>
        <w:pStyle w:val="Index1"/>
        <w:tabs>
          <w:tab w:val="right" w:leader="dot" w:pos="9460"/>
        </w:tabs>
        <w:rPr>
          <w:noProof/>
        </w:rPr>
      </w:pPr>
      <w:r w:rsidRPr="008C2D13">
        <w:rPr>
          <w:noProof/>
        </w:rPr>
        <w:instrText>PSAC</w:instrText>
      </w:r>
      <w:r>
        <w:rPr>
          <w:noProof/>
        </w:rPr>
        <w:instrText>:</w:instrText>
      </w:r>
      <w:r>
        <w:rPr>
          <w:noProof/>
        </w:rPr>
        <w:tab/>
      </w:r>
      <w:r w:rsidRPr="008C2D13">
        <w:rPr>
          <w:noProof/>
        </w:rPr>
        <w:instrText>pancreatic safety assessment committee</w:instrText>
      </w:r>
    </w:p>
    <w:p w:rsidR="005A26F6" w:rsidRDefault="005A26F6">
      <w:pPr>
        <w:pStyle w:val="Index1"/>
        <w:tabs>
          <w:tab w:val="right" w:leader="dot" w:pos="9460"/>
        </w:tabs>
        <w:rPr>
          <w:noProof/>
        </w:rPr>
      </w:pPr>
      <w:r>
        <w:rPr>
          <w:noProof/>
        </w:rPr>
        <w:instrText>PT:</w:instrText>
      </w:r>
      <w:r>
        <w:rPr>
          <w:noProof/>
        </w:rPr>
        <w:tab/>
        <w:instrText>preferred term</w:instrText>
      </w:r>
    </w:p>
    <w:p w:rsidR="005A26F6" w:rsidRDefault="005A26F6">
      <w:pPr>
        <w:pStyle w:val="Index1"/>
        <w:tabs>
          <w:tab w:val="right" w:leader="dot" w:pos="9460"/>
        </w:tabs>
        <w:rPr>
          <w:noProof/>
        </w:rPr>
      </w:pPr>
      <w:r>
        <w:rPr>
          <w:noProof/>
        </w:rPr>
        <w:instrText>PTC:</w:instrText>
      </w:r>
      <w:r>
        <w:rPr>
          <w:noProof/>
        </w:rPr>
        <w:tab/>
        <w:instrText>product technical complaint</w:instrText>
      </w:r>
    </w:p>
    <w:p w:rsidR="005A26F6" w:rsidRDefault="005A26F6">
      <w:pPr>
        <w:pStyle w:val="Index1"/>
        <w:tabs>
          <w:tab w:val="right" w:leader="dot" w:pos="9460"/>
        </w:tabs>
        <w:rPr>
          <w:noProof/>
        </w:rPr>
      </w:pPr>
      <w:r w:rsidRPr="008C2D13">
        <w:rPr>
          <w:rFonts w:eastAsia="MS Gothic"/>
          <w:noProof/>
        </w:rPr>
        <w:instrText>QD</w:instrText>
      </w:r>
      <w:r>
        <w:rPr>
          <w:noProof/>
        </w:rPr>
        <w:instrText>:</w:instrText>
      </w:r>
      <w:r>
        <w:rPr>
          <w:noProof/>
        </w:rPr>
        <w:tab/>
      </w:r>
      <w:r w:rsidRPr="008C2D13">
        <w:rPr>
          <w:rFonts w:eastAsia="MS Gothic"/>
          <w:noProof/>
        </w:rPr>
        <w:instrText>quague die = once daily</w:instrText>
      </w:r>
    </w:p>
    <w:p w:rsidR="005A26F6" w:rsidRDefault="005A26F6">
      <w:pPr>
        <w:pStyle w:val="Index1"/>
        <w:tabs>
          <w:tab w:val="right" w:leader="dot" w:pos="9460"/>
        </w:tabs>
        <w:rPr>
          <w:noProof/>
        </w:rPr>
      </w:pPr>
      <w:r w:rsidRPr="008C2D13">
        <w:rPr>
          <w:rFonts w:eastAsia="MS Gothic"/>
          <w:noProof/>
        </w:rPr>
        <w:instrText>QW</w:instrText>
      </w:r>
      <w:r>
        <w:rPr>
          <w:noProof/>
        </w:rPr>
        <w:instrText>:</w:instrText>
      </w:r>
      <w:r>
        <w:rPr>
          <w:noProof/>
        </w:rPr>
        <w:tab/>
      </w:r>
      <w:r w:rsidRPr="008C2D13">
        <w:rPr>
          <w:rFonts w:eastAsia="MS Gothic"/>
          <w:noProof/>
        </w:rPr>
        <w:instrText>once weekly</w:instrText>
      </w:r>
    </w:p>
    <w:p w:rsidR="005A26F6" w:rsidRDefault="005A26F6">
      <w:pPr>
        <w:pStyle w:val="Index1"/>
        <w:tabs>
          <w:tab w:val="right" w:leader="dot" w:pos="9460"/>
        </w:tabs>
        <w:rPr>
          <w:noProof/>
        </w:rPr>
      </w:pPr>
      <w:r>
        <w:rPr>
          <w:noProof/>
        </w:rPr>
        <w:instrText>SAE:</w:instrText>
      </w:r>
      <w:r>
        <w:rPr>
          <w:noProof/>
        </w:rPr>
        <w:tab/>
        <w:instrText>serious adverse event</w:instrText>
      </w:r>
    </w:p>
    <w:p w:rsidR="005A26F6" w:rsidRDefault="005A26F6">
      <w:pPr>
        <w:pStyle w:val="Index1"/>
        <w:tabs>
          <w:tab w:val="right" w:leader="dot" w:pos="9460"/>
        </w:tabs>
        <w:rPr>
          <w:noProof/>
        </w:rPr>
      </w:pPr>
      <w:r w:rsidRPr="008C2D13">
        <w:rPr>
          <w:noProof/>
        </w:rPr>
        <w:instrText>SAS</w:instrText>
      </w:r>
      <w:r>
        <w:rPr>
          <w:noProof/>
        </w:rPr>
        <w:instrText>:</w:instrText>
      </w:r>
      <w:r>
        <w:rPr>
          <w:noProof/>
        </w:rPr>
        <w:tab/>
      </w:r>
      <w:r w:rsidRPr="008C2D13">
        <w:rPr>
          <w:noProof/>
        </w:rPr>
        <w:instrText>statistical analysis system</w:instrText>
      </w:r>
    </w:p>
    <w:p w:rsidR="005A26F6" w:rsidRDefault="005A26F6">
      <w:pPr>
        <w:pStyle w:val="Index1"/>
        <w:tabs>
          <w:tab w:val="right" w:leader="dot" w:pos="9460"/>
        </w:tabs>
        <w:rPr>
          <w:noProof/>
        </w:rPr>
      </w:pPr>
      <w:r>
        <w:rPr>
          <w:noProof/>
        </w:rPr>
        <w:instrText>SC:</w:instrText>
      </w:r>
      <w:r>
        <w:rPr>
          <w:noProof/>
        </w:rPr>
        <w:tab/>
        <w:instrText>subcutaneous</w:instrText>
      </w:r>
    </w:p>
    <w:p w:rsidR="005A26F6" w:rsidRDefault="005A26F6">
      <w:pPr>
        <w:pStyle w:val="Index1"/>
        <w:tabs>
          <w:tab w:val="right" w:leader="dot" w:pos="9460"/>
        </w:tabs>
        <w:rPr>
          <w:noProof/>
        </w:rPr>
      </w:pPr>
      <w:r>
        <w:rPr>
          <w:noProof/>
        </w:rPr>
        <w:instrText>SD:</w:instrText>
      </w:r>
      <w:r>
        <w:rPr>
          <w:noProof/>
        </w:rPr>
        <w:tab/>
        <w:instrText>standard deviation</w:instrText>
      </w:r>
    </w:p>
    <w:p w:rsidR="005A26F6" w:rsidRDefault="005A26F6">
      <w:pPr>
        <w:pStyle w:val="Index1"/>
        <w:tabs>
          <w:tab w:val="right" w:leader="dot" w:pos="9460"/>
        </w:tabs>
        <w:rPr>
          <w:noProof/>
        </w:rPr>
      </w:pPr>
      <w:r>
        <w:rPr>
          <w:noProof/>
        </w:rPr>
        <w:instrText>SmPC:</w:instrText>
      </w:r>
      <w:r>
        <w:rPr>
          <w:noProof/>
        </w:rPr>
        <w:tab/>
        <w:instrText>summary of product characteristics</w:instrText>
      </w:r>
    </w:p>
    <w:p w:rsidR="005A26F6" w:rsidRDefault="005A26F6">
      <w:pPr>
        <w:pStyle w:val="Index1"/>
        <w:tabs>
          <w:tab w:val="right" w:leader="dot" w:pos="9460"/>
        </w:tabs>
        <w:rPr>
          <w:noProof/>
        </w:rPr>
      </w:pPr>
      <w:r w:rsidRPr="008C2D13">
        <w:rPr>
          <w:rFonts w:eastAsia="MS Gothic"/>
          <w:noProof/>
        </w:rPr>
        <w:instrText>SMPG</w:instrText>
      </w:r>
      <w:r>
        <w:rPr>
          <w:noProof/>
        </w:rPr>
        <w:instrText>:</w:instrText>
      </w:r>
      <w:r>
        <w:rPr>
          <w:noProof/>
        </w:rPr>
        <w:tab/>
      </w:r>
      <w:r w:rsidRPr="008C2D13">
        <w:rPr>
          <w:rFonts w:eastAsia="MS Gothic"/>
          <w:noProof/>
        </w:rPr>
        <w:instrText>self-monitored plasma glucose</w:instrText>
      </w:r>
    </w:p>
    <w:p w:rsidR="005A26F6" w:rsidRDefault="005A26F6">
      <w:pPr>
        <w:pStyle w:val="Index1"/>
        <w:tabs>
          <w:tab w:val="right" w:leader="dot" w:pos="9460"/>
        </w:tabs>
        <w:rPr>
          <w:noProof/>
        </w:rPr>
      </w:pPr>
      <w:r>
        <w:rPr>
          <w:noProof/>
        </w:rPr>
        <w:instrText>SOC:</w:instrText>
      </w:r>
      <w:r>
        <w:rPr>
          <w:noProof/>
        </w:rPr>
        <w:tab/>
        <w:instrText>system organ class</w:instrText>
      </w:r>
    </w:p>
    <w:p w:rsidR="005A26F6" w:rsidRDefault="005A26F6">
      <w:pPr>
        <w:pStyle w:val="Index1"/>
        <w:tabs>
          <w:tab w:val="right" w:leader="dot" w:pos="9460"/>
        </w:tabs>
        <w:rPr>
          <w:noProof/>
        </w:rPr>
      </w:pPr>
      <w:r>
        <w:rPr>
          <w:noProof/>
        </w:rPr>
        <w:instrText>TEAE:</w:instrText>
      </w:r>
      <w:r>
        <w:rPr>
          <w:noProof/>
        </w:rPr>
        <w:tab/>
        <w:instrText>treatment-emergent adverse event</w:instrText>
      </w:r>
    </w:p>
    <w:p w:rsidR="005A26F6" w:rsidRDefault="005A26F6">
      <w:pPr>
        <w:pStyle w:val="Index1"/>
        <w:tabs>
          <w:tab w:val="right" w:leader="dot" w:pos="9460"/>
        </w:tabs>
        <w:rPr>
          <w:noProof/>
        </w:rPr>
      </w:pPr>
      <w:r w:rsidRPr="008C2D13">
        <w:rPr>
          <w:rFonts w:eastAsia="MS Gothic"/>
          <w:noProof/>
        </w:rPr>
        <w:instrText>ULN</w:instrText>
      </w:r>
      <w:r>
        <w:rPr>
          <w:noProof/>
        </w:rPr>
        <w:instrText>:</w:instrText>
      </w:r>
      <w:r>
        <w:rPr>
          <w:noProof/>
        </w:rPr>
        <w:tab/>
      </w:r>
      <w:r w:rsidRPr="008C2D13">
        <w:rPr>
          <w:rFonts w:eastAsia="MS Gothic"/>
          <w:noProof/>
        </w:rPr>
        <w:instrText>upper limit of normal range</w:instrText>
      </w:r>
    </w:p>
    <w:p w:rsidR="005A26F6" w:rsidRDefault="005A26F6">
      <w:pPr>
        <w:pStyle w:val="Index1"/>
        <w:tabs>
          <w:tab w:val="right" w:leader="dot" w:pos="9460"/>
        </w:tabs>
        <w:rPr>
          <w:noProof/>
        </w:rPr>
      </w:pPr>
      <w:r>
        <w:rPr>
          <w:noProof/>
        </w:rPr>
        <w:instrText>WHO-DD:</w:instrText>
      </w:r>
      <w:r>
        <w:rPr>
          <w:noProof/>
        </w:rPr>
        <w:tab/>
        <w:instrText>World Health Organization - Drug Dictionary</w:instrText>
      </w:r>
    </w:p>
    <w:p w:rsidR="005A26F6" w:rsidRDefault="00942434" w:rsidP="00942434">
      <w:pPr>
        <w:rPr>
          <w:noProof/>
        </w:rPr>
      </w:pPr>
      <w:r>
        <w:fldChar w:fldCharType="end"/>
      </w:r>
      <w:r>
        <w:fldChar w:fldCharType="separate"/>
      </w:r>
    </w:p>
    <w:p w:rsidR="005A26F6" w:rsidRDefault="005A26F6">
      <w:pPr>
        <w:pStyle w:val="Index1"/>
        <w:tabs>
          <w:tab w:val="right" w:leader="dot" w:pos="9460"/>
        </w:tabs>
        <w:rPr>
          <w:noProof/>
        </w:rPr>
      </w:pPr>
      <w:r>
        <w:rPr>
          <w:noProof/>
        </w:rPr>
        <w:instrText>ADA:</w:instrText>
      </w:r>
      <w:r>
        <w:rPr>
          <w:noProof/>
        </w:rPr>
        <w:tab/>
        <w:instrText>American Diabetes Association</w:instrText>
      </w:r>
    </w:p>
    <w:p w:rsidR="005A26F6" w:rsidRDefault="005A26F6">
      <w:pPr>
        <w:pStyle w:val="Index1"/>
        <w:tabs>
          <w:tab w:val="right" w:leader="dot" w:pos="9460"/>
        </w:tabs>
        <w:rPr>
          <w:noProof/>
        </w:rPr>
      </w:pPr>
      <w:r w:rsidRPr="008C2D13">
        <w:rPr>
          <w:rFonts w:eastAsia="MS Gothic"/>
          <w:noProof/>
        </w:rPr>
        <w:instrText>AE</w:instrText>
      </w:r>
      <w:r>
        <w:rPr>
          <w:noProof/>
        </w:rPr>
        <w:instrText>:</w:instrText>
      </w:r>
      <w:r>
        <w:rPr>
          <w:noProof/>
        </w:rPr>
        <w:tab/>
      </w:r>
      <w:r w:rsidRPr="008C2D13">
        <w:rPr>
          <w:rFonts w:eastAsia="MS Gothic"/>
          <w:noProof/>
        </w:rPr>
        <w:instrText>adverse event</w:instrText>
      </w:r>
    </w:p>
    <w:p w:rsidR="005A26F6" w:rsidRDefault="005A26F6">
      <w:pPr>
        <w:pStyle w:val="Index1"/>
        <w:tabs>
          <w:tab w:val="right" w:leader="dot" w:pos="9460"/>
        </w:tabs>
        <w:rPr>
          <w:noProof/>
        </w:rPr>
      </w:pPr>
      <w:r w:rsidRPr="008C2D13">
        <w:rPr>
          <w:rFonts w:eastAsia="MS Gothic"/>
          <w:noProof/>
        </w:rPr>
        <w:instrText>AESI</w:instrText>
      </w:r>
      <w:r>
        <w:rPr>
          <w:noProof/>
        </w:rPr>
        <w:instrText>:</w:instrText>
      </w:r>
      <w:r>
        <w:rPr>
          <w:noProof/>
        </w:rPr>
        <w:tab/>
      </w:r>
      <w:r w:rsidRPr="008C2D13">
        <w:rPr>
          <w:rFonts w:eastAsia="MS Gothic"/>
          <w:noProof/>
        </w:rPr>
        <w:instrText>adverse event of special interest</w:instrText>
      </w:r>
    </w:p>
    <w:p w:rsidR="005A26F6" w:rsidRDefault="005A26F6">
      <w:pPr>
        <w:pStyle w:val="Index1"/>
        <w:tabs>
          <w:tab w:val="right" w:leader="dot" w:pos="9460"/>
        </w:tabs>
        <w:rPr>
          <w:noProof/>
        </w:rPr>
      </w:pPr>
      <w:r>
        <w:rPr>
          <w:noProof/>
        </w:rPr>
        <w:instrText>ALP:</w:instrText>
      </w:r>
      <w:r>
        <w:rPr>
          <w:noProof/>
        </w:rPr>
        <w:tab/>
        <w:instrText>alkaline phosphatase</w:instrText>
      </w:r>
    </w:p>
    <w:p w:rsidR="005A26F6" w:rsidRDefault="005A26F6">
      <w:pPr>
        <w:pStyle w:val="Index1"/>
        <w:tabs>
          <w:tab w:val="right" w:leader="dot" w:pos="9460"/>
        </w:tabs>
        <w:rPr>
          <w:noProof/>
        </w:rPr>
      </w:pPr>
      <w:r>
        <w:rPr>
          <w:noProof/>
        </w:rPr>
        <w:instrText>ALT:</w:instrText>
      </w:r>
      <w:r>
        <w:rPr>
          <w:noProof/>
        </w:rPr>
        <w:tab/>
        <w:instrText>alanine aminotransferase</w:instrText>
      </w:r>
    </w:p>
    <w:p w:rsidR="005A26F6" w:rsidRDefault="005A26F6">
      <w:pPr>
        <w:pStyle w:val="Index1"/>
        <w:tabs>
          <w:tab w:val="right" w:leader="dot" w:pos="9460"/>
        </w:tabs>
        <w:rPr>
          <w:noProof/>
        </w:rPr>
      </w:pPr>
      <w:r>
        <w:rPr>
          <w:noProof/>
        </w:rPr>
        <w:instrText>ANCOVA:</w:instrText>
      </w:r>
      <w:r>
        <w:rPr>
          <w:noProof/>
        </w:rPr>
        <w:tab/>
        <w:instrText>analysis of covariance</w:instrText>
      </w:r>
    </w:p>
    <w:p w:rsidR="005A26F6" w:rsidRDefault="005A26F6">
      <w:pPr>
        <w:pStyle w:val="Index1"/>
        <w:tabs>
          <w:tab w:val="right" w:leader="dot" w:pos="9460"/>
        </w:tabs>
        <w:rPr>
          <w:noProof/>
        </w:rPr>
      </w:pPr>
      <w:r w:rsidRPr="008C2D13">
        <w:rPr>
          <w:noProof/>
        </w:rPr>
        <w:instrText>ARAC</w:instrText>
      </w:r>
      <w:r>
        <w:rPr>
          <w:noProof/>
        </w:rPr>
        <w:instrText>:</w:instrText>
      </w:r>
      <w:r>
        <w:rPr>
          <w:noProof/>
        </w:rPr>
        <w:tab/>
      </w:r>
      <w:r w:rsidRPr="008C2D13">
        <w:rPr>
          <w:noProof/>
        </w:rPr>
        <w:instrText>allergic reaction assessment committee</w:instrText>
      </w:r>
    </w:p>
    <w:p w:rsidR="005A26F6" w:rsidRDefault="005A26F6">
      <w:pPr>
        <w:pStyle w:val="Index1"/>
        <w:tabs>
          <w:tab w:val="right" w:leader="dot" w:pos="9460"/>
        </w:tabs>
        <w:rPr>
          <w:noProof/>
        </w:rPr>
      </w:pPr>
      <w:r>
        <w:rPr>
          <w:noProof/>
        </w:rPr>
        <w:instrText>AST:</w:instrText>
      </w:r>
      <w:r>
        <w:rPr>
          <w:noProof/>
        </w:rPr>
        <w:tab/>
        <w:instrText>aspartate aminotransferase</w:instrText>
      </w:r>
    </w:p>
    <w:p w:rsidR="005A26F6" w:rsidRDefault="005A26F6">
      <w:pPr>
        <w:pStyle w:val="Index1"/>
        <w:tabs>
          <w:tab w:val="right" w:leader="dot" w:pos="9460"/>
        </w:tabs>
        <w:rPr>
          <w:noProof/>
        </w:rPr>
      </w:pPr>
      <w:r>
        <w:rPr>
          <w:noProof/>
        </w:rPr>
        <w:instrText>ATC:</w:instrText>
      </w:r>
      <w:r>
        <w:rPr>
          <w:noProof/>
        </w:rPr>
        <w:tab/>
        <w:instrText>anatomic or therapeutic category</w:instrText>
      </w:r>
    </w:p>
    <w:p w:rsidR="005A26F6" w:rsidRDefault="005A26F6">
      <w:pPr>
        <w:pStyle w:val="Index1"/>
        <w:tabs>
          <w:tab w:val="right" w:leader="dot" w:pos="9460"/>
        </w:tabs>
        <w:rPr>
          <w:noProof/>
        </w:rPr>
      </w:pPr>
      <w:r w:rsidRPr="008C2D13">
        <w:rPr>
          <w:rFonts w:eastAsia="MS Gothic"/>
          <w:noProof/>
        </w:rPr>
        <w:instrText>BID</w:instrText>
      </w:r>
      <w:r>
        <w:rPr>
          <w:noProof/>
        </w:rPr>
        <w:instrText>:</w:instrText>
      </w:r>
      <w:r>
        <w:rPr>
          <w:noProof/>
        </w:rPr>
        <w:tab/>
      </w:r>
      <w:r w:rsidRPr="008C2D13">
        <w:rPr>
          <w:rFonts w:eastAsia="MS Gothic"/>
          <w:noProof/>
        </w:rPr>
        <w:instrText>bis in die = twice daily</w:instrText>
      </w:r>
    </w:p>
    <w:p w:rsidR="005A26F6" w:rsidRDefault="005A26F6">
      <w:pPr>
        <w:pStyle w:val="Index1"/>
        <w:tabs>
          <w:tab w:val="right" w:leader="dot" w:pos="9460"/>
        </w:tabs>
        <w:rPr>
          <w:noProof/>
        </w:rPr>
      </w:pPr>
      <w:r w:rsidRPr="008C2D13">
        <w:rPr>
          <w:rFonts w:eastAsia="MS Gothic"/>
          <w:noProof/>
        </w:rPr>
        <w:instrText>BMI</w:instrText>
      </w:r>
      <w:r>
        <w:rPr>
          <w:noProof/>
        </w:rPr>
        <w:instrText>:</w:instrText>
      </w:r>
      <w:r>
        <w:rPr>
          <w:noProof/>
        </w:rPr>
        <w:tab/>
      </w:r>
      <w:r w:rsidRPr="008C2D13">
        <w:rPr>
          <w:rFonts w:eastAsia="MS Gothic"/>
          <w:noProof/>
        </w:rPr>
        <w:instrText>body mass index</w:instrText>
      </w:r>
    </w:p>
    <w:p w:rsidR="005A26F6" w:rsidRDefault="005A26F6">
      <w:pPr>
        <w:pStyle w:val="Index1"/>
        <w:tabs>
          <w:tab w:val="right" w:leader="dot" w:pos="9460"/>
        </w:tabs>
        <w:rPr>
          <w:noProof/>
        </w:rPr>
      </w:pPr>
      <w:r w:rsidRPr="008C2D13">
        <w:rPr>
          <w:rFonts w:cs="Arial"/>
          <w:noProof/>
        </w:rPr>
        <w:instrText>CI</w:instrText>
      </w:r>
      <w:r>
        <w:rPr>
          <w:noProof/>
        </w:rPr>
        <w:instrText>:</w:instrText>
      </w:r>
      <w:r>
        <w:rPr>
          <w:noProof/>
        </w:rPr>
        <w:tab/>
      </w:r>
      <w:r w:rsidRPr="008C2D13">
        <w:rPr>
          <w:rFonts w:cs="Arial"/>
          <w:noProof/>
        </w:rPr>
        <w:instrText>confidence interval</w:instrText>
      </w:r>
    </w:p>
    <w:p w:rsidR="005A26F6" w:rsidRDefault="005A26F6">
      <w:pPr>
        <w:pStyle w:val="Index1"/>
        <w:tabs>
          <w:tab w:val="right" w:leader="dot" w:pos="9460"/>
        </w:tabs>
        <w:rPr>
          <w:noProof/>
        </w:rPr>
      </w:pPr>
      <w:r>
        <w:rPr>
          <w:noProof/>
        </w:rPr>
        <w:instrText>CSR:</w:instrText>
      </w:r>
      <w:r>
        <w:rPr>
          <w:noProof/>
        </w:rPr>
        <w:tab/>
        <w:instrText>clinical study report</w:instrText>
      </w:r>
    </w:p>
    <w:p w:rsidR="005A26F6" w:rsidRDefault="005A26F6">
      <w:pPr>
        <w:pStyle w:val="Index1"/>
        <w:tabs>
          <w:tab w:val="right" w:leader="dot" w:pos="9460"/>
        </w:tabs>
        <w:rPr>
          <w:noProof/>
        </w:rPr>
      </w:pPr>
      <w:r>
        <w:rPr>
          <w:noProof/>
        </w:rPr>
        <w:instrText>EASD:</w:instrText>
      </w:r>
      <w:r>
        <w:rPr>
          <w:noProof/>
        </w:rPr>
        <w:tab/>
        <w:instrText>European Association for the Study of Diabetes</w:instrText>
      </w:r>
    </w:p>
    <w:p w:rsidR="005A26F6" w:rsidRDefault="005A26F6">
      <w:pPr>
        <w:pStyle w:val="Index1"/>
        <w:tabs>
          <w:tab w:val="right" w:leader="dot" w:pos="9460"/>
        </w:tabs>
        <w:rPr>
          <w:noProof/>
        </w:rPr>
      </w:pPr>
      <w:r w:rsidRPr="008C2D13">
        <w:rPr>
          <w:rFonts w:eastAsia="MS Gothic"/>
          <w:noProof/>
        </w:rPr>
        <w:instrText>ECG</w:instrText>
      </w:r>
      <w:r>
        <w:rPr>
          <w:noProof/>
        </w:rPr>
        <w:instrText>:</w:instrText>
      </w:r>
      <w:r>
        <w:rPr>
          <w:noProof/>
        </w:rPr>
        <w:tab/>
      </w:r>
      <w:r w:rsidRPr="008C2D13">
        <w:rPr>
          <w:rFonts w:eastAsia="MS Gothic"/>
          <w:noProof/>
        </w:rPr>
        <w:instrText>electrocardiogram</w:instrText>
      </w:r>
    </w:p>
    <w:p w:rsidR="005A26F6" w:rsidRDefault="005A26F6">
      <w:pPr>
        <w:pStyle w:val="Index1"/>
        <w:tabs>
          <w:tab w:val="right" w:leader="dot" w:pos="9460"/>
        </w:tabs>
        <w:rPr>
          <w:noProof/>
        </w:rPr>
      </w:pPr>
      <w:r w:rsidRPr="008C2D13">
        <w:rPr>
          <w:rFonts w:eastAsia="MS Gothic"/>
          <w:noProof/>
        </w:rPr>
        <w:instrText>e-CRF</w:instrText>
      </w:r>
      <w:r>
        <w:rPr>
          <w:noProof/>
        </w:rPr>
        <w:instrText>:</w:instrText>
      </w:r>
      <w:r>
        <w:rPr>
          <w:noProof/>
        </w:rPr>
        <w:tab/>
      </w:r>
      <w:r w:rsidRPr="008C2D13">
        <w:rPr>
          <w:rFonts w:eastAsia="MS Gothic"/>
          <w:noProof/>
        </w:rPr>
        <w:instrText>electronic case report form</w:instrText>
      </w:r>
    </w:p>
    <w:p w:rsidR="005A26F6" w:rsidRDefault="005A26F6">
      <w:pPr>
        <w:pStyle w:val="Index1"/>
        <w:tabs>
          <w:tab w:val="right" w:leader="dot" w:pos="9460"/>
        </w:tabs>
        <w:rPr>
          <w:noProof/>
        </w:rPr>
      </w:pPr>
      <w:r w:rsidRPr="008C2D13">
        <w:rPr>
          <w:rFonts w:eastAsia="MS Gothic"/>
          <w:noProof/>
        </w:rPr>
        <w:instrText>FPG</w:instrText>
      </w:r>
      <w:r>
        <w:rPr>
          <w:noProof/>
        </w:rPr>
        <w:instrText>:</w:instrText>
      </w:r>
      <w:r>
        <w:rPr>
          <w:noProof/>
        </w:rPr>
        <w:tab/>
      </w:r>
      <w:r w:rsidRPr="008C2D13">
        <w:rPr>
          <w:rFonts w:eastAsia="MS Gothic"/>
          <w:noProof/>
        </w:rPr>
        <w:instrText>fasting plasma glucose</w:instrText>
      </w:r>
    </w:p>
    <w:p w:rsidR="005A26F6" w:rsidRDefault="005A26F6">
      <w:pPr>
        <w:pStyle w:val="Index1"/>
        <w:tabs>
          <w:tab w:val="right" w:leader="dot" w:pos="9460"/>
        </w:tabs>
        <w:rPr>
          <w:noProof/>
        </w:rPr>
      </w:pPr>
      <w:r w:rsidRPr="008C2D13">
        <w:rPr>
          <w:noProof/>
        </w:rPr>
        <w:instrText>FRC</w:instrText>
      </w:r>
      <w:r>
        <w:rPr>
          <w:noProof/>
        </w:rPr>
        <w:instrText>:</w:instrText>
      </w:r>
      <w:r>
        <w:rPr>
          <w:noProof/>
        </w:rPr>
        <w:tab/>
      </w:r>
      <w:r w:rsidRPr="008C2D13">
        <w:rPr>
          <w:noProof/>
        </w:rPr>
        <w:instrText>fixed Ratio Combination</w:instrText>
      </w:r>
    </w:p>
    <w:p w:rsidR="005A26F6" w:rsidRDefault="005A26F6">
      <w:pPr>
        <w:pStyle w:val="Index1"/>
        <w:tabs>
          <w:tab w:val="right" w:leader="dot" w:pos="9460"/>
        </w:tabs>
        <w:rPr>
          <w:noProof/>
        </w:rPr>
      </w:pPr>
      <w:r>
        <w:rPr>
          <w:noProof/>
        </w:rPr>
        <w:instrText>GCP:</w:instrText>
      </w:r>
      <w:r>
        <w:rPr>
          <w:noProof/>
        </w:rPr>
        <w:tab/>
        <w:instrText>good clinical practice</w:instrText>
      </w:r>
    </w:p>
    <w:p w:rsidR="005A26F6" w:rsidRDefault="005A26F6">
      <w:pPr>
        <w:pStyle w:val="Index1"/>
        <w:tabs>
          <w:tab w:val="right" w:leader="dot" w:pos="9460"/>
        </w:tabs>
        <w:rPr>
          <w:noProof/>
        </w:rPr>
      </w:pPr>
      <w:r w:rsidRPr="008C2D13">
        <w:rPr>
          <w:rFonts w:eastAsia="MS Gothic"/>
          <w:noProof/>
        </w:rPr>
        <w:instrText>GFR</w:instrText>
      </w:r>
      <w:r>
        <w:rPr>
          <w:noProof/>
        </w:rPr>
        <w:instrText>:</w:instrText>
      </w:r>
      <w:r>
        <w:rPr>
          <w:noProof/>
        </w:rPr>
        <w:tab/>
      </w:r>
      <w:r w:rsidRPr="008C2D13">
        <w:rPr>
          <w:rFonts w:eastAsia="MS Gothic"/>
          <w:noProof/>
        </w:rPr>
        <w:instrText>glomerular filtration rate</w:instrText>
      </w:r>
    </w:p>
    <w:p w:rsidR="005A26F6" w:rsidRDefault="005A26F6">
      <w:pPr>
        <w:pStyle w:val="Index1"/>
        <w:tabs>
          <w:tab w:val="right" w:leader="dot" w:pos="9460"/>
        </w:tabs>
        <w:rPr>
          <w:noProof/>
        </w:rPr>
      </w:pPr>
      <w:r>
        <w:rPr>
          <w:noProof/>
        </w:rPr>
        <w:instrText>GLP-1 RA:</w:instrText>
      </w:r>
      <w:r>
        <w:rPr>
          <w:noProof/>
        </w:rPr>
        <w:tab/>
        <w:instrText>glucagon-like peptide-1 receptor agonist</w:instrText>
      </w:r>
    </w:p>
    <w:p w:rsidR="005A26F6" w:rsidRDefault="005A26F6">
      <w:pPr>
        <w:pStyle w:val="Index1"/>
        <w:tabs>
          <w:tab w:val="right" w:leader="dot" w:pos="9460"/>
        </w:tabs>
        <w:rPr>
          <w:noProof/>
        </w:rPr>
      </w:pPr>
      <w:r>
        <w:rPr>
          <w:noProof/>
        </w:rPr>
        <w:instrText>HbA1c:</w:instrText>
      </w:r>
      <w:r>
        <w:rPr>
          <w:noProof/>
        </w:rPr>
        <w:tab/>
        <w:instrText>hemoglobin A1c</w:instrText>
      </w:r>
    </w:p>
    <w:p w:rsidR="005A26F6" w:rsidRDefault="005A26F6">
      <w:pPr>
        <w:pStyle w:val="Index1"/>
        <w:tabs>
          <w:tab w:val="right" w:leader="dot" w:pos="9460"/>
        </w:tabs>
        <w:rPr>
          <w:noProof/>
        </w:rPr>
      </w:pPr>
      <w:r>
        <w:rPr>
          <w:noProof/>
        </w:rPr>
        <w:instrText>HDL:</w:instrText>
      </w:r>
      <w:r>
        <w:rPr>
          <w:noProof/>
        </w:rPr>
        <w:tab/>
        <w:instrText>high density lipoprotein</w:instrText>
      </w:r>
    </w:p>
    <w:p w:rsidR="005A26F6" w:rsidRDefault="005A26F6">
      <w:pPr>
        <w:pStyle w:val="Index1"/>
        <w:tabs>
          <w:tab w:val="right" w:leader="dot" w:pos="9460"/>
        </w:tabs>
        <w:rPr>
          <w:noProof/>
        </w:rPr>
      </w:pPr>
      <w:r>
        <w:rPr>
          <w:noProof/>
        </w:rPr>
        <w:instrText>HLGT:</w:instrText>
      </w:r>
      <w:r>
        <w:rPr>
          <w:noProof/>
        </w:rPr>
        <w:tab/>
        <w:instrText>high level group term</w:instrText>
      </w:r>
    </w:p>
    <w:p w:rsidR="005A26F6" w:rsidRDefault="005A26F6">
      <w:pPr>
        <w:pStyle w:val="Index1"/>
        <w:tabs>
          <w:tab w:val="right" w:leader="dot" w:pos="9460"/>
        </w:tabs>
        <w:rPr>
          <w:noProof/>
        </w:rPr>
      </w:pPr>
      <w:r>
        <w:rPr>
          <w:noProof/>
        </w:rPr>
        <w:instrText>HLT:</w:instrText>
      </w:r>
      <w:r>
        <w:rPr>
          <w:noProof/>
        </w:rPr>
        <w:tab/>
        <w:instrText>high level term</w:instrText>
      </w:r>
    </w:p>
    <w:p w:rsidR="005A26F6" w:rsidRDefault="005A26F6">
      <w:pPr>
        <w:pStyle w:val="Index1"/>
        <w:tabs>
          <w:tab w:val="right" w:leader="dot" w:pos="9460"/>
        </w:tabs>
        <w:rPr>
          <w:noProof/>
        </w:rPr>
      </w:pPr>
      <w:r>
        <w:rPr>
          <w:noProof/>
        </w:rPr>
        <w:instrText>ICH:</w:instrText>
      </w:r>
      <w:r>
        <w:rPr>
          <w:noProof/>
        </w:rPr>
        <w:tab/>
        <w:instrText>International Conference on Harmonization</w:instrText>
      </w:r>
    </w:p>
    <w:p w:rsidR="005A26F6" w:rsidRDefault="005A26F6">
      <w:pPr>
        <w:pStyle w:val="Index1"/>
        <w:tabs>
          <w:tab w:val="right" w:leader="dot" w:pos="9460"/>
        </w:tabs>
        <w:rPr>
          <w:noProof/>
        </w:rPr>
      </w:pPr>
      <w:r>
        <w:rPr>
          <w:noProof/>
        </w:rPr>
        <w:instrText>IEC:</w:instrText>
      </w:r>
      <w:r>
        <w:rPr>
          <w:noProof/>
        </w:rPr>
        <w:tab/>
        <w:instrText>independent ethics committee</w:instrText>
      </w:r>
    </w:p>
    <w:p w:rsidR="005A26F6" w:rsidRDefault="005A26F6">
      <w:pPr>
        <w:pStyle w:val="Index1"/>
        <w:tabs>
          <w:tab w:val="right" w:leader="dot" w:pos="9460"/>
        </w:tabs>
        <w:rPr>
          <w:noProof/>
        </w:rPr>
      </w:pPr>
      <w:r>
        <w:rPr>
          <w:noProof/>
        </w:rPr>
        <w:instrText>IgM:</w:instrText>
      </w:r>
      <w:r>
        <w:rPr>
          <w:noProof/>
        </w:rPr>
        <w:tab/>
        <w:instrText>immunoglobulin M</w:instrText>
      </w:r>
    </w:p>
    <w:p w:rsidR="005A26F6" w:rsidRDefault="005A26F6">
      <w:pPr>
        <w:pStyle w:val="Index1"/>
        <w:tabs>
          <w:tab w:val="right" w:leader="dot" w:pos="9460"/>
        </w:tabs>
        <w:rPr>
          <w:noProof/>
        </w:rPr>
      </w:pPr>
      <w:r>
        <w:rPr>
          <w:noProof/>
        </w:rPr>
        <w:instrText>IMP:</w:instrText>
      </w:r>
      <w:r>
        <w:rPr>
          <w:noProof/>
        </w:rPr>
        <w:tab/>
        <w:instrText>investigational medicinal product</w:instrText>
      </w:r>
    </w:p>
    <w:p w:rsidR="005A26F6" w:rsidRDefault="005A26F6">
      <w:pPr>
        <w:pStyle w:val="Index1"/>
        <w:tabs>
          <w:tab w:val="right" w:leader="dot" w:pos="9460"/>
        </w:tabs>
        <w:rPr>
          <w:noProof/>
        </w:rPr>
      </w:pPr>
      <w:r>
        <w:rPr>
          <w:noProof/>
        </w:rPr>
        <w:instrText>IRB:</w:instrText>
      </w:r>
      <w:r>
        <w:rPr>
          <w:noProof/>
        </w:rPr>
        <w:tab/>
        <w:instrText>institutional review board</w:instrText>
      </w:r>
    </w:p>
    <w:p w:rsidR="005A26F6" w:rsidRDefault="005A26F6">
      <w:pPr>
        <w:pStyle w:val="Index1"/>
        <w:tabs>
          <w:tab w:val="right" w:leader="dot" w:pos="9460"/>
        </w:tabs>
        <w:rPr>
          <w:noProof/>
        </w:rPr>
      </w:pPr>
      <w:r w:rsidRPr="008C2D13">
        <w:rPr>
          <w:rFonts w:cs="Arial"/>
          <w:noProof/>
        </w:rPr>
        <w:instrText>ITT</w:instrText>
      </w:r>
      <w:r>
        <w:rPr>
          <w:noProof/>
        </w:rPr>
        <w:instrText>:</w:instrText>
      </w:r>
      <w:r>
        <w:rPr>
          <w:noProof/>
        </w:rPr>
        <w:tab/>
      </w:r>
      <w:r w:rsidRPr="008C2D13">
        <w:rPr>
          <w:rFonts w:cs="Arial"/>
          <w:noProof/>
        </w:rPr>
        <w:instrText>intent-to-treat</w:instrText>
      </w:r>
    </w:p>
    <w:p w:rsidR="005A26F6" w:rsidRDefault="005A26F6">
      <w:pPr>
        <w:pStyle w:val="Index1"/>
        <w:tabs>
          <w:tab w:val="right" w:leader="dot" w:pos="9460"/>
        </w:tabs>
        <w:rPr>
          <w:noProof/>
        </w:rPr>
      </w:pPr>
      <w:r w:rsidRPr="008C2D13">
        <w:rPr>
          <w:noProof/>
        </w:rPr>
        <w:instrText>IVRS/IWRS</w:instrText>
      </w:r>
      <w:r>
        <w:rPr>
          <w:noProof/>
        </w:rPr>
        <w:instrText>:</w:instrText>
      </w:r>
      <w:r>
        <w:rPr>
          <w:noProof/>
        </w:rPr>
        <w:tab/>
      </w:r>
      <w:r w:rsidRPr="008C2D13">
        <w:rPr>
          <w:noProof/>
        </w:rPr>
        <w:instrText>interactive voice/web response system</w:instrText>
      </w:r>
    </w:p>
    <w:p w:rsidR="005A26F6" w:rsidRDefault="005A26F6">
      <w:pPr>
        <w:pStyle w:val="Index1"/>
        <w:tabs>
          <w:tab w:val="right" w:leader="dot" w:pos="9460"/>
        </w:tabs>
        <w:rPr>
          <w:noProof/>
        </w:rPr>
      </w:pPr>
      <w:r>
        <w:rPr>
          <w:noProof/>
        </w:rPr>
        <w:instrText>LDL:</w:instrText>
      </w:r>
      <w:r>
        <w:rPr>
          <w:noProof/>
        </w:rPr>
        <w:tab/>
        <w:instrText>low density lipoprotein</w:instrText>
      </w:r>
    </w:p>
    <w:p w:rsidR="005A26F6" w:rsidRDefault="005A26F6">
      <w:pPr>
        <w:pStyle w:val="Index1"/>
        <w:tabs>
          <w:tab w:val="right" w:leader="dot" w:pos="9460"/>
        </w:tabs>
        <w:rPr>
          <w:noProof/>
        </w:rPr>
      </w:pPr>
      <w:r>
        <w:rPr>
          <w:noProof/>
        </w:rPr>
        <w:instrText>LOCF:</w:instrText>
      </w:r>
      <w:r>
        <w:rPr>
          <w:noProof/>
        </w:rPr>
        <w:tab/>
        <w:instrText>last observation carried forward</w:instrText>
      </w:r>
    </w:p>
    <w:p w:rsidR="005A26F6" w:rsidRDefault="005A26F6">
      <w:pPr>
        <w:pStyle w:val="Index1"/>
        <w:tabs>
          <w:tab w:val="right" w:leader="dot" w:pos="9460"/>
        </w:tabs>
        <w:rPr>
          <w:noProof/>
        </w:rPr>
      </w:pPr>
      <w:r w:rsidRPr="008C2D13">
        <w:rPr>
          <w:noProof/>
        </w:rPr>
        <w:instrText>mITT</w:instrText>
      </w:r>
      <w:r>
        <w:rPr>
          <w:noProof/>
        </w:rPr>
        <w:instrText>:</w:instrText>
      </w:r>
      <w:r>
        <w:rPr>
          <w:noProof/>
        </w:rPr>
        <w:tab/>
      </w:r>
      <w:r w:rsidRPr="008C2D13">
        <w:rPr>
          <w:noProof/>
        </w:rPr>
        <w:instrText>modified intent-to-treat</w:instrText>
      </w:r>
    </w:p>
    <w:p w:rsidR="005A26F6" w:rsidRDefault="005A26F6">
      <w:pPr>
        <w:pStyle w:val="Index1"/>
        <w:tabs>
          <w:tab w:val="right" w:leader="dot" w:pos="9460"/>
        </w:tabs>
        <w:rPr>
          <w:noProof/>
        </w:rPr>
      </w:pPr>
      <w:r w:rsidRPr="008C2D13">
        <w:rPr>
          <w:noProof/>
        </w:rPr>
        <w:instrText>MMRM</w:instrText>
      </w:r>
      <w:r>
        <w:rPr>
          <w:noProof/>
        </w:rPr>
        <w:instrText>:</w:instrText>
      </w:r>
      <w:r>
        <w:rPr>
          <w:noProof/>
        </w:rPr>
        <w:tab/>
      </w:r>
      <w:r w:rsidRPr="008C2D13">
        <w:rPr>
          <w:noProof/>
        </w:rPr>
        <w:instrText>mixed-effect model with repeated measures</w:instrText>
      </w:r>
    </w:p>
    <w:p w:rsidR="005A26F6" w:rsidRDefault="005A26F6">
      <w:pPr>
        <w:pStyle w:val="Index1"/>
        <w:tabs>
          <w:tab w:val="right" w:leader="dot" w:pos="9460"/>
        </w:tabs>
        <w:rPr>
          <w:noProof/>
        </w:rPr>
      </w:pPr>
      <w:r w:rsidRPr="008C2D13">
        <w:rPr>
          <w:rFonts w:eastAsia="MS Gothic"/>
          <w:noProof/>
        </w:rPr>
        <w:instrText>MTC</w:instrText>
      </w:r>
      <w:r>
        <w:rPr>
          <w:noProof/>
        </w:rPr>
        <w:instrText>:</w:instrText>
      </w:r>
      <w:r>
        <w:rPr>
          <w:noProof/>
        </w:rPr>
        <w:tab/>
      </w:r>
      <w:r w:rsidRPr="008C2D13">
        <w:rPr>
          <w:rFonts w:eastAsia="MS Gothic"/>
          <w:noProof/>
        </w:rPr>
        <w:instrText>medullary thyroid cancer</w:instrText>
      </w:r>
    </w:p>
    <w:p w:rsidR="005A26F6" w:rsidRDefault="005A26F6">
      <w:pPr>
        <w:pStyle w:val="Index1"/>
        <w:tabs>
          <w:tab w:val="right" w:leader="dot" w:pos="9460"/>
        </w:tabs>
        <w:rPr>
          <w:noProof/>
        </w:rPr>
      </w:pPr>
      <w:r w:rsidRPr="008C2D13">
        <w:rPr>
          <w:rFonts w:eastAsia="MS Gothic"/>
          <w:noProof/>
        </w:rPr>
        <w:instrText>MTD</w:instrText>
      </w:r>
      <w:r>
        <w:rPr>
          <w:noProof/>
        </w:rPr>
        <w:instrText>:</w:instrText>
      </w:r>
      <w:r>
        <w:rPr>
          <w:noProof/>
        </w:rPr>
        <w:tab/>
      </w:r>
      <w:r w:rsidRPr="008C2D13">
        <w:rPr>
          <w:rFonts w:eastAsia="MS Gothic"/>
          <w:noProof/>
        </w:rPr>
        <w:instrText>maximum tolerated dose</w:instrText>
      </w:r>
    </w:p>
    <w:p w:rsidR="005A26F6" w:rsidRDefault="005A26F6">
      <w:pPr>
        <w:pStyle w:val="Index1"/>
        <w:tabs>
          <w:tab w:val="right" w:leader="dot" w:pos="9460"/>
        </w:tabs>
        <w:rPr>
          <w:noProof/>
        </w:rPr>
      </w:pPr>
      <w:r>
        <w:rPr>
          <w:noProof/>
        </w:rPr>
        <w:instrText>NIMP:</w:instrText>
      </w:r>
      <w:r>
        <w:rPr>
          <w:noProof/>
        </w:rPr>
        <w:tab/>
        <w:instrText>noninvestigational medicinal product</w:instrText>
      </w:r>
    </w:p>
    <w:p w:rsidR="005A26F6" w:rsidRDefault="005A26F6">
      <w:pPr>
        <w:pStyle w:val="Index1"/>
        <w:tabs>
          <w:tab w:val="right" w:leader="dot" w:pos="9460"/>
        </w:tabs>
        <w:rPr>
          <w:noProof/>
        </w:rPr>
      </w:pPr>
      <w:r w:rsidRPr="008C2D13">
        <w:rPr>
          <w:rFonts w:eastAsia="MS Gothic"/>
          <w:noProof/>
        </w:rPr>
        <w:instrText>OAD</w:instrText>
      </w:r>
      <w:r>
        <w:rPr>
          <w:noProof/>
        </w:rPr>
        <w:instrText>:</w:instrText>
      </w:r>
      <w:r>
        <w:rPr>
          <w:noProof/>
        </w:rPr>
        <w:tab/>
      </w:r>
      <w:r w:rsidRPr="008C2D13">
        <w:rPr>
          <w:rFonts w:eastAsia="MS Gothic"/>
          <w:noProof/>
        </w:rPr>
        <w:instrText>oral anti-diabetic drug</w:instrText>
      </w:r>
    </w:p>
    <w:p w:rsidR="005A26F6" w:rsidRDefault="005A26F6">
      <w:pPr>
        <w:pStyle w:val="Index1"/>
        <w:tabs>
          <w:tab w:val="right" w:leader="dot" w:pos="9460"/>
        </w:tabs>
        <w:rPr>
          <w:noProof/>
        </w:rPr>
      </w:pPr>
      <w:r>
        <w:rPr>
          <w:noProof/>
        </w:rPr>
        <w:instrText>PCSA:</w:instrText>
      </w:r>
      <w:r>
        <w:rPr>
          <w:noProof/>
        </w:rPr>
        <w:tab/>
        <w:instrText>potentially clinically significant abnormality</w:instrText>
      </w:r>
    </w:p>
    <w:p w:rsidR="005A26F6" w:rsidRDefault="005A26F6">
      <w:pPr>
        <w:pStyle w:val="Index1"/>
        <w:tabs>
          <w:tab w:val="right" w:leader="dot" w:pos="9460"/>
        </w:tabs>
        <w:rPr>
          <w:noProof/>
        </w:rPr>
      </w:pPr>
      <w:r>
        <w:rPr>
          <w:noProof/>
        </w:rPr>
        <w:instrText>PI:</w:instrText>
      </w:r>
      <w:r>
        <w:rPr>
          <w:noProof/>
        </w:rPr>
        <w:tab/>
        <w:instrText>prescribing information</w:instrText>
      </w:r>
    </w:p>
    <w:p w:rsidR="005A26F6" w:rsidRDefault="005A26F6">
      <w:pPr>
        <w:pStyle w:val="Index1"/>
        <w:tabs>
          <w:tab w:val="right" w:leader="dot" w:pos="9460"/>
        </w:tabs>
        <w:rPr>
          <w:noProof/>
        </w:rPr>
      </w:pPr>
      <w:r w:rsidRPr="008C2D13">
        <w:rPr>
          <w:rFonts w:eastAsia="MS Gothic"/>
          <w:noProof/>
        </w:rPr>
        <w:instrText>PPG</w:instrText>
      </w:r>
      <w:r>
        <w:rPr>
          <w:noProof/>
        </w:rPr>
        <w:instrText>:</w:instrText>
      </w:r>
      <w:r>
        <w:rPr>
          <w:noProof/>
        </w:rPr>
        <w:tab/>
      </w:r>
      <w:r w:rsidRPr="008C2D13">
        <w:rPr>
          <w:rFonts w:eastAsia="MS Gothic"/>
          <w:noProof/>
        </w:rPr>
        <w:instrText>post-prandial plasma glucose</w:instrText>
      </w:r>
    </w:p>
    <w:p w:rsidR="005A26F6" w:rsidRDefault="005A26F6">
      <w:pPr>
        <w:pStyle w:val="Index1"/>
        <w:tabs>
          <w:tab w:val="right" w:leader="dot" w:pos="9460"/>
        </w:tabs>
        <w:rPr>
          <w:noProof/>
        </w:rPr>
      </w:pPr>
      <w:r w:rsidRPr="008C2D13">
        <w:rPr>
          <w:rFonts w:eastAsia="MS Gothic"/>
          <w:noProof/>
        </w:rPr>
        <w:instrText>PRE</w:instrText>
      </w:r>
      <w:r>
        <w:rPr>
          <w:noProof/>
        </w:rPr>
        <w:instrText>:</w:instrText>
      </w:r>
      <w:r>
        <w:rPr>
          <w:noProof/>
        </w:rPr>
        <w:tab/>
      </w:r>
      <w:r w:rsidRPr="008C2D13">
        <w:rPr>
          <w:rFonts w:eastAsia="MS Gothic"/>
          <w:noProof/>
        </w:rPr>
        <w:instrText>pen-related event</w:instrText>
      </w:r>
    </w:p>
    <w:p w:rsidR="005A26F6" w:rsidRDefault="005A26F6">
      <w:pPr>
        <w:pStyle w:val="Index1"/>
        <w:tabs>
          <w:tab w:val="right" w:leader="dot" w:pos="9460"/>
        </w:tabs>
        <w:rPr>
          <w:noProof/>
        </w:rPr>
      </w:pPr>
      <w:r>
        <w:rPr>
          <w:noProof/>
        </w:rPr>
        <w:instrText>PREQ:</w:instrText>
      </w:r>
      <w:r>
        <w:rPr>
          <w:noProof/>
        </w:rPr>
        <w:tab/>
        <w:instrText>pen-related event questionnaire</w:instrText>
      </w:r>
    </w:p>
    <w:p w:rsidR="005A26F6" w:rsidRDefault="005A26F6">
      <w:pPr>
        <w:pStyle w:val="Index1"/>
        <w:tabs>
          <w:tab w:val="right" w:leader="dot" w:pos="9460"/>
        </w:tabs>
        <w:rPr>
          <w:noProof/>
        </w:rPr>
      </w:pPr>
      <w:r w:rsidRPr="008C2D13">
        <w:rPr>
          <w:noProof/>
        </w:rPr>
        <w:instrText>PSAC</w:instrText>
      </w:r>
      <w:r>
        <w:rPr>
          <w:noProof/>
        </w:rPr>
        <w:instrText>:</w:instrText>
      </w:r>
      <w:r>
        <w:rPr>
          <w:noProof/>
        </w:rPr>
        <w:tab/>
      </w:r>
      <w:r w:rsidRPr="008C2D13">
        <w:rPr>
          <w:noProof/>
        </w:rPr>
        <w:instrText>pancreatic safety assessment committee</w:instrText>
      </w:r>
    </w:p>
    <w:p w:rsidR="005A26F6" w:rsidRDefault="005A26F6">
      <w:pPr>
        <w:pStyle w:val="Index1"/>
        <w:tabs>
          <w:tab w:val="right" w:leader="dot" w:pos="9460"/>
        </w:tabs>
        <w:rPr>
          <w:noProof/>
        </w:rPr>
      </w:pPr>
      <w:r>
        <w:rPr>
          <w:noProof/>
        </w:rPr>
        <w:instrText>PT:</w:instrText>
      </w:r>
      <w:r>
        <w:rPr>
          <w:noProof/>
        </w:rPr>
        <w:tab/>
        <w:instrText>preferred term</w:instrText>
      </w:r>
    </w:p>
    <w:p w:rsidR="005A26F6" w:rsidRDefault="005A26F6">
      <w:pPr>
        <w:pStyle w:val="Index1"/>
        <w:tabs>
          <w:tab w:val="right" w:leader="dot" w:pos="9460"/>
        </w:tabs>
        <w:rPr>
          <w:noProof/>
        </w:rPr>
      </w:pPr>
      <w:r>
        <w:rPr>
          <w:noProof/>
        </w:rPr>
        <w:instrText>PTC:</w:instrText>
      </w:r>
      <w:r>
        <w:rPr>
          <w:noProof/>
        </w:rPr>
        <w:tab/>
        <w:instrText>product technical complaint</w:instrText>
      </w:r>
    </w:p>
    <w:p w:rsidR="005A26F6" w:rsidRDefault="005A26F6">
      <w:pPr>
        <w:pStyle w:val="Index1"/>
        <w:tabs>
          <w:tab w:val="right" w:leader="dot" w:pos="9460"/>
        </w:tabs>
        <w:rPr>
          <w:noProof/>
        </w:rPr>
      </w:pPr>
      <w:r w:rsidRPr="008C2D13">
        <w:rPr>
          <w:rFonts w:eastAsia="MS Gothic"/>
          <w:noProof/>
        </w:rPr>
        <w:instrText>QD</w:instrText>
      </w:r>
      <w:r>
        <w:rPr>
          <w:noProof/>
        </w:rPr>
        <w:instrText>:</w:instrText>
      </w:r>
      <w:r>
        <w:rPr>
          <w:noProof/>
        </w:rPr>
        <w:tab/>
      </w:r>
      <w:r w:rsidRPr="008C2D13">
        <w:rPr>
          <w:rFonts w:eastAsia="MS Gothic"/>
          <w:noProof/>
        </w:rPr>
        <w:instrText>quague die = once daily</w:instrText>
      </w:r>
    </w:p>
    <w:p w:rsidR="005A26F6" w:rsidRDefault="005A26F6">
      <w:pPr>
        <w:pStyle w:val="Index1"/>
        <w:tabs>
          <w:tab w:val="right" w:leader="dot" w:pos="9460"/>
        </w:tabs>
        <w:rPr>
          <w:noProof/>
        </w:rPr>
      </w:pPr>
      <w:r w:rsidRPr="008C2D13">
        <w:rPr>
          <w:rFonts w:eastAsia="MS Gothic"/>
          <w:noProof/>
        </w:rPr>
        <w:instrText>QW</w:instrText>
      </w:r>
      <w:r>
        <w:rPr>
          <w:noProof/>
        </w:rPr>
        <w:instrText>:</w:instrText>
      </w:r>
      <w:r>
        <w:rPr>
          <w:noProof/>
        </w:rPr>
        <w:tab/>
      </w:r>
      <w:r w:rsidRPr="008C2D13">
        <w:rPr>
          <w:rFonts w:eastAsia="MS Gothic"/>
          <w:noProof/>
        </w:rPr>
        <w:instrText>once weekly</w:instrText>
      </w:r>
    </w:p>
    <w:p w:rsidR="005A26F6" w:rsidRDefault="005A26F6">
      <w:pPr>
        <w:pStyle w:val="Index1"/>
        <w:tabs>
          <w:tab w:val="right" w:leader="dot" w:pos="9460"/>
        </w:tabs>
        <w:rPr>
          <w:noProof/>
        </w:rPr>
      </w:pPr>
      <w:r>
        <w:rPr>
          <w:noProof/>
        </w:rPr>
        <w:instrText>SAE:</w:instrText>
      </w:r>
      <w:r>
        <w:rPr>
          <w:noProof/>
        </w:rPr>
        <w:tab/>
        <w:instrText>serious adverse event</w:instrText>
      </w:r>
    </w:p>
    <w:p w:rsidR="005A26F6" w:rsidRDefault="005A26F6">
      <w:pPr>
        <w:pStyle w:val="Index1"/>
        <w:tabs>
          <w:tab w:val="right" w:leader="dot" w:pos="9460"/>
        </w:tabs>
        <w:rPr>
          <w:noProof/>
        </w:rPr>
      </w:pPr>
      <w:r w:rsidRPr="008C2D13">
        <w:rPr>
          <w:noProof/>
        </w:rPr>
        <w:instrText>SAS</w:instrText>
      </w:r>
      <w:r>
        <w:rPr>
          <w:noProof/>
        </w:rPr>
        <w:instrText>:</w:instrText>
      </w:r>
      <w:r>
        <w:rPr>
          <w:noProof/>
        </w:rPr>
        <w:tab/>
      </w:r>
      <w:r w:rsidRPr="008C2D13">
        <w:rPr>
          <w:noProof/>
        </w:rPr>
        <w:instrText>statistical analysis system</w:instrText>
      </w:r>
    </w:p>
    <w:p w:rsidR="005A26F6" w:rsidRDefault="005A26F6">
      <w:pPr>
        <w:pStyle w:val="Index1"/>
        <w:tabs>
          <w:tab w:val="right" w:leader="dot" w:pos="9460"/>
        </w:tabs>
        <w:rPr>
          <w:noProof/>
        </w:rPr>
      </w:pPr>
      <w:r>
        <w:rPr>
          <w:noProof/>
        </w:rPr>
        <w:instrText>SC:</w:instrText>
      </w:r>
      <w:r>
        <w:rPr>
          <w:noProof/>
        </w:rPr>
        <w:tab/>
        <w:instrText>subcutaneous</w:instrText>
      </w:r>
    </w:p>
    <w:p w:rsidR="005A26F6" w:rsidRDefault="005A26F6">
      <w:pPr>
        <w:pStyle w:val="Index1"/>
        <w:tabs>
          <w:tab w:val="right" w:leader="dot" w:pos="9460"/>
        </w:tabs>
        <w:rPr>
          <w:noProof/>
        </w:rPr>
      </w:pPr>
      <w:r>
        <w:rPr>
          <w:noProof/>
        </w:rPr>
        <w:instrText>SD:</w:instrText>
      </w:r>
      <w:r>
        <w:rPr>
          <w:noProof/>
        </w:rPr>
        <w:tab/>
        <w:instrText>standard deviation</w:instrText>
      </w:r>
    </w:p>
    <w:p w:rsidR="005A26F6" w:rsidRDefault="005A26F6">
      <w:pPr>
        <w:pStyle w:val="Index1"/>
        <w:tabs>
          <w:tab w:val="right" w:leader="dot" w:pos="9460"/>
        </w:tabs>
        <w:rPr>
          <w:noProof/>
        </w:rPr>
      </w:pPr>
      <w:r>
        <w:rPr>
          <w:noProof/>
        </w:rPr>
        <w:instrText>SmPC:</w:instrText>
      </w:r>
      <w:r>
        <w:rPr>
          <w:noProof/>
        </w:rPr>
        <w:tab/>
        <w:instrText>summary of product characteristics</w:instrText>
      </w:r>
    </w:p>
    <w:p w:rsidR="005A26F6" w:rsidRDefault="005A26F6">
      <w:pPr>
        <w:pStyle w:val="Index1"/>
        <w:tabs>
          <w:tab w:val="right" w:leader="dot" w:pos="9460"/>
        </w:tabs>
        <w:rPr>
          <w:noProof/>
        </w:rPr>
      </w:pPr>
      <w:r w:rsidRPr="008C2D13">
        <w:rPr>
          <w:rFonts w:eastAsia="MS Gothic"/>
          <w:noProof/>
        </w:rPr>
        <w:instrText>SMPG</w:instrText>
      </w:r>
      <w:r>
        <w:rPr>
          <w:noProof/>
        </w:rPr>
        <w:instrText>:</w:instrText>
      </w:r>
      <w:r>
        <w:rPr>
          <w:noProof/>
        </w:rPr>
        <w:tab/>
      </w:r>
      <w:r w:rsidRPr="008C2D13">
        <w:rPr>
          <w:rFonts w:eastAsia="MS Gothic"/>
          <w:noProof/>
        </w:rPr>
        <w:instrText>self-monitored plasma glucose</w:instrText>
      </w:r>
    </w:p>
    <w:p w:rsidR="005A26F6" w:rsidRDefault="005A26F6">
      <w:pPr>
        <w:pStyle w:val="Index1"/>
        <w:tabs>
          <w:tab w:val="right" w:leader="dot" w:pos="9460"/>
        </w:tabs>
        <w:rPr>
          <w:noProof/>
        </w:rPr>
      </w:pPr>
      <w:r>
        <w:rPr>
          <w:noProof/>
        </w:rPr>
        <w:instrText>SOC:</w:instrText>
      </w:r>
      <w:r>
        <w:rPr>
          <w:noProof/>
        </w:rPr>
        <w:tab/>
        <w:instrText>system organ class</w:instrText>
      </w:r>
    </w:p>
    <w:p w:rsidR="005A26F6" w:rsidRDefault="005A26F6">
      <w:pPr>
        <w:pStyle w:val="Index1"/>
        <w:tabs>
          <w:tab w:val="right" w:leader="dot" w:pos="9460"/>
        </w:tabs>
        <w:rPr>
          <w:noProof/>
        </w:rPr>
      </w:pPr>
      <w:r>
        <w:rPr>
          <w:noProof/>
        </w:rPr>
        <w:instrText>TEAE:</w:instrText>
      </w:r>
      <w:r>
        <w:rPr>
          <w:noProof/>
        </w:rPr>
        <w:tab/>
        <w:instrText>treatment-emergent adverse event</w:instrText>
      </w:r>
    </w:p>
    <w:p w:rsidR="005A26F6" w:rsidRDefault="005A26F6">
      <w:pPr>
        <w:pStyle w:val="Index1"/>
        <w:tabs>
          <w:tab w:val="right" w:leader="dot" w:pos="9460"/>
        </w:tabs>
        <w:rPr>
          <w:noProof/>
        </w:rPr>
      </w:pPr>
      <w:r w:rsidRPr="008C2D13">
        <w:rPr>
          <w:rFonts w:eastAsia="MS Gothic"/>
          <w:noProof/>
        </w:rPr>
        <w:instrText>ULN</w:instrText>
      </w:r>
      <w:r>
        <w:rPr>
          <w:noProof/>
        </w:rPr>
        <w:instrText>:</w:instrText>
      </w:r>
      <w:r>
        <w:rPr>
          <w:noProof/>
        </w:rPr>
        <w:tab/>
      </w:r>
      <w:r w:rsidRPr="008C2D13">
        <w:rPr>
          <w:rFonts w:eastAsia="MS Gothic"/>
          <w:noProof/>
        </w:rPr>
        <w:instrText>upper limit of normal range</w:instrText>
      </w:r>
    </w:p>
    <w:p w:rsidR="005A26F6" w:rsidRDefault="005A26F6">
      <w:pPr>
        <w:pStyle w:val="Index1"/>
        <w:tabs>
          <w:tab w:val="right" w:leader="dot" w:pos="9460"/>
        </w:tabs>
        <w:rPr>
          <w:noProof/>
        </w:rPr>
      </w:pPr>
      <w:r>
        <w:rPr>
          <w:noProof/>
        </w:rPr>
        <w:instrText>WHO-DD:</w:instrText>
      </w:r>
      <w:r>
        <w:rPr>
          <w:noProof/>
        </w:rPr>
        <w:tab/>
        <w:instrText>World Health Organization - Drug Dictionary</w:instrText>
      </w:r>
    </w:p>
    <w:p w:rsidR="005A26F6" w:rsidRDefault="00942434" w:rsidP="00942434">
      <w:pPr>
        <w:rPr>
          <w:noProof/>
        </w:rPr>
      </w:pPr>
      <w:r>
        <w:fldChar w:fldCharType="end"/>
      </w:r>
      <w:r>
        <w:fldChar w:fldCharType="separate"/>
      </w:r>
    </w:p>
    <w:p w:rsidR="005A26F6" w:rsidRDefault="005A26F6">
      <w:pPr>
        <w:pStyle w:val="Index1"/>
        <w:tabs>
          <w:tab w:val="right" w:leader="dot" w:pos="9460"/>
        </w:tabs>
        <w:rPr>
          <w:noProof/>
        </w:rPr>
      </w:pPr>
      <w:r>
        <w:rPr>
          <w:noProof/>
        </w:rPr>
        <w:instrText>ADA:</w:instrText>
      </w:r>
      <w:r>
        <w:rPr>
          <w:noProof/>
        </w:rPr>
        <w:tab/>
        <w:instrText>American Diabetes Association</w:instrText>
      </w:r>
    </w:p>
    <w:p w:rsidR="005A26F6" w:rsidRDefault="005A26F6">
      <w:pPr>
        <w:pStyle w:val="Index1"/>
        <w:tabs>
          <w:tab w:val="right" w:leader="dot" w:pos="9460"/>
        </w:tabs>
        <w:rPr>
          <w:noProof/>
        </w:rPr>
      </w:pPr>
      <w:r w:rsidRPr="008C2D13">
        <w:rPr>
          <w:rFonts w:eastAsia="MS Gothic"/>
          <w:noProof/>
        </w:rPr>
        <w:instrText>AE</w:instrText>
      </w:r>
      <w:r>
        <w:rPr>
          <w:noProof/>
        </w:rPr>
        <w:instrText>:</w:instrText>
      </w:r>
      <w:r>
        <w:rPr>
          <w:noProof/>
        </w:rPr>
        <w:tab/>
      </w:r>
      <w:r w:rsidRPr="008C2D13">
        <w:rPr>
          <w:rFonts w:eastAsia="MS Gothic"/>
          <w:noProof/>
        </w:rPr>
        <w:instrText>adverse event</w:instrText>
      </w:r>
    </w:p>
    <w:p w:rsidR="005A26F6" w:rsidRDefault="005A26F6">
      <w:pPr>
        <w:pStyle w:val="Index1"/>
        <w:tabs>
          <w:tab w:val="right" w:leader="dot" w:pos="9460"/>
        </w:tabs>
        <w:rPr>
          <w:noProof/>
        </w:rPr>
      </w:pPr>
      <w:r w:rsidRPr="008C2D13">
        <w:rPr>
          <w:rFonts w:eastAsia="MS Gothic"/>
          <w:noProof/>
        </w:rPr>
        <w:instrText>AESI</w:instrText>
      </w:r>
      <w:r>
        <w:rPr>
          <w:noProof/>
        </w:rPr>
        <w:instrText>:</w:instrText>
      </w:r>
      <w:r>
        <w:rPr>
          <w:noProof/>
        </w:rPr>
        <w:tab/>
      </w:r>
      <w:r w:rsidRPr="008C2D13">
        <w:rPr>
          <w:rFonts w:eastAsia="MS Gothic"/>
          <w:noProof/>
        </w:rPr>
        <w:instrText>adverse event of special interest</w:instrText>
      </w:r>
    </w:p>
    <w:p w:rsidR="005A26F6" w:rsidRDefault="005A26F6">
      <w:pPr>
        <w:pStyle w:val="Index1"/>
        <w:tabs>
          <w:tab w:val="right" w:leader="dot" w:pos="9460"/>
        </w:tabs>
        <w:rPr>
          <w:noProof/>
        </w:rPr>
      </w:pPr>
      <w:r>
        <w:rPr>
          <w:noProof/>
        </w:rPr>
        <w:instrText>ALP:</w:instrText>
      </w:r>
      <w:r>
        <w:rPr>
          <w:noProof/>
        </w:rPr>
        <w:tab/>
        <w:instrText>alkaline phosphatase</w:instrText>
      </w:r>
    </w:p>
    <w:p w:rsidR="005A26F6" w:rsidRDefault="005A26F6">
      <w:pPr>
        <w:pStyle w:val="Index1"/>
        <w:tabs>
          <w:tab w:val="right" w:leader="dot" w:pos="9460"/>
        </w:tabs>
        <w:rPr>
          <w:noProof/>
        </w:rPr>
      </w:pPr>
      <w:r>
        <w:rPr>
          <w:noProof/>
        </w:rPr>
        <w:instrText>ALT:</w:instrText>
      </w:r>
      <w:r>
        <w:rPr>
          <w:noProof/>
        </w:rPr>
        <w:tab/>
        <w:instrText>alanine aminotransferase</w:instrText>
      </w:r>
    </w:p>
    <w:p w:rsidR="005A26F6" w:rsidRDefault="005A26F6">
      <w:pPr>
        <w:pStyle w:val="Index1"/>
        <w:tabs>
          <w:tab w:val="right" w:leader="dot" w:pos="9460"/>
        </w:tabs>
        <w:rPr>
          <w:noProof/>
        </w:rPr>
      </w:pPr>
      <w:r>
        <w:rPr>
          <w:noProof/>
        </w:rPr>
        <w:instrText>ANCOVA:</w:instrText>
      </w:r>
      <w:r>
        <w:rPr>
          <w:noProof/>
        </w:rPr>
        <w:tab/>
        <w:instrText>analysis of covariance</w:instrText>
      </w:r>
    </w:p>
    <w:p w:rsidR="005A26F6" w:rsidRDefault="005A26F6">
      <w:pPr>
        <w:pStyle w:val="Index1"/>
        <w:tabs>
          <w:tab w:val="right" w:leader="dot" w:pos="9460"/>
        </w:tabs>
        <w:rPr>
          <w:noProof/>
        </w:rPr>
      </w:pPr>
      <w:r w:rsidRPr="008C2D13">
        <w:rPr>
          <w:noProof/>
        </w:rPr>
        <w:instrText>ARAC</w:instrText>
      </w:r>
      <w:r>
        <w:rPr>
          <w:noProof/>
        </w:rPr>
        <w:instrText>:</w:instrText>
      </w:r>
      <w:r>
        <w:rPr>
          <w:noProof/>
        </w:rPr>
        <w:tab/>
      </w:r>
      <w:r w:rsidRPr="008C2D13">
        <w:rPr>
          <w:noProof/>
        </w:rPr>
        <w:instrText>allergic reaction assessment committee</w:instrText>
      </w:r>
    </w:p>
    <w:p w:rsidR="005A26F6" w:rsidRDefault="005A26F6">
      <w:pPr>
        <w:pStyle w:val="Index1"/>
        <w:tabs>
          <w:tab w:val="right" w:leader="dot" w:pos="9460"/>
        </w:tabs>
        <w:rPr>
          <w:noProof/>
        </w:rPr>
      </w:pPr>
      <w:r>
        <w:rPr>
          <w:noProof/>
        </w:rPr>
        <w:instrText>AST:</w:instrText>
      </w:r>
      <w:r>
        <w:rPr>
          <w:noProof/>
        </w:rPr>
        <w:tab/>
        <w:instrText>aspartate aminotransferase</w:instrText>
      </w:r>
    </w:p>
    <w:p w:rsidR="005A26F6" w:rsidRDefault="005A26F6">
      <w:pPr>
        <w:pStyle w:val="Index1"/>
        <w:tabs>
          <w:tab w:val="right" w:leader="dot" w:pos="9460"/>
        </w:tabs>
        <w:rPr>
          <w:noProof/>
        </w:rPr>
      </w:pPr>
      <w:r>
        <w:rPr>
          <w:noProof/>
        </w:rPr>
        <w:instrText>ATC:</w:instrText>
      </w:r>
      <w:r>
        <w:rPr>
          <w:noProof/>
        </w:rPr>
        <w:tab/>
        <w:instrText>anatomic or therapeutic category</w:instrText>
      </w:r>
    </w:p>
    <w:p w:rsidR="005A26F6" w:rsidRDefault="005A26F6">
      <w:pPr>
        <w:pStyle w:val="Index1"/>
        <w:tabs>
          <w:tab w:val="right" w:leader="dot" w:pos="9460"/>
        </w:tabs>
        <w:rPr>
          <w:noProof/>
        </w:rPr>
      </w:pPr>
      <w:r w:rsidRPr="008C2D13">
        <w:rPr>
          <w:rFonts w:eastAsia="MS Gothic"/>
          <w:noProof/>
        </w:rPr>
        <w:instrText>BID</w:instrText>
      </w:r>
      <w:r>
        <w:rPr>
          <w:noProof/>
        </w:rPr>
        <w:instrText>:</w:instrText>
      </w:r>
      <w:r>
        <w:rPr>
          <w:noProof/>
        </w:rPr>
        <w:tab/>
      </w:r>
      <w:r w:rsidRPr="008C2D13">
        <w:rPr>
          <w:rFonts w:eastAsia="MS Gothic"/>
          <w:noProof/>
        </w:rPr>
        <w:instrText>bis in die = twice daily</w:instrText>
      </w:r>
    </w:p>
    <w:p w:rsidR="005A26F6" w:rsidRDefault="005A26F6">
      <w:pPr>
        <w:pStyle w:val="Index1"/>
        <w:tabs>
          <w:tab w:val="right" w:leader="dot" w:pos="9460"/>
        </w:tabs>
        <w:rPr>
          <w:noProof/>
        </w:rPr>
      </w:pPr>
      <w:r w:rsidRPr="008C2D13">
        <w:rPr>
          <w:rFonts w:eastAsia="MS Gothic"/>
          <w:noProof/>
        </w:rPr>
        <w:instrText>BMI</w:instrText>
      </w:r>
      <w:r>
        <w:rPr>
          <w:noProof/>
        </w:rPr>
        <w:instrText>:</w:instrText>
      </w:r>
      <w:r>
        <w:rPr>
          <w:noProof/>
        </w:rPr>
        <w:tab/>
      </w:r>
      <w:r w:rsidRPr="008C2D13">
        <w:rPr>
          <w:rFonts w:eastAsia="MS Gothic"/>
          <w:noProof/>
        </w:rPr>
        <w:instrText>body mass index</w:instrText>
      </w:r>
    </w:p>
    <w:p w:rsidR="005A26F6" w:rsidRDefault="005A26F6">
      <w:pPr>
        <w:pStyle w:val="Index1"/>
        <w:tabs>
          <w:tab w:val="right" w:leader="dot" w:pos="9460"/>
        </w:tabs>
        <w:rPr>
          <w:noProof/>
        </w:rPr>
      </w:pPr>
      <w:r w:rsidRPr="008C2D13">
        <w:rPr>
          <w:rFonts w:cs="Arial"/>
          <w:noProof/>
        </w:rPr>
        <w:instrText>CI</w:instrText>
      </w:r>
      <w:r>
        <w:rPr>
          <w:noProof/>
        </w:rPr>
        <w:instrText>:</w:instrText>
      </w:r>
      <w:r>
        <w:rPr>
          <w:noProof/>
        </w:rPr>
        <w:tab/>
      </w:r>
      <w:r w:rsidRPr="008C2D13">
        <w:rPr>
          <w:rFonts w:cs="Arial"/>
          <w:noProof/>
        </w:rPr>
        <w:instrText>confidence interval</w:instrText>
      </w:r>
    </w:p>
    <w:p w:rsidR="005A26F6" w:rsidRDefault="005A26F6">
      <w:pPr>
        <w:pStyle w:val="Index1"/>
        <w:tabs>
          <w:tab w:val="right" w:leader="dot" w:pos="9460"/>
        </w:tabs>
        <w:rPr>
          <w:noProof/>
        </w:rPr>
      </w:pPr>
      <w:r>
        <w:rPr>
          <w:noProof/>
        </w:rPr>
        <w:instrText>CSR:</w:instrText>
      </w:r>
      <w:r>
        <w:rPr>
          <w:noProof/>
        </w:rPr>
        <w:tab/>
        <w:instrText>clinical study report</w:instrText>
      </w:r>
    </w:p>
    <w:p w:rsidR="005A26F6" w:rsidRDefault="005A26F6">
      <w:pPr>
        <w:pStyle w:val="Index1"/>
        <w:tabs>
          <w:tab w:val="right" w:leader="dot" w:pos="9460"/>
        </w:tabs>
        <w:rPr>
          <w:noProof/>
        </w:rPr>
      </w:pPr>
      <w:r>
        <w:rPr>
          <w:noProof/>
        </w:rPr>
        <w:instrText>EASD:</w:instrText>
      </w:r>
      <w:r>
        <w:rPr>
          <w:noProof/>
        </w:rPr>
        <w:tab/>
        <w:instrText>European Association for the Study of Diabetes</w:instrText>
      </w:r>
    </w:p>
    <w:p w:rsidR="005A26F6" w:rsidRDefault="005A26F6">
      <w:pPr>
        <w:pStyle w:val="Index1"/>
        <w:tabs>
          <w:tab w:val="right" w:leader="dot" w:pos="9460"/>
        </w:tabs>
        <w:rPr>
          <w:noProof/>
        </w:rPr>
      </w:pPr>
      <w:r w:rsidRPr="008C2D13">
        <w:rPr>
          <w:rFonts w:eastAsia="MS Gothic"/>
          <w:noProof/>
        </w:rPr>
        <w:instrText>ECG</w:instrText>
      </w:r>
      <w:r>
        <w:rPr>
          <w:noProof/>
        </w:rPr>
        <w:instrText>:</w:instrText>
      </w:r>
      <w:r>
        <w:rPr>
          <w:noProof/>
        </w:rPr>
        <w:tab/>
      </w:r>
      <w:r w:rsidRPr="008C2D13">
        <w:rPr>
          <w:rFonts w:eastAsia="MS Gothic"/>
          <w:noProof/>
        </w:rPr>
        <w:instrText>electrocardiogram</w:instrText>
      </w:r>
    </w:p>
    <w:p w:rsidR="005A26F6" w:rsidRDefault="005A26F6">
      <w:pPr>
        <w:pStyle w:val="Index1"/>
        <w:tabs>
          <w:tab w:val="right" w:leader="dot" w:pos="9460"/>
        </w:tabs>
        <w:rPr>
          <w:noProof/>
        </w:rPr>
      </w:pPr>
      <w:r w:rsidRPr="008C2D13">
        <w:rPr>
          <w:rFonts w:eastAsia="MS Gothic"/>
          <w:noProof/>
        </w:rPr>
        <w:instrText>e-CRF</w:instrText>
      </w:r>
      <w:r>
        <w:rPr>
          <w:noProof/>
        </w:rPr>
        <w:instrText>:</w:instrText>
      </w:r>
      <w:r>
        <w:rPr>
          <w:noProof/>
        </w:rPr>
        <w:tab/>
      </w:r>
      <w:r w:rsidRPr="008C2D13">
        <w:rPr>
          <w:rFonts w:eastAsia="MS Gothic"/>
          <w:noProof/>
        </w:rPr>
        <w:instrText>electronic case report form</w:instrText>
      </w:r>
    </w:p>
    <w:p w:rsidR="005A26F6" w:rsidRDefault="005A26F6">
      <w:pPr>
        <w:pStyle w:val="Index1"/>
        <w:tabs>
          <w:tab w:val="right" w:leader="dot" w:pos="9460"/>
        </w:tabs>
        <w:rPr>
          <w:noProof/>
        </w:rPr>
      </w:pPr>
      <w:r w:rsidRPr="008C2D13">
        <w:rPr>
          <w:rFonts w:eastAsia="MS Gothic"/>
          <w:noProof/>
        </w:rPr>
        <w:instrText>FPG</w:instrText>
      </w:r>
      <w:r>
        <w:rPr>
          <w:noProof/>
        </w:rPr>
        <w:instrText>:</w:instrText>
      </w:r>
      <w:r>
        <w:rPr>
          <w:noProof/>
        </w:rPr>
        <w:tab/>
      </w:r>
      <w:r w:rsidRPr="008C2D13">
        <w:rPr>
          <w:rFonts w:eastAsia="MS Gothic"/>
          <w:noProof/>
        </w:rPr>
        <w:instrText>fasting plasma glucose</w:instrText>
      </w:r>
    </w:p>
    <w:p w:rsidR="005A26F6" w:rsidRDefault="005A26F6">
      <w:pPr>
        <w:pStyle w:val="Index1"/>
        <w:tabs>
          <w:tab w:val="right" w:leader="dot" w:pos="9460"/>
        </w:tabs>
        <w:rPr>
          <w:noProof/>
        </w:rPr>
      </w:pPr>
      <w:r w:rsidRPr="008C2D13">
        <w:rPr>
          <w:noProof/>
        </w:rPr>
        <w:instrText>FRC</w:instrText>
      </w:r>
      <w:r>
        <w:rPr>
          <w:noProof/>
        </w:rPr>
        <w:instrText>:</w:instrText>
      </w:r>
      <w:r>
        <w:rPr>
          <w:noProof/>
        </w:rPr>
        <w:tab/>
      </w:r>
      <w:r w:rsidRPr="008C2D13">
        <w:rPr>
          <w:noProof/>
        </w:rPr>
        <w:instrText>fixed Ratio Combination</w:instrText>
      </w:r>
    </w:p>
    <w:p w:rsidR="005A26F6" w:rsidRDefault="005A26F6">
      <w:pPr>
        <w:pStyle w:val="Index1"/>
        <w:tabs>
          <w:tab w:val="right" w:leader="dot" w:pos="9460"/>
        </w:tabs>
        <w:rPr>
          <w:noProof/>
        </w:rPr>
      </w:pPr>
      <w:r>
        <w:rPr>
          <w:noProof/>
        </w:rPr>
        <w:instrText>GCP:</w:instrText>
      </w:r>
      <w:r>
        <w:rPr>
          <w:noProof/>
        </w:rPr>
        <w:tab/>
        <w:instrText>good clinical practice</w:instrText>
      </w:r>
    </w:p>
    <w:p w:rsidR="005A26F6" w:rsidRDefault="005A26F6">
      <w:pPr>
        <w:pStyle w:val="Index1"/>
        <w:tabs>
          <w:tab w:val="right" w:leader="dot" w:pos="9460"/>
        </w:tabs>
        <w:rPr>
          <w:noProof/>
        </w:rPr>
      </w:pPr>
      <w:r w:rsidRPr="008C2D13">
        <w:rPr>
          <w:rFonts w:eastAsia="MS Gothic"/>
          <w:noProof/>
        </w:rPr>
        <w:instrText>GFR</w:instrText>
      </w:r>
      <w:r>
        <w:rPr>
          <w:noProof/>
        </w:rPr>
        <w:instrText>:</w:instrText>
      </w:r>
      <w:r>
        <w:rPr>
          <w:noProof/>
        </w:rPr>
        <w:tab/>
      </w:r>
      <w:r w:rsidRPr="008C2D13">
        <w:rPr>
          <w:rFonts w:eastAsia="MS Gothic"/>
          <w:noProof/>
        </w:rPr>
        <w:instrText>glomerular filtration rate</w:instrText>
      </w:r>
    </w:p>
    <w:p w:rsidR="005A26F6" w:rsidRDefault="005A26F6">
      <w:pPr>
        <w:pStyle w:val="Index1"/>
        <w:tabs>
          <w:tab w:val="right" w:leader="dot" w:pos="9460"/>
        </w:tabs>
        <w:rPr>
          <w:noProof/>
        </w:rPr>
      </w:pPr>
      <w:r>
        <w:rPr>
          <w:noProof/>
        </w:rPr>
        <w:instrText>GLP-1 RA:</w:instrText>
      </w:r>
      <w:r>
        <w:rPr>
          <w:noProof/>
        </w:rPr>
        <w:tab/>
        <w:instrText>glucagon-like peptide-1 receptor agonist</w:instrText>
      </w:r>
    </w:p>
    <w:p w:rsidR="005A26F6" w:rsidRDefault="005A26F6">
      <w:pPr>
        <w:pStyle w:val="Index1"/>
        <w:tabs>
          <w:tab w:val="right" w:leader="dot" w:pos="9460"/>
        </w:tabs>
        <w:rPr>
          <w:noProof/>
        </w:rPr>
      </w:pPr>
      <w:r>
        <w:rPr>
          <w:noProof/>
        </w:rPr>
        <w:instrText>HbA1c:</w:instrText>
      </w:r>
      <w:r>
        <w:rPr>
          <w:noProof/>
        </w:rPr>
        <w:tab/>
        <w:instrText>hemoglobin A1c</w:instrText>
      </w:r>
    </w:p>
    <w:p w:rsidR="005A26F6" w:rsidRDefault="005A26F6">
      <w:pPr>
        <w:pStyle w:val="Index1"/>
        <w:tabs>
          <w:tab w:val="right" w:leader="dot" w:pos="9460"/>
        </w:tabs>
        <w:rPr>
          <w:noProof/>
        </w:rPr>
      </w:pPr>
      <w:r>
        <w:rPr>
          <w:noProof/>
        </w:rPr>
        <w:instrText>HDL:</w:instrText>
      </w:r>
      <w:r>
        <w:rPr>
          <w:noProof/>
        </w:rPr>
        <w:tab/>
        <w:instrText>high density lipoprotein</w:instrText>
      </w:r>
    </w:p>
    <w:p w:rsidR="005A26F6" w:rsidRDefault="005A26F6">
      <w:pPr>
        <w:pStyle w:val="Index1"/>
        <w:tabs>
          <w:tab w:val="right" w:leader="dot" w:pos="9460"/>
        </w:tabs>
        <w:rPr>
          <w:noProof/>
        </w:rPr>
      </w:pPr>
      <w:r>
        <w:rPr>
          <w:noProof/>
        </w:rPr>
        <w:instrText>HLGT:</w:instrText>
      </w:r>
      <w:r>
        <w:rPr>
          <w:noProof/>
        </w:rPr>
        <w:tab/>
        <w:instrText>high level group term</w:instrText>
      </w:r>
    </w:p>
    <w:p w:rsidR="005A26F6" w:rsidRDefault="005A26F6">
      <w:pPr>
        <w:pStyle w:val="Index1"/>
        <w:tabs>
          <w:tab w:val="right" w:leader="dot" w:pos="9460"/>
        </w:tabs>
        <w:rPr>
          <w:noProof/>
        </w:rPr>
      </w:pPr>
      <w:r>
        <w:rPr>
          <w:noProof/>
        </w:rPr>
        <w:instrText>HLT:</w:instrText>
      </w:r>
      <w:r>
        <w:rPr>
          <w:noProof/>
        </w:rPr>
        <w:tab/>
        <w:instrText>high level term</w:instrText>
      </w:r>
    </w:p>
    <w:p w:rsidR="005A26F6" w:rsidRDefault="005A26F6">
      <w:pPr>
        <w:pStyle w:val="Index1"/>
        <w:tabs>
          <w:tab w:val="right" w:leader="dot" w:pos="9460"/>
        </w:tabs>
        <w:rPr>
          <w:noProof/>
        </w:rPr>
      </w:pPr>
      <w:r>
        <w:rPr>
          <w:noProof/>
        </w:rPr>
        <w:instrText>ICH:</w:instrText>
      </w:r>
      <w:r>
        <w:rPr>
          <w:noProof/>
        </w:rPr>
        <w:tab/>
        <w:instrText>International Conference on Harmonization</w:instrText>
      </w:r>
    </w:p>
    <w:p w:rsidR="005A26F6" w:rsidRDefault="005A26F6">
      <w:pPr>
        <w:pStyle w:val="Index1"/>
        <w:tabs>
          <w:tab w:val="right" w:leader="dot" w:pos="9460"/>
        </w:tabs>
        <w:rPr>
          <w:noProof/>
        </w:rPr>
      </w:pPr>
      <w:r>
        <w:rPr>
          <w:noProof/>
        </w:rPr>
        <w:instrText>IEC:</w:instrText>
      </w:r>
      <w:r>
        <w:rPr>
          <w:noProof/>
        </w:rPr>
        <w:tab/>
        <w:instrText>independent ethics committee</w:instrText>
      </w:r>
    </w:p>
    <w:p w:rsidR="005A26F6" w:rsidRDefault="005A26F6">
      <w:pPr>
        <w:pStyle w:val="Index1"/>
        <w:tabs>
          <w:tab w:val="right" w:leader="dot" w:pos="9460"/>
        </w:tabs>
        <w:rPr>
          <w:noProof/>
        </w:rPr>
      </w:pPr>
      <w:r>
        <w:rPr>
          <w:noProof/>
        </w:rPr>
        <w:instrText>IgM:</w:instrText>
      </w:r>
      <w:r>
        <w:rPr>
          <w:noProof/>
        </w:rPr>
        <w:tab/>
        <w:instrText>immunoglobulin M</w:instrText>
      </w:r>
    </w:p>
    <w:p w:rsidR="005A26F6" w:rsidRDefault="005A26F6">
      <w:pPr>
        <w:pStyle w:val="Index1"/>
        <w:tabs>
          <w:tab w:val="right" w:leader="dot" w:pos="9460"/>
        </w:tabs>
        <w:rPr>
          <w:noProof/>
        </w:rPr>
      </w:pPr>
      <w:r>
        <w:rPr>
          <w:noProof/>
        </w:rPr>
        <w:instrText>IMP:</w:instrText>
      </w:r>
      <w:r>
        <w:rPr>
          <w:noProof/>
        </w:rPr>
        <w:tab/>
        <w:instrText>investigational medicinal product</w:instrText>
      </w:r>
    </w:p>
    <w:p w:rsidR="005A26F6" w:rsidRDefault="005A26F6">
      <w:pPr>
        <w:pStyle w:val="Index1"/>
        <w:tabs>
          <w:tab w:val="right" w:leader="dot" w:pos="9460"/>
        </w:tabs>
        <w:rPr>
          <w:noProof/>
        </w:rPr>
      </w:pPr>
      <w:r>
        <w:rPr>
          <w:noProof/>
        </w:rPr>
        <w:instrText>IRB:</w:instrText>
      </w:r>
      <w:r>
        <w:rPr>
          <w:noProof/>
        </w:rPr>
        <w:tab/>
        <w:instrText>institutional review board</w:instrText>
      </w:r>
    </w:p>
    <w:p w:rsidR="005A26F6" w:rsidRDefault="005A26F6">
      <w:pPr>
        <w:pStyle w:val="Index1"/>
        <w:tabs>
          <w:tab w:val="right" w:leader="dot" w:pos="9460"/>
        </w:tabs>
        <w:rPr>
          <w:noProof/>
        </w:rPr>
      </w:pPr>
      <w:r w:rsidRPr="008C2D13">
        <w:rPr>
          <w:rFonts w:cs="Arial"/>
          <w:noProof/>
        </w:rPr>
        <w:instrText>ITT</w:instrText>
      </w:r>
      <w:r>
        <w:rPr>
          <w:noProof/>
        </w:rPr>
        <w:instrText>:</w:instrText>
      </w:r>
      <w:r>
        <w:rPr>
          <w:noProof/>
        </w:rPr>
        <w:tab/>
      </w:r>
      <w:r w:rsidRPr="008C2D13">
        <w:rPr>
          <w:rFonts w:cs="Arial"/>
          <w:noProof/>
        </w:rPr>
        <w:instrText>intent-to-treat</w:instrText>
      </w:r>
    </w:p>
    <w:p w:rsidR="005A26F6" w:rsidRDefault="005A26F6">
      <w:pPr>
        <w:pStyle w:val="Index1"/>
        <w:tabs>
          <w:tab w:val="right" w:leader="dot" w:pos="9460"/>
        </w:tabs>
        <w:rPr>
          <w:noProof/>
        </w:rPr>
      </w:pPr>
      <w:r w:rsidRPr="008C2D13">
        <w:rPr>
          <w:noProof/>
        </w:rPr>
        <w:instrText>IVRS/IWRS</w:instrText>
      </w:r>
      <w:r>
        <w:rPr>
          <w:noProof/>
        </w:rPr>
        <w:instrText>:</w:instrText>
      </w:r>
      <w:r>
        <w:rPr>
          <w:noProof/>
        </w:rPr>
        <w:tab/>
      </w:r>
      <w:r w:rsidRPr="008C2D13">
        <w:rPr>
          <w:noProof/>
        </w:rPr>
        <w:instrText>interactive voice/web response system</w:instrText>
      </w:r>
    </w:p>
    <w:p w:rsidR="005A26F6" w:rsidRDefault="005A26F6">
      <w:pPr>
        <w:pStyle w:val="Index1"/>
        <w:tabs>
          <w:tab w:val="right" w:leader="dot" w:pos="9460"/>
        </w:tabs>
        <w:rPr>
          <w:noProof/>
        </w:rPr>
      </w:pPr>
      <w:r>
        <w:rPr>
          <w:noProof/>
        </w:rPr>
        <w:instrText>LDL:</w:instrText>
      </w:r>
      <w:r>
        <w:rPr>
          <w:noProof/>
        </w:rPr>
        <w:tab/>
        <w:instrText>low density lipoprotein</w:instrText>
      </w:r>
    </w:p>
    <w:p w:rsidR="005A26F6" w:rsidRDefault="005A26F6">
      <w:pPr>
        <w:pStyle w:val="Index1"/>
        <w:tabs>
          <w:tab w:val="right" w:leader="dot" w:pos="9460"/>
        </w:tabs>
        <w:rPr>
          <w:noProof/>
        </w:rPr>
      </w:pPr>
      <w:r>
        <w:rPr>
          <w:noProof/>
        </w:rPr>
        <w:instrText>LOCF:</w:instrText>
      </w:r>
      <w:r>
        <w:rPr>
          <w:noProof/>
        </w:rPr>
        <w:tab/>
        <w:instrText>last observation carried forward</w:instrText>
      </w:r>
    </w:p>
    <w:p w:rsidR="005A26F6" w:rsidRDefault="005A26F6">
      <w:pPr>
        <w:pStyle w:val="Index1"/>
        <w:tabs>
          <w:tab w:val="right" w:leader="dot" w:pos="9460"/>
        </w:tabs>
        <w:rPr>
          <w:noProof/>
        </w:rPr>
      </w:pPr>
      <w:r w:rsidRPr="008C2D13">
        <w:rPr>
          <w:noProof/>
        </w:rPr>
        <w:instrText>mITT</w:instrText>
      </w:r>
      <w:r>
        <w:rPr>
          <w:noProof/>
        </w:rPr>
        <w:instrText>:</w:instrText>
      </w:r>
      <w:r>
        <w:rPr>
          <w:noProof/>
        </w:rPr>
        <w:tab/>
      </w:r>
      <w:r w:rsidRPr="008C2D13">
        <w:rPr>
          <w:noProof/>
        </w:rPr>
        <w:instrText>modified intent-to-treat</w:instrText>
      </w:r>
    </w:p>
    <w:p w:rsidR="005A26F6" w:rsidRDefault="005A26F6">
      <w:pPr>
        <w:pStyle w:val="Index1"/>
        <w:tabs>
          <w:tab w:val="right" w:leader="dot" w:pos="9460"/>
        </w:tabs>
        <w:rPr>
          <w:noProof/>
        </w:rPr>
      </w:pPr>
      <w:r w:rsidRPr="008C2D13">
        <w:rPr>
          <w:noProof/>
        </w:rPr>
        <w:instrText>MMRM</w:instrText>
      </w:r>
      <w:r>
        <w:rPr>
          <w:noProof/>
        </w:rPr>
        <w:instrText>:</w:instrText>
      </w:r>
      <w:r>
        <w:rPr>
          <w:noProof/>
        </w:rPr>
        <w:tab/>
      </w:r>
      <w:r w:rsidRPr="008C2D13">
        <w:rPr>
          <w:noProof/>
        </w:rPr>
        <w:instrText>mixed-effect model with repeated measures</w:instrText>
      </w:r>
    </w:p>
    <w:p w:rsidR="005A26F6" w:rsidRDefault="005A26F6">
      <w:pPr>
        <w:pStyle w:val="Index1"/>
        <w:tabs>
          <w:tab w:val="right" w:leader="dot" w:pos="9460"/>
        </w:tabs>
        <w:rPr>
          <w:noProof/>
        </w:rPr>
      </w:pPr>
      <w:r w:rsidRPr="008C2D13">
        <w:rPr>
          <w:rFonts w:eastAsia="MS Gothic"/>
          <w:noProof/>
        </w:rPr>
        <w:instrText>MTC</w:instrText>
      </w:r>
      <w:r>
        <w:rPr>
          <w:noProof/>
        </w:rPr>
        <w:instrText>:</w:instrText>
      </w:r>
      <w:r>
        <w:rPr>
          <w:noProof/>
        </w:rPr>
        <w:tab/>
      </w:r>
      <w:r w:rsidRPr="008C2D13">
        <w:rPr>
          <w:rFonts w:eastAsia="MS Gothic"/>
          <w:noProof/>
        </w:rPr>
        <w:instrText>medullary thyroid cancer</w:instrText>
      </w:r>
    </w:p>
    <w:p w:rsidR="005A26F6" w:rsidRDefault="005A26F6">
      <w:pPr>
        <w:pStyle w:val="Index1"/>
        <w:tabs>
          <w:tab w:val="right" w:leader="dot" w:pos="9460"/>
        </w:tabs>
        <w:rPr>
          <w:noProof/>
        </w:rPr>
      </w:pPr>
      <w:r w:rsidRPr="008C2D13">
        <w:rPr>
          <w:rFonts w:eastAsia="MS Gothic"/>
          <w:noProof/>
        </w:rPr>
        <w:instrText>MTD</w:instrText>
      </w:r>
      <w:r>
        <w:rPr>
          <w:noProof/>
        </w:rPr>
        <w:instrText>:</w:instrText>
      </w:r>
      <w:r>
        <w:rPr>
          <w:noProof/>
        </w:rPr>
        <w:tab/>
      </w:r>
      <w:r w:rsidRPr="008C2D13">
        <w:rPr>
          <w:rFonts w:eastAsia="MS Gothic"/>
          <w:noProof/>
        </w:rPr>
        <w:instrText>maximum tolerated dose</w:instrText>
      </w:r>
    </w:p>
    <w:p w:rsidR="005A26F6" w:rsidRDefault="005A26F6">
      <w:pPr>
        <w:pStyle w:val="Index1"/>
        <w:tabs>
          <w:tab w:val="right" w:leader="dot" w:pos="9460"/>
        </w:tabs>
        <w:rPr>
          <w:noProof/>
        </w:rPr>
      </w:pPr>
      <w:r>
        <w:rPr>
          <w:noProof/>
        </w:rPr>
        <w:instrText>NIMP:</w:instrText>
      </w:r>
      <w:r>
        <w:rPr>
          <w:noProof/>
        </w:rPr>
        <w:tab/>
        <w:instrText>noninvestigational medicinal product</w:instrText>
      </w:r>
    </w:p>
    <w:p w:rsidR="005A26F6" w:rsidRDefault="005A26F6">
      <w:pPr>
        <w:pStyle w:val="Index1"/>
        <w:tabs>
          <w:tab w:val="right" w:leader="dot" w:pos="9460"/>
        </w:tabs>
        <w:rPr>
          <w:noProof/>
        </w:rPr>
      </w:pPr>
      <w:r w:rsidRPr="008C2D13">
        <w:rPr>
          <w:rFonts w:eastAsia="MS Gothic"/>
          <w:noProof/>
        </w:rPr>
        <w:instrText>OAD</w:instrText>
      </w:r>
      <w:r>
        <w:rPr>
          <w:noProof/>
        </w:rPr>
        <w:instrText>:</w:instrText>
      </w:r>
      <w:r>
        <w:rPr>
          <w:noProof/>
        </w:rPr>
        <w:tab/>
      </w:r>
      <w:r w:rsidRPr="008C2D13">
        <w:rPr>
          <w:rFonts w:eastAsia="MS Gothic"/>
          <w:noProof/>
        </w:rPr>
        <w:instrText>oral anti-diabetic drug</w:instrText>
      </w:r>
    </w:p>
    <w:p w:rsidR="005A26F6" w:rsidRDefault="005A26F6">
      <w:pPr>
        <w:pStyle w:val="Index1"/>
        <w:tabs>
          <w:tab w:val="right" w:leader="dot" w:pos="9460"/>
        </w:tabs>
        <w:rPr>
          <w:noProof/>
        </w:rPr>
      </w:pPr>
      <w:r>
        <w:rPr>
          <w:noProof/>
        </w:rPr>
        <w:instrText>PCSA:</w:instrText>
      </w:r>
      <w:r>
        <w:rPr>
          <w:noProof/>
        </w:rPr>
        <w:tab/>
        <w:instrText>potentially clinically significant abnormality</w:instrText>
      </w:r>
    </w:p>
    <w:p w:rsidR="005A26F6" w:rsidRDefault="005A26F6">
      <w:pPr>
        <w:pStyle w:val="Index1"/>
        <w:tabs>
          <w:tab w:val="right" w:leader="dot" w:pos="9460"/>
        </w:tabs>
        <w:rPr>
          <w:noProof/>
        </w:rPr>
      </w:pPr>
      <w:r>
        <w:rPr>
          <w:noProof/>
        </w:rPr>
        <w:instrText>PI:</w:instrText>
      </w:r>
      <w:r>
        <w:rPr>
          <w:noProof/>
        </w:rPr>
        <w:tab/>
        <w:instrText>prescribing information</w:instrText>
      </w:r>
    </w:p>
    <w:p w:rsidR="005A26F6" w:rsidRDefault="005A26F6">
      <w:pPr>
        <w:pStyle w:val="Index1"/>
        <w:tabs>
          <w:tab w:val="right" w:leader="dot" w:pos="9460"/>
        </w:tabs>
        <w:rPr>
          <w:noProof/>
        </w:rPr>
      </w:pPr>
      <w:r w:rsidRPr="008C2D13">
        <w:rPr>
          <w:rFonts w:eastAsia="MS Gothic"/>
          <w:noProof/>
        </w:rPr>
        <w:instrText>PPG</w:instrText>
      </w:r>
      <w:r>
        <w:rPr>
          <w:noProof/>
        </w:rPr>
        <w:instrText>:</w:instrText>
      </w:r>
      <w:r>
        <w:rPr>
          <w:noProof/>
        </w:rPr>
        <w:tab/>
      </w:r>
      <w:r w:rsidRPr="008C2D13">
        <w:rPr>
          <w:rFonts w:eastAsia="MS Gothic"/>
          <w:noProof/>
        </w:rPr>
        <w:instrText>post-prandial plasma glucose</w:instrText>
      </w:r>
    </w:p>
    <w:p w:rsidR="005A26F6" w:rsidRDefault="005A26F6">
      <w:pPr>
        <w:pStyle w:val="Index1"/>
        <w:tabs>
          <w:tab w:val="right" w:leader="dot" w:pos="9460"/>
        </w:tabs>
        <w:rPr>
          <w:noProof/>
        </w:rPr>
      </w:pPr>
      <w:r w:rsidRPr="008C2D13">
        <w:rPr>
          <w:rFonts w:eastAsia="MS Gothic"/>
          <w:noProof/>
        </w:rPr>
        <w:instrText>PRE</w:instrText>
      </w:r>
      <w:r>
        <w:rPr>
          <w:noProof/>
        </w:rPr>
        <w:instrText>:</w:instrText>
      </w:r>
      <w:r>
        <w:rPr>
          <w:noProof/>
        </w:rPr>
        <w:tab/>
      </w:r>
      <w:r w:rsidRPr="008C2D13">
        <w:rPr>
          <w:rFonts w:eastAsia="MS Gothic"/>
          <w:noProof/>
        </w:rPr>
        <w:instrText>pen-related event</w:instrText>
      </w:r>
    </w:p>
    <w:p w:rsidR="005A26F6" w:rsidRDefault="005A26F6">
      <w:pPr>
        <w:pStyle w:val="Index1"/>
        <w:tabs>
          <w:tab w:val="right" w:leader="dot" w:pos="9460"/>
        </w:tabs>
        <w:rPr>
          <w:noProof/>
        </w:rPr>
      </w:pPr>
      <w:r>
        <w:rPr>
          <w:noProof/>
        </w:rPr>
        <w:instrText>PREQ:</w:instrText>
      </w:r>
      <w:r>
        <w:rPr>
          <w:noProof/>
        </w:rPr>
        <w:tab/>
        <w:instrText>pen-related event questionnaire</w:instrText>
      </w:r>
    </w:p>
    <w:p w:rsidR="005A26F6" w:rsidRDefault="005A26F6">
      <w:pPr>
        <w:pStyle w:val="Index1"/>
        <w:tabs>
          <w:tab w:val="right" w:leader="dot" w:pos="9460"/>
        </w:tabs>
        <w:rPr>
          <w:noProof/>
        </w:rPr>
      </w:pPr>
      <w:r w:rsidRPr="008C2D13">
        <w:rPr>
          <w:noProof/>
        </w:rPr>
        <w:instrText>PSAC</w:instrText>
      </w:r>
      <w:r>
        <w:rPr>
          <w:noProof/>
        </w:rPr>
        <w:instrText>:</w:instrText>
      </w:r>
      <w:r>
        <w:rPr>
          <w:noProof/>
        </w:rPr>
        <w:tab/>
      </w:r>
      <w:r w:rsidRPr="008C2D13">
        <w:rPr>
          <w:noProof/>
        </w:rPr>
        <w:instrText>pancreatic safety assessment committee</w:instrText>
      </w:r>
    </w:p>
    <w:p w:rsidR="005A26F6" w:rsidRDefault="005A26F6">
      <w:pPr>
        <w:pStyle w:val="Index1"/>
        <w:tabs>
          <w:tab w:val="right" w:leader="dot" w:pos="9460"/>
        </w:tabs>
        <w:rPr>
          <w:noProof/>
        </w:rPr>
      </w:pPr>
      <w:r>
        <w:rPr>
          <w:noProof/>
        </w:rPr>
        <w:instrText>PT:</w:instrText>
      </w:r>
      <w:r>
        <w:rPr>
          <w:noProof/>
        </w:rPr>
        <w:tab/>
        <w:instrText>preferred term</w:instrText>
      </w:r>
    </w:p>
    <w:p w:rsidR="005A26F6" w:rsidRDefault="005A26F6">
      <w:pPr>
        <w:pStyle w:val="Index1"/>
        <w:tabs>
          <w:tab w:val="right" w:leader="dot" w:pos="9460"/>
        </w:tabs>
        <w:rPr>
          <w:noProof/>
        </w:rPr>
      </w:pPr>
      <w:r>
        <w:rPr>
          <w:noProof/>
        </w:rPr>
        <w:instrText>PTC:</w:instrText>
      </w:r>
      <w:r>
        <w:rPr>
          <w:noProof/>
        </w:rPr>
        <w:tab/>
        <w:instrText>product technical complaint</w:instrText>
      </w:r>
    </w:p>
    <w:p w:rsidR="005A26F6" w:rsidRDefault="005A26F6">
      <w:pPr>
        <w:pStyle w:val="Index1"/>
        <w:tabs>
          <w:tab w:val="right" w:leader="dot" w:pos="9460"/>
        </w:tabs>
        <w:rPr>
          <w:noProof/>
        </w:rPr>
      </w:pPr>
      <w:r w:rsidRPr="008C2D13">
        <w:rPr>
          <w:rFonts w:eastAsia="MS Gothic"/>
          <w:noProof/>
        </w:rPr>
        <w:instrText>QD</w:instrText>
      </w:r>
      <w:r>
        <w:rPr>
          <w:noProof/>
        </w:rPr>
        <w:instrText>:</w:instrText>
      </w:r>
      <w:r>
        <w:rPr>
          <w:noProof/>
        </w:rPr>
        <w:tab/>
      </w:r>
      <w:r w:rsidRPr="008C2D13">
        <w:rPr>
          <w:rFonts w:eastAsia="MS Gothic"/>
          <w:noProof/>
        </w:rPr>
        <w:instrText>quague die = once daily</w:instrText>
      </w:r>
    </w:p>
    <w:p w:rsidR="005A26F6" w:rsidRDefault="005A26F6">
      <w:pPr>
        <w:pStyle w:val="Index1"/>
        <w:tabs>
          <w:tab w:val="right" w:leader="dot" w:pos="9460"/>
        </w:tabs>
        <w:rPr>
          <w:noProof/>
        </w:rPr>
      </w:pPr>
      <w:r w:rsidRPr="008C2D13">
        <w:rPr>
          <w:rFonts w:eastAsia="MS Gothic"/>
          <w:noProof/>
        </w:rPr>
        <w:instrText>QW</w:instrText>
      </w:r>
      <w:r>
        <w:rPr>
          <w:noProof/>
        </w:rPr>
        <w:instrText>:</w:instrText>
      </w:r>
      <w:r>
        <w:rPr>
          <w:noProof/>
        </w:rPr>
        <w:tab/>
      </w:r>
      <w:r w:rsidRPr="008C2D13">
        <w:rPr>
          <w:rFonts w:eastAsia="MS Gothic"/>
          <w:noProof/>
        </w:rPr>
        <w:instrText>once weekly</w:instrText>
      </w:r>
    </w:p>
    <w:p w:rsidR="005A26F6" w:rsidRDefault="005A26F6">
      <w:pPr>
        <w:pStyle w:val="Index1"/>
        <w:tabs>
          <w:tab w:val="right" w:leader="dot" w:pos="9460"/>
        </w:tabs>
        <w:rPr>
          <w:noProof/>
        </w:rPr>
      </w:pPr>
      <w:r>
        <w:rPr>
          <w:noProof/>
        </w:rPr>
        <w:instrText>SAE:</w:instrText>
      </w:r>
      <w:r>
        <w:rPr>
          <w:noProof/>
        </w:rPr>
        <w:tab/>
        <w:instrText>serious adverse event</w:instrText>
      </w:r>
    </w:p>
    <w:p w:rsidR="005A26F6" w:rsidRDefault="005A26F6">
      <w:pPr>
        <w:pStyle w:val="Index1"/>
        <w:tabs>
          <w:tab w:val="right" w:leader="dot" w:pos="9460"/>
        </w:tabs>
        <w:rPr>
          <w:noProof/>
        </w:rPr>
      </w:pPr>
      <w:r w:rsidRPr="008C2D13">
        <w:rPr>
          <w:noProof/>
        </w:rPr>
        <w:instrText>SAS</w:instrText>
      </w:r>
      <w:r>
        <w:rPr>
          <w:noProof/>
        </w:rPr>
        <w:instrText>:</w:instrText>
      </w:r>
      <w:r>
        <w:rPr>
          <w:noProof/>
        </w:rPr>
        <w:tab/>
      </w:r>
      <w:r w:rsidRPr="008C2D13">
        <w:rPr>
          <w:noProof/>
        </w:rPr>
        <w:instrText>statistical analysis system</w:instrText>
      </w:r>
    </w:p>
    <w:p w:rsidR="005A26F6" w:rsidRDefault="005A26F6">
      <w:pPr>
        <w:pStyle w:val="Index1"/>
        <w:tabs>
          <w:tab w:val="right" w:leader="dot" w:pos="9460"/>
        </w:tabs>
        <w:rPr>
          <w:noProof/>
        </w:rPr>
      </w:pPr>
      <w:r>
        <w:rPr>
          <w:noProof/>
        </w:rPr>
        <w:instrText>SC:</w:instrText>
      </w:r>
      <w:r>
        <w:rPr>
          <w:noProof/>
        </w:rPr>
        <w:tab/>
        <w:instrText>subcutaneous</w:instrText>
      </w:r>
    </w:p>
    <w:p w:rsidR="005A26F6" w:rsidRDefault="005A26F6">
      <w:pPr>
        <w:pStyle w:val="Index1"/>
        <w:tabs>
          <w:tab w:val="right" w:leader="dot" w:pos="9460"/>
        </w:tabs>
        <w:rPr>
          <w:noProof/>
        </w:rPr>
      </w:pPr>
      <w:r>
        <w:rPr>
          <w:noProof/>
        </w:rPr>
        <w:instrText>SD:</w:instrText>
      </w:r>
      <w:r>
        <w:rPr>
          <w:noProof/>
        </w:rPr>
        <w:tab/>
        <w:instrText>standard deviation</w:instrText>
      </w:r>
    </w:p>
    <w:p w:rsidR="005A26F6" w:rsidRDefault="005A26F6">
      <w:pPr>
        <w:pStyle w:val="Index1"/>
        <w:tabs>
          <w:tab w:val="right" w:leader="dot" w:pos="9460"/>
        </w:tabs>
        <w:rPr>
          <w:noProof/>
        </w:rPr>
      </w:pPr>
      <w:r>
        <w:rPr>
          <w:noProof/>
        </w:rPr>
        <w:instrText>SmPC:</w:instrText>
      </w:r>
      <w:r>
        <w:rPr>
          <w:noProof/>
        </w:rPr>
        <w:tab/>
        <w:instrText>summary of product characteristics</w:instrText>
      </w:r>
    </w:p>
    <w:p w:rsidR="005A26F6" w:rsidRDefault="005A26F6">
      <w:pPr>
        <w:pStyle w:val="Index1"/>
        <w:tabs>
          <w:tab w:val="right" w:leader="dot" w:pos="9460"/>
        </w:tabs>
        <w:rPr>
          <w:noProof/>
        </w:rPr>
      </w:pPr>
      <w:r w:rsidRPr="008C2D13">
        <w:rPr>
          <w:rFonts w:eastAsia="MS Gothic"/>
          <w:noProof/>
        </w:rPr>
        <w:instrText>SMPG</w:instrText>
      </w:r>
      <w:r>
        <w:rPr>
          <w:noProof/>
        </w:rPr>
        <w:instrText>:</w:instrText>
      </w:r>
      <w:r>
        <w:rPr>
          <w:noProof/>
        </w:rPr>
        <w:tab/>
      </w:r>
      <w:r w:rsidRPr="008C2D13">
        <w:rPr>
          <w:rFonts w:eastAsia="MS Gothic"/>
          <w:noProof/>
        </w:rPr>
        <w:instrText>self-monitored plasma glucose</w:instrText>
      </w:r>
    </w:p>
    <w:p w:rsidR="005A26F6" w:rsidRDefault="005A26F6">
      <w:pPr>
        <w:pStyle w:val="Index1"/>
        <w:tabs>
          <w:tab w:val="right" w:leader="dot" w:pos="9460"/>
        </w:tabs>
        <w:rPr>
          <w:noProof/>
        </w:rPr>
      </w:pPr>
      <w:r>
        <w:rPr>
          <w:noProof/>
        </w:rPr>
        <w:instrText>SOC:</w:instrText>
      </w:r>
      <w:r>
        <w:rPr>
          <w:noProof/>
        </w:rPr>
        <w:tab/>
        <w:instrText>system organ class</w:instrText>
      </w:r>
    </w:p>
    <w:p w:rsidR="005A26F6" w:rsidRDefault="005A26F6">
      <w:pPr>
        <w:pStyle w:val="Index1"/>
        <w:tabs>
          <w:tab w:val="right" w:leader="dot" w:pos="9460"/>
        </w:tabs>
        <w:rPr>
          <w:noProof/>
        </w:rPr>
      </w:pPr>
      <w:r>
        <w:rPr>
          <w:noProof/>
        </w:rPr>
        <w:instrText>TEAE:</w:instrText>
      </w:r>
      <w:r>
        <w:rPr>
          <w:noProof/>
        </w:rPr>
        <w:tab/>
        <w:instrText>treatment-emergent adverse event</w:instrText>
      </w:r>
    </w:p>
    <w:p w:rsidR="005A26F6" w:rsidRDefault="005A26F6">
      <w:pPr>
        <w:pStyle w:val="Index1"/>
        <w:tabs>
          <w:tab w:val="right" w:leader="dot" w:pos="9460"/>
        </w:tabs>
        <w:rPr>
          <w:noProof/>
        </w:rPr>
      </w:pPr>
      <w:r w:rsidRPr="008C2D13">
        <w:rPr>
          <w:rFonts w:eastAsia="MS Gothic"/>
          <w:noProof/>
        </w:rPr>
        <w:instrText>ULN</w:instrText>
      </w:r>
      <w:r>
        <w:rPr>
          <w:noProof/>
        </w:rPr>
        <w:instrText>:</w:instrText>
      </w:r>
      <w:r>
        <w:rPr>
          <w:noProof/>
        </w:rPr>
        <w:tab/>
      </w:r>
      <w:r w:rsidRPr="008C2D13">
        <w:rPr>
          <w:rFonts w:eastAsia="MS Gothic"/>
          <w:noProof/>
        </w:rPr>
        <w:instrText>upper limit of normal range</w:instrText>
      </w:r>
    </w:p>
    <w:p w:rsidR="005A26F6" w:rsidRDefault="005A26F6">
      <w:pPr>
        <w:pStyle w:val="Index1"/>
        <w:tabs>
          <w:tab w:val="right" w:leader="dot" w:pos="9460"/>
        </w:tabs>
        <w:rPr>
          <w:noProof/>
        </w:rPr>
      </w:pPr>
      <w:r>
        <w:rPr>
          <w:noProof/>
        </w:rPr>
        <w:instrText>WHO-DD:</w:instrText>
      </w:r>
      <w:r>
        <w:rPr>
          <w:noProof/>
        </w:rPr>
        <w:tab/>
        <w:instrText>World Health Organization - Drug Dictionary</w:instrText>
      </w:r>
    </w:p>
    <w:p w:rsidR="005A26F6" w:rsidRDefault="00942434" w:rsidP="00942434">
      <w:pPr>
        <w:rPr>
          <w:noProof/>
        </w:rPr>
      </w:pPr>
      <w:r>
        <w:fldChar w:fldCharType="end"/>
      </w:r>
      <w:r>
        <w:fldChar w:fldCharType="separate"/>
      </w:r>
    </w:p>
    <w:p w:rsidR="005A26F6" w:rsidRDefault="005A26F6">
      <w:pPr>
        <w:pStyle w:val="Index1"/>
        <w:tabs>
          <w:tab w:val="right" w:leader="dot" w:pos="9460"/>
        </w:tabs>
        <w:rPr>
          <w:noProof/>
        </w:rPr>
      </w:pPr>
      <w:r>
        <w:rPr>
          <w:noProof/>
        </w:rPr>
        <w:t>ADA:</w:t>
      </w:r>
      <w:r>
        <w:rPr>
          <w:noProof/>
        </w:rPr>
        <w:tab/>
        <w:t>American Diabetes Association</w:t>
      </w:r>
    </w:p>
    <w:p w:rsidR="005A26F6" w:rsidRDefault="005A26F6">
      <w:pPr>
        <w:pStyle w:val="Index1"/>
        <w:tabs>
          <w:tab w:val="right" w:leader="dot" w:pos="9460"/>
        </w:tabs>
        <w:rPr>
          <w:noProof/>
        </w:rPr>
      </w:pPr>
      <w:r w:rsidRPr="008C2D13">
        <w:rPr>
          <w:rFonts w:eastAsia="MS Gothic"/>
          <w:noProof/>
        </w:rPr>
        <w:t>AE</w:t>
      </w:r>
      <w:r>
        <w:rPr>
          <w:noProof/>
        </w:rPr>
        <w:t>:</w:t>
      </w:r>
      <w:r>
        <w:rPr>
          <w:noProof/>
        </w:rPr>
        <w:tab/>
      </w:r>
      <w:r w:rsidRPr="008C2D13">
        <w:rPr>
          <w:rFonts w:eastAsia="MS Gothic"/>
          <w:noProof/>
        </w:rPr>
        <w:t>adverse event</w:t>
      </w:r>
    </w:p>
    <w:p w:rsidR="005A26F6" w:rsidRDefault="005A26F6">
      <w:pPr>
        <w:pStyle w:val="Index1"/>
        <w:tabs>
          <w:tab w:val="right" w:leader="dot" w:pos="9460"/>
        </w:tabs>
        <w:rPr>
          <w:noProof/>
        </w:rPr>
      </w:pPr>
      <w:r w:rsidRPr="008C2D13">
        <w:rPr>
          <w:rFonts w:eastAsia="MS Gothic"/>
          <w:noProof/>
        </w:rPr>
        <w:t>AESI</w:t>
      </w:r>
      <w:r>
        <w:rPr>
          <w:noProof/>
        </w:rPr>
        <w:t>:</w:t>
      </w:r>
      <w:r>
        <w:rPr>
          <w:noProof/>
        </w:rPr>
        <w:tab/>
      </w:r>
      <w:r w:rsidRPr="008C2D13">
        <w:rPr>
          <w:rFonts w:eastAsia="MS Gothic"/>
          <w:noProof/>
        </w:rPr>
        <w:t>adverse event of special interest</w:t>
      </w:r>
    </w:p>
    <w:p w:rsidR="005A26F6" w:rsidRDefault="005A26F6">
      <w:pPr>
        <w:pStyle w:val="Index1"/>
        <w:tabs>
          <w:tab w:val="right" w:leader="dot" w:pos="9460"/>
        </w:tabs>
        <w:rPr>
          <w:noProof/>
        </w:rPr>
      </w:pPr>
      <w:r>
        <w:rPr>
          <w:noProof/>
        </w:rPr>
        <w:t>ALP:</w:t>
      </w:r>
      <w:r>
        <w:rPr>
          <w:noProof/>
        </w:rPr>
        <w:tab/>
        <w:t>alkaline phosphatase</w:t>
      </w:r>
    </w:p>
    <w:p w:rsidR="005A26F6" w:rsidRDefault="005A26F6">
      <w:pPr>
        <w:pStyle w:val="Index1"/>
        <w:tabs>
          <w:tab w:val="right" w:leader="dot" w:pos="9460"/>
        </w:tabs>
        <w:rPr>
          <w:noProof/>
        </w:rPr>
      </w:pPr>
      <w:r>
        <w:rPr>
          <w:noProof/>
        </w:rPr>
        <w:t>ALT:</w:t>
      </w:r>
      <w:r>
        <w:rPr>
          <w:noProof/>
        </w:rPr>
        <w:tab/>
        <w:t>alanine aminotransferase</w:t>
      </w:r>
    </w:p>
    <w:p w:rsidR="005A26F6" w:rsidRDefault="005A26F6">
      <w:pPr>
        <w:pStyle w:val="Index1"/>
        <w:tabs>
          <w:tab w:val="right" w:leader="dot" w:pos="9460"/>
        </w:tabs>
        <w:rPr>
          <w:noProof/>
        </w:rPr>
      </w:pPr>
      <w:r>
        <w:rPr>
          <w:noProof/>
        </w:rPr>
        <w:t>ANCOVA:</w:t>
      </w:r>
      <w:r>
        <w:rPr>
          <w:noProof/>
        </w:rPr>
        <w:tab/>
        <w:t>analysis of covariance</w:t>
      </w:r>
    </w:p>
    <w:p w:rsidR="005A26F6" w:rsidRDefault="005A26F6">
      <w:pPr>
        <w:pStyle w:val="Index1"/>
        <w:tabs>
          <w:tab w:val="right" w:leader="dot" w:pos="9460"/>
        </w:tabs>
        <w:rPr>
          <w:noProof/>
        </w:rPr>
      </w:pPr>
      <w:r w:rsidRPr="008C2D13">
        <w:rPr>
          <w:noProof/>
        </w:rPr>
        <w:t>ARAC</w:t>
      </w:r>
      <w:r>
        <w:rPr>
          <w:noProof/>
        </w:rPr>
        <w:t>:</w:t>
      </w:r>
      <w:r>
        <w:rPr>
          <w:noProof/>
        </w:rPr>
        <w:tab/>
      </w:r>
      <w:r w:rsidRPr="008C2D13">
        <w:rPr>
          <w:noProof/>
        </w:rPr>
        <w:t>allergic reaction assessment committee</w:t>
      </w:r>
    </w:p>
    <w:p w:rsidR="005A26F6" w:rsidRDefault="005A26F6">
      <w:pPr>
        <w:pStyle w:val="Index1"/>
        <w:tabs>
          <w:tab w:val="right" w:leader="dot" w:pos="9460"/>
        </w:tabs>
        <w:rPr>
          <w:noProof/>
        </w:rPr>
      </w:pPr>
      <w:r>
        <w:rPr>
          <w:noProof/>
        </w:rPr>
        <w:t>AST:</w:t>
      </w:r>
      <w:r>
        <w:rPr>
          <w:noProof/>
        </w:rPr>
        <w:tab/>
        <w:t>aspartate aminotransferase</w:t>
      </w:r>
    </w:p>
    <w:p w:rsidR="005A26F6" w:rsidRDefault="005A26F6">
      <w:pPr>
        <w:pStyle w:val="Index1"/>
        <w:tabs>
          <w:tab w:val="right" w:leader="dot" w:pos="9460"/>
        </w:tabs>
        <w:rPr>
          <w:noProof/>
        </w:rPr>
      </w:pPr>
      <w:r>
        <w:rPr>
          <w:noProof/>
        </w:rPr>
        <w:t>ATC:</w:t>
      </w:r>
      <w:r>
        <w:rPr>
          <w:noProof/>
        </w:rPr>
        <w:tab/>
        <w:t>anatomic or therapeutic category</w:t>
      </w:r>
    </w:p>
    <w:p w:rsidR="005A26F6" w:rsidRDefault="005A26F6">
      <w:pPr>
        <w:pStyle w:val="Index1"/>
        <w:tabs>
          <w:tab w:val="right" w:leader="dot" w:pos="9460"/>
        </w:tabs>
        <w:rPr>
          <w:noProof/>
        </w:rPr>
      </w:pPr>
      <w:r w:rsidRPr="008C2D13">
        <w:rPr>
          <w:rFonts w:eastAsia="MS Gothic"/>
          <w:noProof/>
        </w:rPr>
        <w:t>BID</w:t>
      </w:r>
      <w:r>
        <w:rPr>
          <w:noProof/>
        </w:rPr>
        <w:t>:</w:t>
      </w:r>
      <w:r>
        <w:rPr>
          <w:noProof/>
        </w:rPr>
        <w:tab/>
      </w:r>
      <w:r w:rsidRPr="008C2D13">
        <w:rPr>
          <w:rFonts w:eastAsia="MS Gothic"/>
          <w:noProof/>
        </w:rPr>
        <w:t>bis in die = twice daily</w:t>
      </w:r>
    </w:p>
    <w:p w:rsidR="005A26F6" w:rsidRDefault="005A26F6">
      <w:pPr>
        <w:pStyle w:val="Index1"/>
        <w:tabs>
          <w:tab w:val="right" w:leader="dot" w:pos="9460"/>
        </w:tabs>
        <w:rPr>
          <w:noProof/>
        </w:rPr>
      </w:pPr>
      <w:r w:rsidRPr="008C2D13">
        <w:rPr>
          <w:rFonts w:eastAsia="MS Gothic"/>
          <w:noProof/>
        </w:rPr>
        <w:t>BMI</w:t>
      </w:r>
      <w:r>
        <w:rPr>
          <w:noProof/>
        </w:rPr>
        <w:t>:</w:t>
      </w:r>
      <w:r>
        <w:rPr>
          <w:noProof/>
        </w:rPr>
        <w:tab/>
      </w:r>
      <w:r w:rsidRPr="008C2D13">
        <w:rPr>
          <w:rFonts w:eastAsia="MS Gothic"/>
          <w:noProof/>
        </w:rPr>
        <w:t>body mass index</w:t>
      </w:r>
    </w:p>
    <w:p w:rsidR="005A26F6" w:rsidRDefault="005A26F6">
      <w:pPr>
        <w:pStyle w:val="Index1"/>
        <w:tabs>
          <w:tab w:val="right" w:leader="dot" w:pos="9460"/>
        </w:tabs>
        <w:rPr>
          <w:noProof/>
        </w:rPr>
      </w:pPr>
      <w:r w:rsidRPr="008C2D13">
        <w:rPr>
          <w:rFonts w:cs="Arial"/>
          <w:noProof/>
        </w:rPr>
        <w:t>CI</w:t>
      </w:r>
      <w:r>
        <w:rPr>
          <w:noProof/>
        </w:rPr>
        <w:t>:</w:t>
      </w:r>
      <w:r>
        <w:rPr>
          <w:noProof/>
        </w:rPr>
        <w:tab/>
      </w:r>
      <w:r w:rsidRPr="008C2D13">
        <w:rPr>
          <w:rFonts w:cs="Arial"/>
          <w:noProof/>
        </w:rPr>
        <w:t>confidence interval</w:t>
      </w:r>
    </w:p>
    <w:p w:rsidR="005A26F6" w:rsidRDefault="005A26F6">
      <w:pPr>
        <w:pStyle w:val="Index1"/>
        <w:tabs>
          <w:tab w:val="right" w:leader="dot" w:pos="9460"/>
        </w:tabs>
        <w:rPr>
          <w:noProof/>
        </w:rPr>
      </w:pPr>
      <w:r>
        <w:rPr>
          <w:noProof/>
        </w:rPr>
        <w:t>CSR:</w:t>
      </w:r>
      <w:r>
        <w:rPr>
          <w:noProof/>
        </w:rPr>
        <w:tab/>
        <w:t>clinical study report</w:t>
      </w:r>
    </w:p>
    <w:p w:rsidR="005A26F6" w:rsidRDefault="005A26F6">
      <w:pPr>
        <w:pStyle w:val="Index1"/>
        <w:tabs>
          <w:tab w:val="right" w:leader="dot" w:pos="9460"/>
        </w:tabs>
        <w:rPr>
          <w:noProof/>
        </w:rPr>
      </w:pPr>
      <w:r>
        <w:rPr>
          <w:noProof/>
        </w:rPr>
        <w:t>EASD:</w:t>
      </w:r>
      <w:r>
        <w:rPr>
          <w:noProof/>
        </w:rPr>
        <w:tab/>
        <w:t>European Association for the Study of Diabetes</w:t>
      </w:r>
    </w:p>
    <w:p w:rsidR="005A26F6" w:rsidRDefault="005A26F6">
      <w:pPr>
        <w:pStyle w:val="Index1"/>
        <w:tabs>
          <w:tab w:val="right" w:leader="dot" w:pos="9460"/>
        </w:tabs>
        <w:rPr>
          <w:noProof/>
        </w:rPr>
      </w:pPr>
      <w:r w:rsidRPr="008C2D13">
        <w:rPr>
          <w:rFonts w:eastAsia="MS Gothic"/>
          <w:noProof/>
        </w:rPr>
        <w:t>ECG</w:t>
      </w:r>
      <w:r>
        <w:rPr>
          <w:noProof/>
        </w:rPr>
        <w:t>:</w:t>
      </w:r>
      <w:r>
        <w:rPr>
          <w:noProof/>
        </w:rPr>
        <w:tab/>
      </w:r>
      <w:r w:rsidRPr="008C2D13">
        <w:rPr>
          <w:rFonts w:eastAsia="MS Gothic"/>
          <w:noProof/>
        </w:rPr>
        <w:t>electrocardiogram</w:t>
      </w:r>
    </w:p>
    <w:p w:rsidR="005A26F6" w:rsidRDefault="005A26F6">
      <w:pPr>
        <w:pStyle w:val="Index1"/>
        <w:tabs>
          <w:tab w:val="right" w:leader="dot" w:pos="9460"/>
        </w:tabs>
        <w:rPr>
          <w:noProof/>
        </w:rPr>
      </w:pPr>
      <w:r w:rsidRPr="008C2D13">
        <w:rPr>
          <w:rFonts w:eastAsia="MS Gothic"/>
          <w:noProof/>
        </w:rPr>
        <w:t>e-CRF</w:t>
      </w:r>
      <w:r>
        <w:rPr>
          <w:noProof/>
        </w:rPr>
        <w:t>:</w:t>
      </w:r>
      <w:r>
        <w:rPr>
          <w:noProof/>
        </w:rPr>
        <w:tab/>
      </w:r>
      <w:r w:rsidRPr="008C2D13">
        <w:rPr>
          <w:rFonts w:eastAsia="MS Gothic"/>
          <w:noProof/>
        </w:rPr>
        <w:t>electronic case report form</w:t>
      </w:r>
    </w:p>
    <w:p w:rsidR="005A26F6" w:rsidRDefault="005A26F6">
      <w:pPr>
        <w:pStyle w:val="Index1"/>
        <w:tabs>
          <w:tab w:val="right" w:leader="dot" w:pos="9460"/>
        </w:tabs>
        <w:rPr>
          <w:noProof/>
        </w:rPr>
      </w:pPr>
      <w:r w:rsidRPr="008C2D13">
        <w:rPr>
          <w:rFonts w:eastAsia="MS Gothic"/>
          <w:noProof/>
        </w:rPr>
        <w:t>FPG</w:t>
      </w:r>
      <w:r>
        <w:rPr>
          <w:noProof/>
        </w:rPr>
        <w:t>:</w:t>
      </w:r>
      <w:r>
        <w:rPr>
          <w:noProof/>
        </w:rPr>
        <w:tab/>
      </w:r>
      <w:r w:rsidRPr="008C2D13">
        <w:rPr>
          <w:rFonts w:eastAsia="MS Gothic"/>
          <w:noProof/>
        </w:rPr>
        <w:t>fasting plasma glucose</w:t>
      </w:r>
    </w:p>
    <w:p w:rsidR="005A26F6" w:rsidRDefault="005A26F6">
      <w:pPr>
        <w:pStyle w:val="Index1"/>
        <w:tabs>
          <w:tab w:val="right" w:leader="dot" w:pos="9460"/>
        </w:tabs>
        <w:rPr>
          <w:noProof/>
        </w:rPr>
      </w:pPr>
      <w:r w:rsidRPr="008C2D13">
        <w:rPr>
          <w:noProof/>
        </w:rPr>
        <w:t>FRC</w:t>
      </w:r>
      <w:r>
        <w:rPr>
          <w:noProof/>
        </w:rPr>
        <w:t>:</w:t>
      </w:r>
      <w:r>
        <w:rPr>
          <w:noProof/>
        </w:rPr>
        <w:tab/>
      </w:r>
      <w:r w:rsidRPr="008C2D13">
        <w:rPr>
          <w:noProof/>
        </w:rPr>
        <w:t>fixed Ratio Combination</w:t>
      </w:r>
    </w:p>
    <w:p w:rsidR="005A26F6" w:rsidRDefault="005A26F6">
      <w:pPr>
        <w:pStyle w:val="Index1"/>
        <w:tabs>
          <w:tab w:val="right" w:leader="dot" w:pos="9460"/>
        </w:tabs>
        <w:rPr>
          <w:noProof/>
        </w:rPr>
      </w:pPr>
      <w:r>
        <w:rPr>
          <w:noProof/>
        </w:rPr>
        <w:t>GCP:</w:t>
      </w:r>
      <w:r>
        <w:rPr>
          <w:noProof/>
        </w:rPr>
        <w:tab/>
        <w:t>good clinical practice</w:t>
      </w:r>
    </w:p>
    <w:p w:rsidR="005A26F6" w:rsidRDefault="005A26F6">
      <w:pPr>
        <w:pStyle w:val="Index1"/>
        <w:tabs>
          <w:tab w:val="right" w:leader="dot" w:pos="9460"/>
        </w:tabs>
        <w:rPr>
          <w:noProof/>
        </w:rPr>
      </w:pPr>
      <w:r w:rsidRPr="008C2D13">
        <w:rPr>
          <w:rFonts w:eastAsia="MS Gothic"/>
          <w:noProof/>
        </w:rPr>
        <w:t>GFR</w:t>
      </w:r>
      <w:r>
        <w:rPr>
          <w:noProof/>
        </w:rPr>
        <w:t>:</w:t>
      </w:r>
      <w:r>
        <w:rPr>
          <w:noProof/>
        </w:rPr>
        <w:tab/>
      </w:r>
      <w:r w:rsidRPr="008C2D13">
        <w:rPr>
          <w:rFonts w:eastAsia="MS Gothic"/>
          <w:noProof/>
        </w:rPr>
        <w:t>glomerular filtration rate</w:t>
      </w:r>
    </w:p>
    <w:p w:rsidR="005A26F6" w:rsidRDefault="005A26F6">
      <w:pPr>
        <w:pStyle w:val="Index1"/>
        <w:tabs>
          <w:tab w:val="right" w:leader="dot" w:pos="9460"/>
        </w:tabs>
        <w:rPr>
          <w:noProof/>
        </w:rPr>
      </w:pPr>
      <w:r>
        <w:rPr>
          <w:noProof/>
        </w:rPr>
        <w:t>GLP-1 RA:</w:t>
      </w:r>
      <w:r>
        <w:rPr>
          <w:noProof/>
        </w:rPr>
        <w:tab/>
        <w:t>glucagon-like peptide-1 receptor agonist</w:t>
      </w:r>
    </w:p>
    <w:p w:rsidR="005A26F6" w:rsidRDefault="005A26F6">
      <w:pPr>
        <w:pStyle w:val="Index1"/>
        <w:tabs>
          <w:tab w:val="right" w:leader="dot" w:pos="9460"/>
        </w:tabs>
        <w:rPr>
          <w:noProof/>
        </w:rPr>
      </w:pPr>
      <w:r>
        <w:rPr>
          <w:noProof/>
        </w:rPr>
        <w:t>HbA1c:</w:t>
      </w:r>
      <w:r>
        <w:rPr>
          <w:noProof/>
        </w:rPr>
        <w:tab/>
        <w:t>hemoglobin A1c</w:t>
      </w:r>
    </w:p>
    <w:p w:rsidR="005A26F6" w:rsidRDefault="005A26F6">
      <w:pPr>
        <w:pStyle w:val="Index1"/>
        <w:tabs>
          <w:tab w:val="right" w:leader="dot" w:pos="9460"/>
        </w:tabs>
        <w:rPr>
          <w:noProof/>
        </w:rPr>
      </w:pPr>
      <w:r>
        <w:rPr>
          <w:noProof/>
        </w:rPr>
        <w:t>HDL:</w:t>
      </w:r>
      <w:r>
        <w:rPr>
          <w:noProof/>
        </w:rPr>
        <w:tab/>
        <w:t>high density lipoprotein</w:t>
      </w:r>
    </w:p>
    <w:p w:rsidR="005A26F6" w:rsidRDefault="005A26F6">
      <w:pPr>
        <w:pStyle w:val="Index1"/>
        <w:tabs>
          <w:tab w:val="right" w:leader="dot" w:pos="9460"/>
        </w:tabs>
        <w:rPr>
          <w:noProof/>
        </w:rPr>
      </w:pPr>
      <w:r>
        <w:rPr>
          <w:noProof/>
        </w:rPr>
        <w:t>HLGT:</w:t>
      </w:r>
      <w:r>
        <w:rPr>
          <w:noProof/>
        </w:rPr>
        <w:tab/>
        <w:t>high level group term</w:t>
      </w:r>
    </w:p>
    <w:p w:rsidR="005A26F6" w:rsidRDefault="005A26F6">
      <w:pPr>
        <w:pStyle w:val="Index1"/>
        <w:tabs>
          <w:tab w:val="right" w:leader="dot" w:pos="9460"/>
        </w:tabs>
        <w:rPr>
          <w:noProof/>
        </w:rPr>
      </w:pPr>
      <w:r>
        <w:rPr>
          <w:noProof/>
        </w:rPr>
        <w:t>HLT:</w:t>
      </w:r>
      <w:r>
        <w:rPr>
          <w:noProof/>
        </w:rPr>
        <w:tab/>
        <w:t>high level term</w:t>
      </w:r>
    </w:p>
    <w:p w:rsidR="005A26F6" w:rsidRDefault="005A26F6">
      <w:pPr>
        <w:pStyle w:val="Index1"/>
        <w:tabs>
          <w:tab w:val="right" w:leader="dot" w:pos="9460"/>
        </w:tabs>
        <w:rPr>
          <w:noProof/>
        </w:rPr>
      </w:pPr>
      <w:r>
        <w:rPr>
          <w:noProof/>
        </w:rPr>
        <w:t>ICH:</w:t>
      </w:r>
      <w:r>
        <w:rPr>
          <w:noProof/>
        </w:rPr>
        <w:tab/>
        <w:t>International Conference on Harmonization</w:t>
      </w:r>
    </w:p>
    <w:p w:rsidR="005A26F6" w:rsidRDefault="005A26F6">
      <w:pPr>
        <w:pStyle w:val="Index1"/>
        <w:tabs>
          <w:tab w:val="right" w:leader="dot" w:pos="9460"/>
        </w:tabs>
        <w:rPr>
          <w:noProof/>
        </w:rPr>
      </w:pPr>
      <w:r>
        <w:rPr>
          <w:noProof/>
        </w:rPr>
        <w:t>IEC:</w:t>
      </w:r>
      <w:r>
        <w:rPr>
          <w:noProof/>
        </w:rPr>
        <w:tab/>
        <w:t>independent ethics committee</w:t>
      </w:r>
    </w:p>
    <w:p w:rsidR="005A26F6" w:rsidRDefault="005A26F6">
      <w:pPr>
        <w:pStyle w:val="Index1"/>
        <w:tabs>
          <w:tab w:val="right" w:leader="dot" w:pos="9460"/>
        </w:tabs>
        <w:rPr>
          <w:noProof/>
        </w:rPr>
      </w:pPr>
      <w:r>
        <w:rPr>
          <w:noProof/>
        </w:rPr>
        <w:t>IgM:</w:t>
      </w:r>
      <w:r>
        <w:rPr>
          <w:noProof/>
        </w:rPr>
        <w:tab/>
        <w:t>immunoglobulin M</w:t>
      </w:r>
    </w:p>
    <w:p w:rsidR="005A26F6" w:rsidRDefault="005A26F6">
      <w:pPr>
        <w:pStyle w:val="Index1"/>
        <w:tabs>
          <w:tab w:val="right" w:leader="dot" w:pos="9460"/>
        </w:tabs>
        <w:rPr>
          <w:noProof/>
        </w:rPr>
      </w:pPr>
      <w:r>
        <w:rPr>
          <w:noProof/>
        </w:rPr>
        <w:t>IMP:</w:t>
      </w:r>
      <w:r>
        <w:rPr>
          <w:noProof/>
        </w:rPr>
        <w:tab/>
        <w:t>investigational medicinal product</w:t>
      </w:r>
    </w:p>
    <w:p w:rsidR="005A26F6" w:rsidRDefault="005A26F6">
      <w:pPr>
        <w:pStyle w:val="Index1"/>
        <w:tabs>
          <w:tab w:val="right" w:leader="dot" w:pos="9460"/>
        </w:tabs>
        <w:rPr>
          <w:noProof/>
        </w:rPr>
      </w:pPr>
      <w:r>
        <w:rPr>
          <w:noProof/>
        </w:rPr>
        <w:t>IRB:</w:t>
      </w:r>
      <w:r>
        <w:rPr>
          <w:noProof/>
        </w:rPr>
        <w:tab/>
        <w:t>institutional review board</w:t>
      </w:r>
    </w:p>
    <w:p w:rsidR="005A26F6" w:rsidRDefault="005A26F6">
      <w:pPr>
        <w:pStyle w:val="Index1"/>
        <w:tabs>
          <w:tab w:val="right" w:leader="dot" w:pos="9460"/>
        </w:tabs>
        <w:rPr>
          <w:noProof/>
        </w:rPr>
      </w:pPr>
      <w:r w:rsidRPr="008C2D13">
        <w:rPr>
          <w:rFonts w:cs="Arial"/>
          <w:noProof/>
        </w:rPr>
        <w:t>ITT</w:t>
      </w:r>
      <w:r>
        <w:rPr>
          <w:noProof/>
        </w:rPr>
        <w:t>:</w:t>
      </w:r>
      <w:r>
        <w:rPr>
          <w:noProof/>
        </w:rPr>
        <w:tab/>
      </w:r>
      <w:r w:rsidRPr="008C2D13">
        <w:rPr>
          <w:rFonts w:cs="Arial"/>
          <w:noProof/>
        </w:rPr>
        <w:t>intent-to-treat</w:t>
      </w:r>
    </w:p>
    <w:p w:rsidR="005A26F6" w:rsidRDefault="005A26F6">
      <w:pPr>
        <w:pStyle w:val="Index1"/>
        <w:tabs>
          <w:tab w:val="right" w:leader="dot" w:pos="9460"/>
        </w:tabs>
        <w:rPr>
          <w:noProof/>
        </w:rPr>
      </w:pPr>
      <w:r w:rsidRPr="008C2D13">
        <w:rPr>
          <w:noProof/>
        </w:rPr>
        <w:t>IVRS/IWRS</w:t>
      </w:r>
      <w:r>
        <w:rPr>
          <w:noProof/>
        </w:rPr>
        <w:t>:</w:t>
      </w:r>
      <w:r>
        <w:rPr>
          <w:noProof/>
        </w:rPr>
        <w:tab/>
      </w:r>
      <w:r w:rsidRPr="008C2D13">
        <w:rPr>
          <w:noProof/>
        </w:rPr>
        <w:t>interactive voice/web response system</w:t>
      </w:r>
    </w:p>
    <w:p w:rsidR="005A26F6" w:rsidRDefault="005A26F6">
      <w:pPr>
        <w:pStyle w:val="Index1"/>
        <w:tabs>
          <w:tab w:val="right" w:leader="dot" w:pos="9460"/>
        </w:tabs>
        <w:rPr>
          <w:noProof/>
        </w:rPr>
      </w:pPr>
      <w:r>
        <w:rPr>
          <w:noProof/>
        </w:rPr>
        <w:t>LDL:</w:t>
      </w:r>
      <w:r>
        <w:rPr>
          <w:noProof/>
        </w:rPr>
        <w:tab/>
        <w:t>low density lipoprotein</w:t>
      </w:r>
    </w:p>
    <w:p w:rsidR="005A26F6" w:rsidRDefault="005A26F6">
      <w:pPr>
        <w:pStyle w:val="Index1"/>
        <w:tabs>
          <w:tab w:val="right" w:leader="dot" w:pos="9460"/>
        </w:tabs>
        <w:rPr>
          <w:noProof/>
        </w:rPr>
      </w:pPr>
      <w:r>
        <w:rPr>
          <w:noProof/>
        </w:rPr>
        <w:t>LOCF:</w:t>
      </w:r>
      <w:r>
        <w:rPr>
          <w:noProof/>
        </w:rPr>
        <w:tab/>
        <w:t>last observation carried forward</w:t>
      </w:r>
    </w:p>
    <w:p w:rsidR="005A26F6" w:rsidRDefault="005A26F6">
      <w:pPr>
        <w:pStyle w:val="Index1"/>
        <w:tabs>
          <w:tab w:val="right" w:leader="dot" w:pos="9460"/>
        </w:tabs>
        <w:rPr>
          <w:noProof/>
        </w:rPr>
      </w:pPr>
      <w:r w:rsidRPr="008C2D13">
        <w:rPr>
          <w:noProof/>
        </w:rPr>
        <w:t>mITT</w:t>
      </w:r>
      <w:r>
        <w:rPr>
          <w:noProof/>
        </w:rPr>
        <w:t>:</w:t>
      </w:r>
      <w:r>
        <w:rPr>
          <w:noProof/>
        </w:rPr>
        <w:tab/>
      </w:r>
      <w:r w:rsidRPr="008C2D13">
        <w:rPr>
          <w:noProof/>
        </w:rPr>
        <w:t>modified intent-to-treat</w:t>
      </w:r>
    </w:p>
    <w:p w:rsidR="005A26F6" w:rsidRDefault="005A26F6">
      <w:pPr>
        <w:pStyle w:val="Index1"/>
        <w:tabs>
          <w:tab w:val="right" w:leader="dot" w:pos="9460"/>
        </w:tabs>
        <w:rPr>
          <w:noProof/>
        </w:rPr>
      </w:pPr>
      <w:r w:rsidRPr="008C2D13">
        <w:rPr>
          <w:noProof/>
        </w:rPr>
        <w:t>MMRM</w:t>
      </w:r>
      <w:r>
        <w:rPr>
          <w:noProof/>
        </w:rPr>
        <w:t>:</w:t>
      </w:r>
      <w:r>
        <w:rPr>
          <w:noProof/>
        </w:rPr>
        <w:tab/>
      </w:r>
      <w:r w:rsidRPr="008C2D13">
        <w:rPr>
          <w:noProof/>
        </w:rPr>
        <w:t>mixed-effect model with repeated measures</w:t>
      </w:r>
    </w:p>
    <w:p w:rsidR="005A26F6" w:rsidRDefault="005A26F6">
      <w:pPr>
        <w:pStyle w:val="Index1"/>
        <w:tabs>
          <w:tab w:val="right" w:leader="dot" w:pos="9460"/>
        </w:tabs>
        <w:rPr>
          <w:noProof/>
        </w:rPr>
      </w:pPr>
      <w:r w:rsidRPr="008C2D13">
        <w:rPr>
          <w:rFonts w:eastAsia="MS Gothic"/>
          <w:noProof/>
        </w:rPr>
        <w:t>MTC</w:t>
      </w:r>
      <w:r>
        <w:rPr>
          <w:noProof/>
        </w:rPr>
        <w:t>:</w:t>
      </w:r>
      <w:r>
        <w:rPr>
          <w:noProof/>
        </w:rPr>
        <w:tab/>
      </w:r>
      <w:r w:rsidRPr="008C2D13">
        <w:rPr>
          <w:rFonts w:eastAsia="MS Gothic"/>
          <w:noProof/>
        </w:rPr>
        <w:t>medullary thyroid cancer</w:t>
      </w:r>
    </w:p>
    <w:p w:rsidR="005A26F6" w:rsidRDefault="005A26F6">
      <w:pPr>
        <w:pStyle w:val="Index1"/>
        <w:tabs>
          <w:tab w:val="right" w:leader="dot" w:pos="9460"/>
        </w:tabs>
        <w:rPr>
          <w:noProof/>
        </w:rPr>
      </w:pPr>
      <w:r w:rsidRPr="008C2D13">
        <w:rPr>
          <w:rFonts w:eastAsia="MS Gothic"/>
          <w:noProof/>
        </w:rPr>
        <w:t>MTD</w:t>
      </w:r>
      <w:r>
        <w:rPr>
          <w:noProof/>
        </w:rPr>
        <w:t>:</w:t>
      </w:r>
      <w:r>
        <w:rPr>
          <w:noProof/>
        </w:rPr>
        <w:tab/>
      </w:r>
      <w:r w:rsidRPr="008C2D13">
        <w:rPr>
          <w:rFonts w:eastAsia="MS Gothic"/>
          <w:noProof/>
        </w:rPr>
        <w:t>maximum tolerated dose</w:t>
      </w:r>
    </w:p>
    <w:p w:rsidR="005A26F6" w:rsidRDefault="005A26F6">
      <w:pPr>
        <w:pStyle w:val="Index1"/>
        <w:tabs>
          <w:tab w:val="right" w:leader="dot" w:pos="9460"/>
        </w:tabs>
        <w:rPr>
          <w:noProof/>
        </w:rPr>
      </w:pPr>
      <w:r>
        <w:rPr>
          <w:noProof/>
        </w:rPr>
        <w:t>NIMP:</w:t>
      </w:r>
      <w:r>
        <w:rPr>
          <w:noProof/>
        </w:rPr>
        <w:tab/>
        <w:t>noninvestigational medicinal product</w:t>
      </w:r>
    </w:p>
    <w:p w:rsidR="005A26F6" w:rsidRDefault="005A26F6">
      <w:pPr>
        <w:pStyle w:val="Index1"/>
        <w:tabs>
          <w:tab w:val="right" w:leader="dot" w:pos="9460"/>
        </w:tabs>
        <w:rPr>
          <w:noProof/>
        </w:rPr>
      </w:pPr>
      <w:r w:rsidRPr="008C2D13">
        <w:rPr>
          <w:rFonts w:eastAsia="MS Gothic"/>
          <w:noProof/>
        </w:rPr>
        <w:t>OAD</w:t>
      </w:r>
      <w:r>
        <w:rPr>
          <w:noProof/>
        </w:rPr>
        <w:t>:</w:t>
      </w:r>
      <w:r>
        <w:rPr>
          <w:noProof/>
        </w:rPr>
        <w:tab/>
      </w:r>
      <w:r w:rsidRPr="008C2D13">
        <w:rPr>
          <w:rFonts w:eastAsia="MS Gothic"/>
          <w:noProof/>
        </w:rPr>
        <w:t>oral anti-diabetic drug</w:t>
      </w:r>
    </w:p>
    <w:p w:rsidR="005A26F6" w:rsidRDefault="005A26F6">
      <w:pPr>
        <w:pStyle w:val="Index1"/>
        <w:tabs>
          <w:tab w:val="right" w:leader="dot" w:pos="9460"/>
        </w:tabs>
        <w:rPr>
          <w:noProof/>
        </w:rPr>
      </w:pPr>
      <w:r>
        <w:rPr>
          <w:noProof/>
        </w:rPr>
        <w:t>PCSA:</w:t>
      </w:r>
      <w:r>
        <w:rPr>
          <w:noProof/>
        </w:rPr>
        <w:tab/>
        <w:t>potentially clinically significant abnormality</w:t>
      </w:r>
    </w:p>
    <w:p w:rsidR="005A26F6" w:rsidRDefault="005A26F6">
      <w:pPr>
        <w:pStyle w:val="Index1"/>
        <w:tabs>
          <w:tab w:val="right" w:leader="dot" w:pos="9460"/>
        </w:tabs>
        <w:rPr>
          <w:noProof/>
        </w:rPr>
      </w:pPr>
      <w:r>
        <w:rPr>
          <w:noProof/>
        </w:rPr>
        <w:lastRenderedPageBreak/>
        <w:t>PI:</w:t>
      </w:r>
      <w:r>
        <w:rPr>
          <w:noProof/>
        </w:rPr>
        <w:tab/>
        <w:t>prescribing information</w:t>
      </w:r>
    </w:p>
    <w:p w:rsidR="005A26F6" w:rsidRDefault="005A26F6">
      <w:pPr>
        <w:pStyle w:val="Index1"/>
        <w:tabs>
          <w:tab w:val="right" w:leader="dot" w:pos="9460"/>
        </w:tabs>
        <w:rPr>
          <w:noProof/>
        </w:rPr>
      </w:pPr>
      <w:r w:rsidRPr="008C2D13">
        <w:rPr>
          <w:rFonts w:eastAsia="MS Gothic"/>
          <w:noProof/>
        </w:rPr>
        <w:t>PPG</w:t>
      </w:r>
      <w:r>
        <w:rPr>
          <w:noProof/>
        </w:rPr>
        <w:t>:</w:t>
      </w:r>
      <w:r>
        <w:rPr>
          <w:noProof/>
        </w:rPr>
        <w:tab/>
      </w:r>
      <w:r w:rsidRPr="008C2D13">
        <w:rPr>
          <w:rFonts w:eastAsia="MS Gothic"/>
          <w:noProof/>
        </w:rPr>
        <w:t>post-prandial plasma glucose</w:t>
      </w:r>
    </w:p>
    <w:p w:rsidR="005A26F6" w:rsidRDefault="005A26F6">
      <w:pPr>
        <w:pStyle w:val="Index1"/>
        <w:tabs>
          <w:tab w:val="right" w:leader="dot" w:pos="9460"/>
        </w:tabs>
        <w:rPr>
          <w:noProof/>
        </w:rPr>
      </w:pPr>
      <w:r w:rsidRPr="008C2D13">
        <w:rPr>
          <w:rFonts w:eastAsia="MS Gothic"/>
          <w:noProof/>
        </w:rPr>
        <w:t>PRE</w:t>
      </w:r>
      <w:r>
        <w:rPr>
          <w:noProof/>
        </w:rPr>
        <w:t>:</w:t>
      </w:r>
      <w:r>
        <w:rPr>
          <w:noProof/>
        </w:rPr>
        <w:tab/>
      </w:r>
      <w:r w:rsidRPr="008C2D13">
        <w:rPr>
          <w:rFonts w:eastAsia="MS Gothic"/>
          <w:noProof/>
        </w:rPr>
        <w:t>pen-related event</w:t>
      </w:r>
    </w:p>
    <w:p w:rsidR="005A26F6" w:rsidRDefault="005A26F6">
      <w:pPr>
        <w:pStyle w:val="Index1"/>
        <w:tabs>
          <w:tab w:val="right" w:leader="dot" w:pos="9460"/>
        </w:tabs>
        <w:rPr>
          <w:noProof/>
        </w:rPr>
      </w:pPr>
      <w:r>
        <w:rPr>
          <w:noProof/>
        </w:rPr>
        <w:t>PREQ:</w:t>
      </w:r>
      <w:r>
        <w:rPr>
          <w:noProof/>
        </w:rPr>
        <w:tab/>
        <w:t>pen-related event questionnaire</w:t>
      </w:r>
    </w:p>
    <w:p w:rsidR="005A26F6" w:rsidRDefault="005A26F6">
      <w:pPr>
        <w:pStyle w:val="Index1"/>
        <w:tabs>
          <w:tab w:val="right" w:leader="dot" w:pos="9460"/>
        </w:tabs>
        <w:rPr>
          <w:noProof/>
        </w:rPr>
      </w:pPr>
      <w:r w:rsidRPr="008C2D13">
        <w:rPr>
          <w:noProof/>
        </w:rPr>
        <w:t>PSAC</w:t>
      </w:r>
      <w:r>
        <w:rPr>
          <w:noProof/>
        </w:rPr>
        <w:t>:</w:t>
      </w:r>
      <w:r>
        <w:rPr>
          <w:noProof/>
        </w:rPr>
        <w:tab/>
      </w:r>
      <w:r w:rsidRPr="008C2D13">
        <w:rPr>
          <w:noProof/>
        </w:rPr>
        <w:t>pancreatic safety assessment committee</w:t>
      </w:r>
    </w:p>
    <w:p w:rsidR="005A26F6" w:rsidRDefault="005A26F6">
      <w:pPr>
        <w:pStyle w:val="Index1"/>
        <w:tabs>
          <w:tab w:val="right" w:leader="dot" w:pos="9460"/>
        </w:tabs>
        <w:rPr>
          <w:noProof/>
        </w:rPr>
      </w:pPr>
      <w:r>
        <w:rPr>
          <w:noProof/>
        </w:rPr>
        <w:t>PT:</w:t>
      </w:r>
      <w:r>
        <w:rPr>
          <w:noProof/>
        </w:rPr>
        <w:tab/>
        <w:t>preferred term</w:t>
      </w:r>
    </w:p>
    <w:p w:rsidR="005A26F6" w:rsidRDefault="005A26F6">
      <w:pPr>
        <w:pStyle w:val="Index1"/>
        <w:tabs>
          <w:tab w:val="right" w:leader="dot" w:pos="9460"/>
        </w:tabs>
        <w:rPr>
          <w:noProof/>
        </w:rPr>
      </w:pPr>
      <w:r>
        <w:rPr>
          <w:noProof/>
        </w:rPr>
        <w:t>PTC:</w:t>
      </w:r>
      <w:r>
        <w:rPr>
          <w:noProof/>
        </w:rPr>
        <w:tab/>
        <w:t>product technical complaint</w:t>
      </w:r>
    </w:p>
    <w:p w:rsidR="005A26F6" w:rsidRDefault="005A26F6">
      <w:pPr>
        <w:pStyle w:val="Index1"/>
        <w:tabs>
          <w:tab w:val="right" w:leader="dot" w:pos="9460"/>
        </w:tabs>
        <w:rPr>
          <w:noProof/>
        </w:rPr>
      </w:pPr>
      <w:r w:rsidRPr="008C2D13">
        <w:rPr>
          <w:rFonts w:eastAsia="MS Gothic"/>
          <w:noProof/>
        </w:rPr>
        <w:t>QD</w:t>
      </w:r>
      <w:r>
        <w:rPr>
          <w:noProof/>
        </w:rPr>
        <w:t>:</w:t>
      </w:r>
      <w:r>
        <w:rPr>
          <w:noProof/>
        </w:rPr>
        <w:tab/>
      </w:r>
      <w:r w:rsidRPr="008C2D13">
        <w:rPr>
          <w:rFonts w:eastAsia="MS Gothic"/>
          <w:noProof/>
        </w:rPr>
        <w:t>quague die = once daily</w:t>
      </w:r>
    </w:p>
    <w:p w:rsidR="005A26F6" w:rsidRDefault="005A26F6">
      <w:pPr>
        <w:pStyle w:val="Index1"/>
        <w:tabs>
          <w:tab w:val="right" w:leader="dot" w:pos="9460"/>
        </w:tabs>
        <w:rPr>
          <w:noProof/>
        </w:rPr>
      </w:pPr>
      <w:r w:rsidRPr="008C2D13">
        <w:rPr>
          <w:rFonts w:eastAsia="MS Gothic"/>
          <w:noProof/>
        </w:rPr>
        <w:t>QW</w:t>
      </w:r>
      <w:r>
        <w:rPr>
          <w:noProof/>
        </w:rPr>
        <w:t>:</w:t>
      </w:r>
      <w:r>
        <w:rPr>
          <w:noProof/>
        </w:rPr>
        <w:tab/>
      </w:r>
      <w:r w:rsidRPr="008C2D13">
        <w:rPr>
          <w:rFonts w:eastAsia="MS Gothic"/>
          <w:noProof/>
        </w:rPr>
        <w:t>once weekly</w:t>
      </w:r>
    </w:p>
    <w:p w:rsidR="005A26F6" w:rsidRDefault="005A26F6">
      <w:pPr>
        <w:pStyle w:val="Index1"/>
        <w:tabs>
          <w:tab w:val="right" w:leader="dot" w:pos="9460"/>
        </w:tabs>
        <w:rPr>
          <w:noProof/>
        </w:rPr>
      </w:pPr>
      <w:r>
        <w:rPr>
          <w:noProof/>
        </w:rPr>
        <w:t>SAE:</w:t>
      </w:r>
      <w:r>
        <w:rPr>
          <w:noProof/>
        </w:rPr>
        <w:tab/>
        <w:t>serious adverse event</w:t>
      </w:r>
    </w:p>
    <w:p w:rsidR="005A26F6" w:rsidRDefault="005A26F6">
      <w:pPr>
        <w:pStyle w:val="Index1"/>
        <w:tabs>
          <w:tab w:val="right" w:leader="dot" w:pos="9460"/>
        </w:tabs>
        <w:rPr>
          <w:noProof/>
        </w:rPr>
      </w:pPr>
      <w:r w:rsidRPr="008C2D13">
        <w:rPr>
          <w:noProof/>
        </w:rPr>
        <w:t>SAS</w:t>
      </w:r>
      <w:r>
        <w:rPr>
          <w:noProof/>
        </w:rPr>
        <w:t>:</w:t>
      </w:r>
      <w:r>
        <w:rPr>
          <w:noProof/>
        </w:rPr>
        <w:tab/>
      </w:r>
      <w:r w:rsidRPr="008C2D13">
        <w:rPr>
          <w:noProof/>
        </w:rPr>
        <w:t>statistical analysis system</w:t>
      </w:r>
    </w:p>
    <w:p w:rsidR="005A26F6" w:rsidRDefault="005A26F6">
      <w:pPr>
        <w:pStyle w:val="Index1"/>
        <w:tabs>
          <w:tab w:val="right" w:leader="dot" w:pos="9460"/>
        </w:tabs>
        <w:rPr>
          <w:noProof/>
        </w:rPr>
      </w:pPr>
      <w:r>
        <w:rPr>
          <w:noProof/>
        </w:rPr>
        <w:t>SC:</w:t>
      </w:r>
      <w:r>
        <w:rPr>
          <w:noProof/>
        </w:rPr>
        <w:tab/>
        <w:t>subcutaneous</w:t>
      </w:r>
    </w:p>
    <w:p w:rsidR="005A26F6" w:rsidRDefault="005A26F6">
      <w:pPr>
        <w:pStyle w:val="Index1"/>
        <w:tabs>
          <w:tab w:val="right" w:leader="dot" w:pos="9460"/>
        </w:tabs>
        <w:rPr>
          <w:noProof/>
        </w:rPr>
      </w:pPr>
      <w:r>
        <w:rPr>
          <w:noProof/>
        </w:rPr>
        <w:t>SD:</w:t>
      </w:r>
      <w:r>
        <w:rPr>
          <w:noProof/>
        </w:rPr>
        <w:tab/>
        <w:t>standard deviation</w:t>
      </w:r>
    </w:p>
    <w:p w:rsidR="005A26F6" w:rsidRDefault="005A26F6">
      <w:pPr>
        <w:pStyle w:val="Index1"/>
        <w:tabs>
          <w:tab w:val="right" w:leader="dot" w:pos="9460"/>
        </w:tabs>
        <w:rPr>
          <w:noProof/>
        </w:rPr>
      </w:pPr>
      <w:r>
        <w:rPr>
          <w:noProof/>
        </w:rPr>
        <w:t>SmPC:</w:t>
      </w:r>
      <w:r>
        <w:rPr>
          <w:noProof/>
        </w:rPr>
        <w:tab/>
        <w:t>summary of product characteristics</w:t>
      </w:r>
    </w:p>
    <w:p w:rsidR="005A26F6" w:rsidRDefault="005A26F6">
      <w:pPr>
        <w:pStyle w:val="Index1"/>
        <w:tabs>
          <w:tab w:val="right" w:leader="dot" w:pos="9460"/>
        </w:tabs>
        <w:rPr>
          <w:noProof/>
        </w:rPr>
      </w:pPr>
      <w:r w:rsidRPr="008C2D13">
        <w:rPr>
          <w:rFonts w:eastAsia="MS Gothic"/>
          <w:noProof/>
        </w:rPr>
        <w:t>SMPG</w:t>
      </w:r>
      <w:r>
        <w:rPr>
          <w:noProof/>
        </w:rPr>
        <w:t>:</w:t>
      </w:r>
      <w:r>
        <w:rPr>
          <w:noProof/>
        </w:rPr>
        <w:tab/>
      </w:r>
      <w:r w:rsidRPr="008C2D13">
        <w:rPr>
          <w:rFonts w:eastAsia="MS Gothic"/>
          <w:noProof/>
        </w:rPr>
        <w:t>self-monitored plasma glucose</w:t>
      </w:r>
    </w:p>
    <w:p w:rsidR="005A26F6" w:rsidRDefault="005A26F6">
      <w:pPr>
        <w:pStyle w:val="Index1"/>
        <w:tabs>
          <w:tab w:val="right" w:leader="dot" w:pos="9460"/>
        </w:tabs>
        <w:rPr>
          <w:noProof/>
        </w:rPr>
      </w:pPr>
      <w:r>
        <w:rPr>
          <w:noProof/>
        </w:rPr>
        <w:t>SOC:</w:t>
      </w:r>
      <w:r>
        <w:rPr>
          <w:noProof/>
        </w:rPr>
        <w:tab/>
        <w:t>system organ class</w:t>
      </w:r>
    </w:p>
    <w:p w:rsidR="005A26F6" w:rsidRDefault="005A26F6">
      <w:pPr>
        <w:pStyle w:val="Index1"/>
        <w:tabs>
          <w:tab w:val="right" w:leader="dot" w:pos="9460"/>
        </w:tabs>
        <w:rPr>
          <w:noProof/>
        </w:rPr>
      </w:pPr>
      <w:r>
        <w:rPr>
          <w:noProof/>
        </w:rPr>
        <w:t>TEAE:</w:t>
      </w:r>
      <w:r>
        <w:rPr>
          <w:noProof/>
        </w:rPr>
        <w:tab/>
        <w:t>treatment-emergent adverse event</w:t>
      </w:r>
    </w:p>
    <w:p w:rsidR="005A26F6" w:rsidRDefault="005A26F6">
      <w:pPr>
        <w:pStyle w:val="Index1"/>
        <w:tabs>
          <w:tab w:val="right" w:leader="dot" w:pos="9460"/>
        </w:tabs>
        <w:rPr>
          <w:noProof/>
        </w:rPr>
      </w:pPr>
      <w:r w:rsidRPr="008C2D13">
        <w:rPr>
          <w:rFonts w:eastAsia="MS Gothic"/>
          <w:noProof/>
        </w:rPr>
        <w:t>ULN</w:t>
      </w:r>
      <w:r>
        <w:rPr>
          <w:noProof/>
        </w:rPr>
        <w:t>:</w:t>
      </w:r>
      <w:r>
        <w:rPr>
          <w:noProof/>
        </w:rPr>
        <w:tab/>
      </w:r>
      <w:r w:rsidRPr="008C2D13">
        <w:rPr>
          <w:rFonts w:eastAsia="MS Gothic"/>
          <w:noProof/>
        </w:rPr>
        <w:t>upper limit of normal range</w:t>
      </w:r>
    </w:p>
    <w:p w:rsidR="005A26F6" w:rsidRDefault="005A26F6">
      <w:pPr>
        <w:pStyle w:val="Index1"/>
        <w:tabs>
          <w:tab w:val="right" w:leader="dot" w:pos="9460"/>
        </w:tabs>
        <w:rPr>
          <w:noProof/>
        </w:rPr>
      </w:pPr>
      <w:r>
        <w:rPr>
          <w:noProof/>
        </w:rPr>
        <w:t>WHO-DD:</w:t>
      </w:r>
      <w:r>
        <w:rPr>
          <w:noProof/>
        </w:rPr>
        <w:tab/>
        <w:t>World Health Organization - Drug Dictionary</w:t>
      </w:r>
    </w:p>
    <w:p w:rsidR="00942434" w:rsidRDefault="00942434" w:rsidP="00942434">
      <w:r>
        <w:fldChar w:fldCharType="end"/>
      </w:r>
    </w:p>
    <w:p w:rsidR="002F41EE" w:rsidRDefault="002F41EE">
      <w:pPr>
        <w:pStyle w:val="Heading1"/>
      </w:pPr>
      <w:bookmarkStart w:id="67" w:name="_Toc348250992"/>
      <w:bookmarkStart w:id="68" w:name="_Toc87170231"/>
      <w:bookmarkStart w:id="69" w:name="_Toc128558602"/>
      <w:bookmarkStart w:id="70" w:name="_Toc382298057"/>
      <w:bookmarkStart w:id="71" w:name="_Toc443035821"/>
      <w:r>
        <w:lastRenderedPageBreak/>
        <w:t>Introduction and rationale</w:t>
      </w:r>
      <w:bookmarkEnd w:id="67"/>
      <w:bookmarkEnd w:id="68"/>
      <w:bookmarkEnd w:id="69"/>
      <w:bookmarkEnd w:id="70"/>
      <w:bookmarkEnd w:id="71"/>
    </w:p>
    <w:p w:rsidR="000F21C0" w:rsidRDefault="000F21C0" w:rsidP="000F21C0">
      <w:bookmarkStart w:id="72" w:name="_Toc348250993"/>
      <w:r>
        <w:t xml:space="preserve">Study LixiLan-G (EFC13794) will evaluate the efficacy and safety of the combination of basal insulin glargine (Lantus®) and the </w:t>
      </w:r>
      <w:r w:rsidR="00D9457F">
        <w:t xml:space="preserve">glucagon-like peptide-1 </w:t>
      </w:r>
      <w:r>
        <w:t xml:space="preserve">receptor agonist </w:t>
      </w:r>
      <w:r w:rsidR="00D9457F">
        <w:t xml:space="preserve">(GLP-1 RA) </w:t>
      </w:r>
      <w:r>
        <w:t xml:space="preserve">lixisenatide in patients with type 2 diabetes mellitus (T2DM) not sufficiently controlled on oral anti-diabetic drug (OAD) therapy and GLP-1 receptor agonist </w:t>
      </w:r>
      <w:r w:rsidRPr="001153D4">
        <w:t>therapy</w:t>
      </w:r>
      <w:r>
        <w:t xml:space="preserve"> (liraglutide (Victoza®), exenatide (Byetta®)</w:t>
      </w:r>
      <w:r w:rsidRPr="00CB7C08">
        <w:t>, exenatide extended-release (Bydureon®), albiglutide (Tanzeum®/Eperzan®), and dulaglutide (Trulicity®)</w:t>
      </w:r>
      <w:r w:rsidR="00D9457F">
        <w:t>)</w:t>
      </w:r>
      <w:r w:rsidRPr="00CB7C08">
        <w:t>.</w:t>
      </w:r>
    </w:p>
    <w:p w:rsidR="000F21C0" w:rsidRDefault="000F21C0" w:rsidP="000F21C0">
      <w:r>
        <w:t xml:space="preserve">Lixisenatide (AVE0010, Lyxumia®) is a polypeptide with pronounced glucagon-like peptide 1 (GLP-1) agonist activity, approved since 2013 in the European Union (EU), Japan, Mexico, and other parts of the world for treatment of adults with T2DM to achieve glycemic control in combination with oral glucose-lowering medicinal products and/or basal insulin when these, together with diet and exercise, do not provide adequate glycemic control. The indication may vary slightly across the countries where lixisenatide is approved. Other information concerning lixisenatide is available in the Clinical Investigator’s Brochure </w:t>
      </w:r>
      <w:r w:rsidR="002C6EE4">
        <w:t>(</w:t>
      </w:r>
      <w:r w:rsidR="002C6EE4" w:rsidRPr="002C6EE4">
        <w:rPr>
          <w:color w:val="0000FF"/>
        </w:rPr>
        <w:fldChar w:fldCharType="begin"/>
      </w:r>
      <w:r w:rsidR="002C6EE4" w:rsidRPr="002C6EE4">
        <w:rPr>
          <w:color w:val="0000FF"/>
        </w:rPr>
        <w:instrText xml:space="preserve"> REF  TARGET_REFBIB0001 \h  \* MERGEFORMAT </w:instrText>
      </w:r>
      <w:r w:rsidR="002C6EE4" w:rsidRPr="002C6EE4">
        <w:rPr>
          <w:color w:val="0000FF"/>
        </w:rPr>
      </w:r>
      <w:r w:rsidR="002C6EE4" w:rsidRPr="002C6EE4">
        <w:rPr>
          <w:color w:val="0000FF"/>
        </w:rPr>
        <w:fldChar w:fldCharType="separate"/>
      </w:r>
      <w:r w:rsidR="005A26F6" w:rsidRPr="005A26F6">
        <w:rPr>
          <w:color w:val="0000FF"/>
        </w:rPr>
        <w:t>1</w:t>
      </w:r>
      <w:r w:rsidR="002C6EE4" w:rsidRPr="002C6EE4">
        <w:rPr>
          <w:color w:val="0000FF"/>
        </w:rPr>
        <w:fldChar w:fldCharType="end"/>
      </w:r>
      <w:r w:rsidR="002C6EE4">
        <w:t>)</w:t>
      </w:r>
      <w:r>
        <w:t xml:space="preserve"> and in the Lyxumia® Summary of Product Characteristics </w:t>
      </w:r>
      <w:r w:rsidR="00682117">
        <w:t>(</w:t>
      </w:r>
      <w:r w:rsidR="00682117" w:rsidRPr="00592C64">
        <w:t>SmPC</w:t>
      </w:r>
      <w:r w:rsidR="00592C64">
        <w:fldChar w:fldCharType="begin"/>
      </w:r>
      <w:r w:rsidR="00592C64">
        <w:instrText xml:space="preserve"> XE "</w:instrText>
      </w:r>
      <w:r w:rsidR="00592C64" w:rsidRPr="00592C64">
        <w:instrText xml:space="preserve"> SmPC</w:instrText>
      </w:r>
      <w:r w:rsidR="009A6873">
        <w:instrText xml:space="preserve"> " \f Abbreviation \t "s</w:instrText>
      </w:r>
      <w:r w:rsidR="00592C64">
        <w:instrText xml:space="preserve">ummary of product characteristics" </w:instrText>
      </w:r>
      <w:r w:rsidR="00592C64">
        <w:fldChar w:fldCharType="end"/>
      </w:r>
      <w:r w:rsidR="00682117">
        <w:t>)</w:t>
      </w:r>
      <w:r w:rsidR="002C6EE4">
        <w:t xml:space="preserve"> (</w:t>
      </w:r>
      <w:r w:rsidR="002C6EE4" w:rsidRPr="002C6EE4">
        <w:rPr>
          <w:color w:val="0000FF"/>
        </w:rPr>
        <w:fldChar w:fldCharType="begin"/>
      </w:r>
      <w:r w:rsidR="002C6EE4" w:rsidRPr="002C6EE4">
        <w:rPr>
          <w:color w:val="0000FF"/>
        </w:rPr>
        <w:instrText xml:space="preserve"> REF  TARGET_REFBIB0002 \h  \* MERGEFORMAT </w:instrText>
      </w:r>
      <w:r w:rsidR="002C6EE4" w:rsidRPr="002C6EE4">
        <w:rPr>
          <w:color w:val="0000FF"/>
        </w:rPr>
      </w:r>
      <w:r w:rsidR="002C6EE4" w:rsidRPr="002C6EE4">
        <w:rPr>
          <w:color w:val="0000FF"/>
        </w:rPr>
        <w:fldChar w:fldCharType="separate"/>
      </w:r>
      <w:r w:rsidR="005A26F6" w:rsidRPr="005A26F6">
        <w:rPr>
          <w:color w:val="0000FF"/>
        </w:rPr>
        <w:t>2</w:t>
      </w:r>
      <w:r w:rsidR="002C6EE4" w:rsidRPr="002C6EE4">
        <w:rPr>
          <w:color w:val="0000FF"/>
        </w:rPr>
        <w:fldChar w:fldCharType="end"/>
      </w:r>
      <w:r w:rsidR="002C6EE4">
        <w:t>)</w:t>
      </w:r>
      <w:r>
        <w:t>.</w:t>
      </w:r>
    </w:p>
    <w:p w:rsidR="000F21C0" w:rsidRDefault="000F21C0" w:rsidP="000F21C0">
      <w:r>
        <w:t>Insulin glargine (HOE901, Lantus®), an analogue of human insulin, provides 24-hour basal insulin supply after single dose subcutaneous injection. Lantu</w:t>
      </w:r>
      <w:r w:rsidR="009E56D2">
        <w:t>s® has been marketed since June </w:t>
      </w:r>
      <w:r>
        <w:t xml:space="preserve">2000 in Europe and since </w:t>
      </w:r>
      <w:r w:rsidR="00D9457F">
        <w:t>April</w:t>
      </w:r>
      <w:r>
        <w:t xml:space="preserve"> 200</w:t>
      </w:r>
      <w:r w:rsidR="00D9457F">
        <w:t>0</w:t>
      </w:r>
      <w:r>
        <w:t xml:space="preserve"> in the USA and other parts of the world. Lantus® is indicated for the treatment of adult and pediatric patients with T1DM or adult patients with T2DM who require basal (long-acting) insulin for the control of hyperglycemia. Other information concerning insulin glargine is available the Lantus® </w:t>
      </w:r>
      <w:r w:rsidR="00682117">
        <w:t>SmPC</w:t>
      </w:r>
      <w:r>
        <w:t xml:space="preserve"> </w:t>
      </w:r>
      <w:r w:rsidR="002C6EE4">
        <w:t>(</w:t>
      </w:r>
      <w:r w:rsidR="002C6EE4" w:rsidRPr="002C6EE4">
        <w:rPr>
          <w:color w:val="0000FF"/>
        </w:rPr>
        <w:fldChar w:fldCharType="begin"/>
      </w:r>
      <w:r w:rsidR="002C6EE4" w:rsidRPr="002C6EE4">
        <w:rPr>
          <w:color w:val="0000FF"/>
        </w:rPr>
        <w:instrText xml:space="preserve"> REF  TARGET_REFBIB0003 \h  \* MERGEFORMAT </w:instrText>
      </w:r>
      <w:r w:rsidR="002C6EE4" w:rsidRPr="002C6EE4">
        <w:rPr>
          <w:color w:val="0000FF"/>
        </w:rPr>
      </w:r>
      <w:r w:rsidR="002C6EE4" w:rsidRPr="002C6EE4">
        <w:rPr>
          <w:color w:val="0000FF"/>
        </w:rPr>
        <w:fldChar w:fldCharType="separate"/>
      </w:r>
      <w:r w:rsidR="005A26F6" w:rsidRPr="005A26F6">
        <w:rPr>
          <w:color w:val="0000FF"/>
        </w:rPr>
        <w:t>3</w:t>
      </w:r>
      <w:r w:rsidR="002C6EE4" w:rsidRPr="002C6EE4">
        <w:rPr>
          <w:color w:val="0000FF"/>
        </w:rPr>
        <w:fldChar w:fldCharType="end"/>
      </w:r>
      <w:r w:rsidR="002C6EE4">
        <w:t>)</w:t>
      </w:r>
      <w:r>
        <w:t xml:space="preserve"> and Lantus® Prescribing Information</w:t>
      </w:r>
      <w:r w:rsidR="00682117">
        <w:t xml:space="preserve"> (</w:t>
      </w:r>
      <w:r w:rsidR="00682117" w:rsidRPr="00592C64">
        <w:t>PI</w:t>
      </w:r>
      <w:r w:rsidR="00592C64">
        <w:fldChar w:fldCharType="begin"/>
      </w:r>
      <w:r w:rsidR="00592C64">
        <w:instrText xml:space="preserve"> XE "</w:instrText>
      </w:r>
      <w:r w:rsidR="00592C64" w:rsidRPr="00592C64">
        <w:instrText xml:space="preserve"> PI</w:instrText>
      </w:r>
      <w:r w:rsidR="00592C64">
        <w:instrText xml:space="preserve"> " \f Abbrevi</w:instrText>
      </w:r>
      <w:r w:rsidR="009A6873">
        <w:instrText>ation \t "p</w:instrText>
      </w:r>
      <w:r w:rsidR="00592C64">
        <w:instrText xml:space="preserve">rescribing information" </w:instrText>
      </w:r>
      <w:r w:rsidR="00592C64">
        <w:fldChar w:fldCharType="end"/>
      </w:r>
      <w:r w:rsidR="00682117">
        <w:t>)</w:t>
      </w:r>
      <w:r>
        <w:t xml:space="preserve"> </w:t>
      </w:r>
      <w:r w:rsidR="002C6EE4">
        <w:t>(</w:t>
      </w:r>
      <w:r w:rsidR="002C6EE4" w:rsidRPr="002C6EE4">
        <w:rPr>
          <w:color w:val="0000FF"/>
        </w:rPr>
        <w:fldChar w:fldCharType="begin"/>
      </w:r>
      <w:r w:rsidR="002C6EE4" w:rsidRPr="002C6EE4">
        <w:rPr>
          <w:color w:val="0000FF"/>
        </w:rPr>
        <w:instrText xml:space="preserve"> REF  TARGET_REFBIB0004 \h  \* MERGEFORMAT </w:instrText>
      </w:r>
      <w:r w:rsidR="002C6EE4" w:rsidRPr="002C6EE4">
        <w:rPr>
          <w:color w:val="0000FF"/>
        </w:rPr>
      </w:r>
      <w:r w:rsidR="002C6EE4" w:rsidRPr="002C6EE4">
        <w:rPr>
          <w:color w:val="0000FF"/>
        </w:rPr>
        <w:fldChar w:fldCharType="separate"/>
      </w:r>
      <w:r w:rsidR="005A26F6" w:rsidRPr="005A26F6">
        <w:rPr>
          <w:color w:val="0000FF"/>
        </w:rPr>
        <w:t>4</w:t>
      </w:r>
      <w:r w:rsidR="002C6EE4" w:rsidRPr="002C6EE4">
        <w:rPr>
          <w:color w:val="0000FF"/>
        </w:rPr>
        <w:fldChar w:fldCharType="end"/>
      </w:r>
      <w:r w:rsidR="002C6EE4">
        <w:t>)</w:t>
      </w:r>
      <w:r>
        <w:t>.</w:t>
      </w:r>
    </w:p>
    <w:p w:rsidR="000F21C0" w:rsidRDefault="000F21C0" w:rsidP="000F21C0">
      <w:r>
        <w:t xml:space="preserve">Since both lixisenatide and insulin glargine are efficacious when given once daily, and have similar physicochemical features such as good solubility at low pH, both components can be mixed as a defined fixed ratio formulation to be delivered  in one single injection. </w:t>
      </w:r>
    </w:p>
    <w:p w:rsidR="000F21C0" w:rsidRPr="00CB7C08" w:rsidRDefault="00DB7ED9" w:rsidP="000F21C0">
      <w:r>
        <w:t>Several</w:t>
      </w:r>
      <w:r w:rsidR="000F21C0" w:rsidRPr="00CB7C08">
        <w:t xml:space="preserve"> GLP-1 receptor agonists (GLP-1 RA) are approved throughout the world. Liraglutide (Victoza®) has been marketed since 2009 in Europe and 2010 in the USA, and is indicated as an adjunct to diet and exercise to improve glycemic control in adults with T2DM. The indication may vary slightly across the countries where liraglutide is approved. </w:t>
      </w:r>
      <w:r>
        <w:t>Detailed</w:t>
      </w:r>
      <w:r w:rsidR="000F21C0" w:rsidRPr="00CB7C08">
        <w:t xml:space="preserve"> information concerning liraglutide is available in the Victoza® </w:t>
      </w:r>
      <w:r w:rsidR="00682117" w:rsidRPr="00CB7C08">
        <w:t>SmPC</w:t>
      </w:r>
      <w:r w:rsidR="000F21C0" w:rsidRPr="00CB7C08">
        <w:t xml:space="preserve"> </w:t>
      </w:r>
      <w:r w:rsidR="00151594" w:rsidRPr="00CB7C08">
        <w:t>(</w:t>
      </w:r>
      <w:r w:rsidR="00151594" w:rsidRPr="00CB7C08">
        <w:rPr>
          <w:color w:val="0000FF"/>
        </w:rPr>
        <w:fldChar w:fldCharType="begin"/>
      </w:r>
      <w:r w:rsidR="00151594" w:rsidRPr="00CB7C08">
        <w:rPr>
          <w:color w:val="0000FF"/>
        </w:rPr>
        <w:instrText xml:space="preserve"> REF  TARGET_REFBIB0005 \h  \* MERGEFORMAT </w:instrText>
      </w:r>
      <w:r w:rsidR="00151594" w:rsidRPr="00CB7C08">
        <w:rPr>
          <w:color w:val="0000FF"/>
        </w:rPr>
      </w:r>
      <w:r w:rsidR="00151594" w:rsidRPr="00CB7C08">
        <w:rPr>
          <w:color w:val="0000FF"/>
        </w:rPr>
        <w:fldChar w:fldCharType="separate"/>
      </w:r>
      <w:r w:rsidR="005A26F6" w:rsidRPr="005A26F6">
        <w:rPr>
          <w:color w:val="0000FF"/>
        </w:rPr>
        <w:t>5</w:t>
      </w:r>
      <w:r w:rsidR="00151594" w:rsidRPr="00CB7C08">
        <w:rPr>
          <w:color w:val="0000FF"/>
        </w:rPr>
        <w:fldChar w:fldCharType="end"/>
      </w:r>
      <w:r w:rsidR="00151594" w:rsidRPr="00CB7C08">
        <w:t xml:space="preserve">) </w:t>
      </w:r>
      <w:r w:rsidR="000F21C0" w:rsidRPr="00CB7C08">
        <w:t xml:space="preserve">and Victoza® </w:t>
      </w:r>
      <w:r w:rsidR="00682117" w:rsidRPr="00CB7C08">
        <w:t>PI</w:t>
      </w:r>
      <w:r w:rsidR="000F21C0" w:rsidRPr="00CB7C08">
        <w:t xml:space="preserve"> </w:t>
      </w:r>
      <w:r w:rsidR="00151594" w:rsidRPr="00CB7C08">
        <w:t>(</w:t>
      </w:r>
      <w:r w:rsidR="00151594" w:rsidRPr="00CB7C08">
        <w:rPr>
          <w:color w:val="0000FF"/>
        </w:rPr>
        <w:fldChar w:fldCharType="begin"/>
      </w:r>
      <w:r w:rsidR="00151594" w:rsidRPr="00CB7C08">
        <w:rPr>
          <w:color w:val="0000FF"/>
        </w:rPr>
        <w:instrText xml:space="preserve"> REF  TARGET_REFBIB0006 \h  \* MERGEFORMAT </w:instrText>
      </w:r>
      <w:r w:rsidR="00151594" w:rsidRPr="00CB7C08">
        <w:rPr>
          <w:color w:val="0000FF"/>
        </w:rPr>
      </w:r>
      <w:r w:rsidR="00151594" w:rsidRPr="00CB7C08">
        <w:rPr>
          <w:color w:val="0000FF"/>
        </w:rPr>
        <w:fldChar w:fldCharType="separate"/>
      </w:r>
      <w:r w:rsidR="005A26F6" w:rsidRPr="005A26F6">
        <w:rPr>
          <w:color w:val="0000FF"/>
        </w:rPr>
        <w:t>6</w:t>
      </w:r>
      <w:r w:rsidR="00151594" w:rsidRPr="00CB7C08">
        <w:rPr>
          <w:color w:val="0000FF"/>
        </w:rPr>
        <w:fldChar w:fldCharType="end"/>
      </w:r>
      <w:r w:rsidR="00151594" w:rsidRPr="00CB7C08">
        <w:t>)</w:t>
      </w:r>
      <w:r w:rsidR="000F21C0" w:rsidRPr="00CB7C08">
        <w:t>.</w:t>
      </w:r>
    </w:p>
    <w:p w:rsidR="000F21C0" w:rsidRPr="000F21C0" w:rsidRDefault="000F21C0" w:rsidP="000F21C0">
      <w:pPr>
        <w:rPr>
          <w:highlight w:val="yellow"/>
        </w:rPr>
      </w:pPr>
      <w:r w:rsidRPr="00CB7C08">
        <w:t xml:space="preserve">Exenatide (Byetta®) has been initially approved in Europe in 2006 and in 2005 in the USA, and is indicated as an adjunct to diet and exercise to improve glycemic control in adults with T2DM. The indication may vary slightly across the countries where Byetta® is approved. </w:t>
      </w:r>
      <w:r w:rsidR="00DB7ED9">
        <w:t>Detailed</w:t>
      </w:r>
      <w:r w:rsidRPr="00CB7C08">
        <w:t xml:space="preserve"> information concerning Byetta® is available in the Byetta® </w:t>
      </w:r>
      <w:r w:rsidR="00682117" w:rsidRPr="00CB7C08">
        <w:t>SmPC</w:t>
      </w:r>
      <w:r w:rsidRPr="00CB7C08">
        <w:t xml:space="preserve"> </w:t>
      </w:r>
      <w:r w:rsidR="00A830FF" w:rsidRPr="00CB7C08">
        <w:t>(</w:t>
      </w:r>
      <w:r w:rsidR="00A830FF" w:rsidRPr="00CB7C08">
        <w:rPr>
          <w:color w:val="0000FF"/>
        </w:rPr>
        <w:fldChar w:fldCharType="begin"/>
      </w:r>
      <w:r w:rsidR="00A830FF" w:rsidRPr="00CB7C08">
        <w:rPr>
          <w:color w:val="0000FF"/>
        </w:rPr>
        <w:instrText xml:space="preserve"> REF  TARGET_REFBIB0007 \h  \* MERGEFORMAT </w:instrText>
      </w:r>
      <w:r w:rsidR="00A830FF" w:rsidRPr="00CB7C08">
        <w:rPr>
          <w:color w:val="0000FF"/>
        </w:rPr>
      </w:r>
      <w:r w:rsidR="00A830FF" w:rsidRPr="00CB7C08">
        <w:rPr>
          <w:color w:val="0000FF"/>
        </w:rPr>
        <w:fldChar w:fldCharType="separate"/>
      </w:r>
      <w:r w:rsidR="005A26F6" w:rsidRPr="005A26F6">
        <w:rPr>
          <w:color w:val="0000FF"/>
        </w:rPr>
        <w:t>7</w:t>
      </w:r>
      <w:r w:rsidR="00A830FF" w:rsidRPr="00CB7C08">
        <w:rPr>
          <w:color w:val="0000FF"/>
        </w:rPr>
        <w:fldChar w:fldCharType="end"/>
      </w:r>
      <w:r w:rsidR="00A830FF" w:rsidRPr="00CB7C08">
        <w:t xml:space="preserve">) </w:t>
      </w:r>
      <w:r w:rsidRPr="00CB7C08">
        <w:t xml:space="preserve">and Byetta® </w:t>
      </w:r>
      <w:r w:rsidR="00682117" w:rsidRPr="00CB7C08">
        <w:t>PI</w:t>
      </w:r>
      <w:r w:rsidRPr="00CB7C08">
        <w:t xml:space="preserve"> </w:t>
      </w:r>
      <w:r w:rsidR="00A830FF" w:rsidRPr="00CB7C08">
        <w:t>(</w:t>
      </w:r>
      <w:r w:rsidR="00A830FF" w:rsidRPr="00CB7C08">
        <w:rPr>
          <w:color w:val="0000FF"/>
        </w:rPr>
        <w:fldChar w:fldCharType="begin"/>
      </w:r>
      <w:r w:rsidR="00A830FF" w:rsidRPr="00CB7C08">
        <w:rPr>
          <w:color w:val="0000FF"/>
        </w:rPr>
        <w:instrText xml:space="preserve"> REF  TARGET_REFBIB0008 \h  \* MERGEFORMAT </w:instrText>
      </w:r>
      <w:r w:rsidR="00A830FF" w:rsidRPr="00CB7C08">
        <w:rPr>
          <w:color w:val="0000FF"/>
        </w:rPr>
      </w:r>
      <w:r w:rsidR="00A830FF" w:rsidRPr="00CB7C08">
        <w:rPr>
          <w:color w:val="0000FF"/>
        </w:rPr>
        <w:fldChar w:fldCharType="separate"/>
      </w:r>
      <w:r w:rsidR="005A26F6" w:rsidRPr="005A26F6">
        <w:rPr>
          <w:color w:val="0000FF"/>
        </w:rPr>
        <w:t>8</w:t>
      </w:r>
      <w:r w:rsidR="00A830FF" w:rsidRPr="00CB7C08">
        <w:rPr>
          <w:color w:val="0000FF"/>
        </w:rPr>
        <w:fldChar w:fldCharType="end"/>
      </w:r>
      <w:r w:rsidR="00A830FF" w:rsidRPr="00CB7C08">
        <w:t>)</w:t>
      </w:r>
      <w:r w:rsidRPr="00CB7C08">
        <w:t>.</w:t>
      </w:r>
      <w:r w:rsidR="00586BFC" w:rsidRPr="00CB7C08">
        <w:t xml:space="preserve"> The extended-release version of Exenatide </w:t>
      </w:r>
      <w:r w:rsidRPr="00CB7C08">
        <w:t xml:space="preserve">(Bydureon®) has been initially approved in Europe in 2011 and in 2012 in the USA, and is indicated as an adjunct to diet and exercise to improve glycemic control in adults with T2DM. The indication may vary slightly across the countries where Bydureon® is approved. Other information concerning Bydureon® is available in the Bydureon® </w:t>
      </w:r>
      <w:r w:rsidR="00682117" w:rsidRPr="00CB7C08">
        <w:t>SmPC</w:t>
      </w:r>
      <w:r w:rsidRPr="00CB7C08">
        <w:t xml:space="preserve"> </w:t>
      </w:r>
      <w:r w:rsidR="00A830FF" w:rsidRPr="00CB7C08">
        <w:t>(</w:t>
      </w:r>
      <w:r w:rsidR="00A830FF" w:rsidRPr="00CB7C08">
        <w:rPr>
          <w:color w:val="0000FF"/>
        </w:rPr>
        <w:fldChar w:fldCharType="begin"/>
      </w:r>
      <w:r w:rsidR="00A830FF" w:rsidRPr="00CB7C08">
        <w:rPr>
          <w:color w:val="0000FF"/>
        </w:rPr>
        <w:instrText xml:space="preserve"> REF  TARGET_REFBIB0009 \h  \* MERGEFORMAT </w:instrText>
      </w:r>
      <w:r w:rsidR="00A830FF" w:rsidRPr="00CB7C08">
        <w:rPr>
          <w:color w:val="0000FF"/>
        </w:rPr>
      </w:r>
      <w:r w:rsidR="00A830FF" w:rsidRPr="00CB7C08">
        <w:rPr>
          <w:color w:val="0000FF"/>
        </w:rPr>
        <w:fldChar w:fldCharType="separate"/>
      </w:r>
      <w:r w:rsidR="005A26F6" w:rsidRPr="005A26F6">
        <w:rPr>
          <w:color w:val="0000FF"/>
        </w:rPr>
        <w:t>9</w:t>
      </w:r>
      <w:r w:rsidR="00A830FF" w:rsidRPr="00CB7C08">
        <w:rPr>
          <w:color w:val="0000FF"/>
        </w:rPr>
        <w:fldChar w:fldCharType="end"/>
      </w:r>
      <w:r w:rsidR="00A830FF" w:rsidRPr="00CB7C08">
        <w:t>)</w:t>
      </w:r>
      <w:r w:rsidRPr="00CB7C08">
        <w:t xml:space="preserve"> and Bydureon® </w:t>
      </w:r>
      <w:r w:rsidR="00682117" w:rsidRPr="00CB7C08">
        <w:t>PI</w:t>
      </w:r>
      <w:r w:rsidRPr="00CB7C08">
        <w:t xml:space="preserve"> </w:t>
      </w:r>
      <w:r w:rsidR="00A830FF" w:rsidRPr="00CB7C08">
        <w:t>(</w:t>
      </w:r>
      <w:r w:rsidR="00A830FF" w:rsidRPr="00CB7C08">
        <w:rPr>
          <w:color w:val="0000FF"/>
        </w:rPr>
        <w:fldChar w:fldCharType="begin"/>
      </w:r>
      <w:r w:rsidR="00A830FF" w:rsidRPr="00CB7C08">
        <w:rPr>
          <w:color w:val="0000FF"/>
        </w:rPr>
        <w:instrText xml:space="preserve"> REF  TARGET_REFBIB0010 \h  \* MERGEFORMAT </w:instrText>
      </w:r>
      <w:r w:rsidR="00A830FF" w:rsidRPr="00CB7C08">
        <w:rPr>
          <w:color w:val="0000FF"/>
        </w:rPr>
      </w:r>
      <w:r w:rsidR="00A830FF" w:rsidRPr="00CB7C08">
        <w:rPr>
          <w:color w:val="0000FF"/>
        </w:rPr>
        <w:fldChar w:fldCharType="separate"/>
      </w:r>
      <w:r w:rsidR="005A26F6" w:rsidRPr="005A26F6">
        <w:rPr>
          <w:color w:val="0000FF"/>
        </w:rPr>
        <w:t>10</w:t>
      </w:r>
      <w:r w:rsidR="00A830FF" w:rsidRPr="00CB7C08">
        <w:rPr>
          <w:color w:val="0000FF"/>
        </w:rPr>
        <w:fldChar w:fldCharType="end"/>
      </w:r>
      <w:r w:rsidR="00A830FF" w:rsidRPr="00CB7C08">
        <w:t>)</w:t>
      </w:r>
      <w:r w:rsidRPr="00CB7C08">
        <w:t>.</w:t>
      </w:r>
    </w:p>
    <w:p w:rsidR="000F21C0" w:rsidRPr="00CB7C08" w:rsidRDefault="000F21C0" w:rsidP="000F21C0">
      <w:r w:rsidRPr="00CB7C08">
        <w:lastRenderedPageBreak/>
        <w:t xml:space="preserve">Albiglutide </w:t>
      </w:r>
      <w:r w:rsidR="002C7B99" w:rsidRPr="00CB7C08">
        <w:t xml:space="preserve">has been initially approved in 2014 and marketed under the trade name Eperzan® in Europe and Tanzeum® in the USA. It </w:t>
      </w:r>
      <w:r w:rsidRPr="00CB7C08">
        <w:t xml:space="preserve">is indicated as an adjunct to diet and exercise to improve glycemic control in adults with T2DM. The indication may vary slightly across the countries where Tanzeum®/Eperzan® is approved. </w:t>
      </w:r>
      <w:r w:rsidR="00DB7ED9">
        <w:t>Detailed</w:t>
      </w:r>
      <w:r w:rsidRPr="00CB7C08">
        <w:t xml:space="preserve"> information concerning albiglutide is available in the Eperzan® </w:t>
      </w:r>
      <w:r w:rsidR="00682117" w:rsidRPr="00CB7C08">
        <w:t>SmPC</w:t>
      </w:r>
      <w:r w:rsidRPr="00CB7C08">
        <w:t xml:space="preserve"> </w:t>
      </w:r>
      <w:r w:rsidR="00D27D0C" w:rsidRPr="00CB7C08">
        <w:t>(</w:t>
      </w:r>
      <w:r w:rsidR="00D27D0C" w:rsidRPr="00CB7C08">
        <w:rPr>
          <w:color w:val="0000FF"/>
        </w:rPr>
        <w:fldChar w:fldCharType="begin"/>
      </w:r>
      <w:r w:rsidR="00D27D0C" w:rsidRPr="00CB7C08">
        <w:rPr>
          <w:color w:val="0000FF"/>
        </w:rPr>
        <w:instrText xml:space="preserve"> REF  TARGET_REFBIB0011 \h  \* MERGEFORMAT </w:instrText>
      </w:r>
      <w:r w:rsidR="00D27D0C" w:rsidRPr="00CB7C08">
        <w:rPr>
          <w:color w:val="0000FF"/>
        </w:rPr>
      </w:r>
      <w:r w:rsidR="00D27D0C" w:rsidRPr="00CB7C08">
        <w:rPr>
          <w:color w:val="0000FF"/>
        </w:rPr>
        <w:fldChar w:fldCharType="separate"/>
      </w:r>
      <w:r w:rsidR="005A26F6" w:rsidRPr="005A26F6">
        <w:rPr>
          <w:color w:val="0000FF"/>
        </w:rPr>
        <w:t>11</w:t>
      </w:r>
      <w:r w:rsidR="00D27D0C" w:rsidRPr="00CB7C08">
        <w:rPr>
          <w:color w:val="0000FF"/>
        </w:rPr>
        <w:fldChar w:fldCharType="end"/>
      </w:r>
      <w:r w:rsidR="00D27D0C" w:rsidRPr="00CB7C08">
        <w:t>)</w:t>
      </w:r>
      <w:r w:rsidRPr="00CB7C08">
        <w:t xml:space="preserve"> and Tanzeum® </w:t>
      </w:r>
      <w:r w:rsidR="00682117" w:rsidRPr="00CB7C08">
        <w:t>PI</w:t>
      </w:r>
      <w:r w:rsidRPr="00CB7C08">
        <w:t xml:space="preserve"> </w:t>
      </w:r>
      <w:r w:rsidR="00D27D0C" w:rsidRPr="00CB7C08">
        <w:t>(</w:t>
      </w:r>
      <w:r w:rsidR="00D27D0C" w:rsidRPr="00CB7C08">
        <w:rPr>
          <w:color w:val="0000FF"/>
        </w:rPr>
        <w:fldChar w:fldCharType="begin"/>
      </w:r>
      <w:r w:rsidR="00D27D0C" w:rsidRPr="00CB7C08">
        <w:rPr>
          <w:color w:val="0000FF"/>
        </w:rPr>
        <w:instrText xml:space="preserve"> REF  TARGET_REFBIB0012 \h  \* MERGEFORMAT </w:instrText>
      </w:r>
      <w:r w:rsidR="00D27D0C" w:rsidRPr="00CB7C08">
        <w:rPr>
          <w:color w:val="0000FF"/>
        </w:rPr>
      </w:r>
      <w:r w:rsidR="00D27D0C" w:rsidRPr="00CB7C08">
        <w:rPr>
          <w:color w:val="0000FF"/>
        </w:rPr>
        <w:fldChar w:fldCharType="separate"/>
      </w:r>
      <w:r w:rsidR="005A26F6" w:rsidRPr="005A26F6">
        <w:rPr>
          <w:color w:val="0000FF"/>
        </w:rPr>
        <w:t>12</w:t>
      </w:r>
      <w:r w:rsidR="00D27D0C" w:rsidRPr="00CB7C08">
        <w:rPr>
          <w:color w:val="0000FF"/>
        </w:rPr>
        <w:fldChar w:fldCharType="end"/>
      </w:r>
      <w:r w:rsidR="00D27D0C" w:rsidRPr="00CB7C08">
        <w:t>)</w:t>
      </w:r>
      <w:r w:rsidRPr="00CB7C08">
        <w:t>.</w:t>
      </w:r>
    </w:p>
    <w:p w:rsidR="000F21C0" w:rsidRDefault="000F21C0" w:rsidP="000F21C0">
      <w:r w:rsidRPr="00CB7C08">
        <w:t xml:space="preserve">Dulaglutide (Trulicity®) has been initially approved in Europe and in the USA in 2014, and is indicated as an adjunct to diet and exercise to improve glycemic control in adults with T2DM. The indication may vary slightly across the countries where Trulicity® is approved. </w:t>
      </w:r>
      <w:r w:rsidR="00DB7ED9">
        <w:t>Detailed</w:t>
      </w:r>
      <w:r w:rsidRPr="00CB7C08">
        <w:t xml:space="preserve"> information concerning Trulicity® is available in the Trulicity® </w:t>
      </w:r>
      <w:r w:rsidR="00682117" w:rsidRPr="00CB7C08">
        <w:t>SmPC</w:t>
      </w:r>
      <w:r w:rsidRPr="00CB7C08">
        <w:t xml:space="preserve"> </w:t>
      </w:r>
      <w:r w:rsidR="00D27D0C" w:rsidRPr="00CB7C08">
        <w:t>(</w:t>
      </w:r>
      <w:r w:rsidR="00D27D0C" w:rsidRPr="00CB7C08">
        <w:rPr>
          <w:color w:val="0000FF"/>
        </w:rPr>
        <w:fldChar w:fldCharType="begin"/>
      </w:r>
      <w:r w:rsidR="00D27D0C" w:rsidRPr="00CB7C08">
        <w:rPr>
          <w:color w:val="0000FF"/>
        </w:rPr>
        <w:instrText xml:space="preserve"> REF  TARGET_REFBIB0013 \h  \* MERGEFORMAT </w:instrText>
      </w:r>
      <w:r w:rsidR="00D27D0C" w:rsidRPr="00CB7C08">
        <w:rPr>
          <w:color w:val="0000FF"/>
        </w:rPr>
      </w:r>
      <w:r w:rsidR="00D27D0C" w:rsidRPr="00CB7C08">
        <w:rPr>
          <w:color w:val="0000FF"/>
        </w:rPr>
        <w:fldChar w:fldCharType="separate"/>
      </w:r>
      <w:r w:rsidR="005A26F6" w:rsidRPr="005A26F6">
        <w:rPr>
          <w:color w:val="0000FF"/>
        </w:rPr>
        <w:t>13</w:t>
      </w:r>
      <w:r w:rsidR="00D27D0C" w:rsidRPr="00CB7C08">
        <w:rPr>
          <w:color w:val="0000FF"/>
        </w:rPr>
        <w:fldChar w:fldCharType="end"/>
      </w:r>
      <w:r w:rsidR="00D27D0C" w:rsidRPr="00CB7C08">
        <w:t>)</w:t>
      </w:r>
      <w:r w:rsidRPr="00CB7C08">
        <w:t xml:space="preserve"> and Trulicity® </w:t>
      </w:r>
      <w:r w:rsidR="00682117" w:rsidRPr="00CB7C08">
        <w:t>PI</w:t>
      </w:r>
      <w:r w:rsidRPr="00CB7C08">
        <w:t xml:space="preserve"> </w:t>
      </w:r>
      <w:r w:rsidR="00D27D0C" w:rsidRPr="00CB7C08">
        <w:t>(</w:t>
      </w:r>
      <w:r w:rsidR="00D27D0C" w:rsidRPr="00CB7C08">
        <w:rPr>
          <w:color w:val="0000FF"/>
        </w:rPr>
        <w:fldChar w:fldCharType="begin"/>
      </w:r>
      <w:r w:rsidR="00D27D0C" w:rsidRPr="00CB7C08">
        <w:rPr>
          <w:color w:val="0000FF"/>
        </w:rPr>
        <w:instrText xml:space="preserve"> REF  TARGET_REFBIB0014 \h  \* MERGEFORMAT </w:instrText>
      </w:r>
      <w:r w:rsidR="00D27D0C" w:rsidRPr="00CB7C08">
        <w:rPr>
          <w:color w:val="0000FF"/>
        </w:rPr>
      </w:r>
      <w:r w:rsidR="00D27D0C" w:rsidRPr="00CB7C08">
        <w:rPr>
          <w:color w:val="0000FF"/>
        </w:rPr>
        <w:fldChar w:fldCharType="separate"/>
      </w:r>
      <w:r w:rsidR="005A26F6" w:rsidRPr="005A26F6">
        <w:rPr>
          <w:color w:val="0000FF"/>
        </w:rPr>
        <w:t>14</w:t>
      </w:r>
      <w:r w:rsidR="00D27D0C" w:rsidRPr="00CB7C08">
        <w:rPr>
          <w:color w:val="0000FF"/>
        </w:rPr>
        <w:fldChar w:fldCharType="end"/>
      </w:r>
      <w:r w:rsidR="00D27D0C" w:rsidRPr="00CB7C08">
        <w:t>)</w:t>
      </w:r>
      <w:r w:rsidRPr="00CB7C08">
        <w:t>.</w:t>
      </w:r>
    </w:p>
    <w:p w:rsidR="000F21C0" w:rsidRDefault="000F21C0" w:rsidP="000F21C0">
      <w:r>
        <w:t>Metformin is generally considered to be the most appropriate first-line therapy for treating T2DM, but there is no general agreement on how to advance treatment when metformin and lifestyle modification become insufficient. As additional OAD therapy, thiazolidinediones (TZDs), and in particular pioglitazone, could be used in addition to metformin, among other OAD therapies. The new class of GLP-1 receptor agonist drugs has become increasingly used by health care professionals and has been included as part of both two and three drug therapeutic regimens in the recent American Diabetes Association/European association of the study of diabetes (ADA</w:t>
      </w:r>
      <w:r w:rsidR="00166D43">
        <w:fldChar w:fldCharType="begin"/>
      </w:r>
      <w:r w:rsidR="00166D43">
        <w:instrText xml:space="preserve"> XE "</w:instrText>
      </w:r>
      <w:r w:rsidR="00166D43" w:rsidRPr="00166D43">
        <w:instrText xml:space="preserve"> </w:instrText>
      </w:r>
      <w:r w:rsidR="00166D43">
        <w:instrText xml:space="preserve">ADA " \f Abbreviation \t "American Diabetes Association" </w:instrText>
      </w:r>
      <w:r w:rsidR="00166D43">
        <w:fldChar w:fldCharType="end"/>
      </w:r>
      <w:r>
        <w:t>/EASD</w:t>
      </w:r>
      <w:r w:rsidR="00166D43">
        <w:fldChar w:fldCharType="begin"/>
      </w:r>
      <w:r w:rsidR="00166D43">
        <w:instrText xml:space="preserve"> XE "</w:instrText>
      </w:r>
      <w:r w:rsidR="00166D43" w:rsidRPr="00166D43">
        <w:instrText xml:space="preserve"> </w:instrText>
      </w:r>
      <w:r w:rsidR="00166D43">
        <w:instrText xml:space="preserve">EASD " \f Abbreviation \t "European Association for the Study of Diabetes" </w:instrText>
      </w:r>
      <w:r w:rsidR="00166D43">
        <w:fldChar w:fldCharType="end"/>
      </w:r>
      <w:r>
        <w:t xml:space="preserve">) treatment algorithm </w:t>
      </w:r>
      <w:r w:rsidR="006478EB">
        <w:t>(</w:t>
      </w:r>
      <w:r w:rsidR="006478EB" w:rsidRPr="006478EB">
        <w:rPr>
          <w:color w:val="0000FF"/>
        </w:rPr>
        <w:fldChar w:fldCharType="begin"/>
      </w:r>
      <w:r w:rsidR="006478EB" w:rsidRPr="006478EB">
        <w:rPr>
          <w:color w:val="0000FF"/>
        </w:rPr>
        <w:instrText xml:space="preserve"> REF  TARGET_REFBIB0015 \h  \* MERGEFORMAT </w:instrText>
      </w:r>
      <w:r w:rsidR="006478EB" w:rsidRPr="006478EB">
        <w:rPr>
          <w:color w:val="0000FF"/>
        </w:rPr>
      </w:r>
      <w:r w:rsidR="006478EB" w:rsidRPr="006478EB">
        <w:rPr>
          <w:color w:val="0000FF"/>
        </w:rPr>
        <w:fldChar w:fldCharType="separate"/>
      </w:r>
      <w:r w:rsidR="005A26F6" w:rsidRPr="005A26F6">
        <w:rPr>
          <w:color w:val="0000FF"/>
        </w:rPr>
        <w:t>15</w:t>
      </w:r>
      <w:r w:rsidR="006478EB" w:rsidRPr="006478EB">
        <w:rPr>
          <w:color w:val="0000FF"/>
        </w:rPr>
        <w:fldChar w:fldCharType="end"/>
      </w:r>
      <w:r w:rsidR="006478EB">
        <w:t>)</w:t>
      </w:r>
      <w:r>
        <w:t xml:space="preserve">. However as with most type 2 diabetes drugs, GLP-1 RAs may fail after some time, and considering the progressive nature of T2DM, this means that a significant proportion of patients will eventually require an insulin-based combination therapy to attain and sustain glycemic control. </w:t>
      </w:r>
    </w:p>
    <w:p w:rsidR="000F21C0" w:rsidRDefault="000F21C0" w:rsidP="000F21C0">
      <w:r>
        <w:t>The combined treatment of a GLP-1</w:t>
      </w:r>
      <w:r w:rsidR="00166D43">
        <w:t xml:space="preserve"> </w:t>
      </w:r>
      <w:r>
        <w:t xml:space="preserve">RA with long acting basal insulin has been tested in many studies </w:t>
      </w:r>
      <w:r w:rsidR="00457BD1">
        <w:t>(</w:t>
      </w:r>
      <w:r w:rsidR="00457BD1" w:rsidRPr="00457BD1">
        <w:rPr>
          <w:color w:val="0000FF"/>
        </w:rPr>
        <w:fldChar w:fldCharType="begin"/>
      </w:r>
      <w:r w:rsidR="00457BD1" w:rsidRPr="00457BD1">
        <w:rPr>
          <w:color w:val="0000FF"/>
        </w:rPr>
        <w:instrText xml:space="preserve"> REF  TARGET_REFBIB0016 \h  \* MERGEFORMAT </w:instrText>
      </w:r>
      <w:r w:rsidR="00457BD1" w:rsidRPr="00457BD1">
        <w:rPr>
          <w:color w:val="0000FF"/>
        </w:rPr>
      </w:r>
      <w:r w:rsidR="00457BD1" w:rsidRPr="00457BD1">
        <w:rPr>
          <w:color w:val="0000FF"/>
        </w:rPr>
        <w:fldChar w:fldCharType="separate"/>
      </w:r>
      <w:r w:rsidR="005A26F6" w:rsidRPr="005A26F6">
        <w:rPr>
          <w:color w:val="0000FF"/>
        </w:rPr>
        <w:t>16</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TARGET_REFBIB0017 \h  \* MERGEFORMAT </w:instrText>
      </w:r>
      <w:r w:rsidR="00457BD1" w:rsidRPr="00457BD1">
        <w:rPr>
          <w:color w:val="0000FF"/>
        </w:rPr>
      </w:r>
      <w:r w:rsidR="00457BD1" w:rsidRPr="00457BD1">
        <w:rPr>
          <w:color w:val="0000FF"/>
        </w:rPr>
        <w:fldChar w:fldCharType="separate"/>
      </w:r>
      <w:r w:rsidR="005A26F6" w:rsidRPr="005A26F6">
        <w:rPr>
          <w:color w:val="0000FF"/>
        </w:rPr>
        <w:t>17</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TARGET_REFBIB0018 \h  \* MERGEFORMAT </w:instrText>
      </w:r>
      <w:r w:rsidR="00457BD1" w:rsidRPr="00457BD1">
        <w:rPr>
          <w:color w:val="0000FF"/>
        </w:rPr>
      </w:r>
      <w:r w:rsidR="00457BD1" w:rsidRPr="00457BD1">
        <w:rPr>
          <w:color w:val="0000FF"/>
        </w:rPr>
        <w:fldChar w:fldCharType="separate"/>
      </w:r>
      <w:r w:rsidR="005A26F6" w:rsidRPr="005A26F6">
        <w:rPr>
          <w:color w:val="0000FF"/>
        </w:rPr>
        <w:t>18</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TARGET_REFBIB0019 \h  \* MERGEFORMAT </w:instrText>
      </w:r>
      <w:r w:rsidR="00457BD1" w:rsidRPr="00457BD1">
        <w:rPr>
          <w:color w:val="0000FF"/>
        </w:rPr>
      </w:r>
      <w:r w:rsidR="00457BD1" w:rsidRPr="00457BD1">
        <w:rPr>
          <w:color w:val="0000FF"/>
        </w:rPr>
        <w:fldChar w:fldCharType="separate"/>
      </w:r>
      <w:r w:rsidR="005A26F6" w:rsidRPr="005A26F6">
        <w:rPr>
          <w:color w:val="0000FF"/>
        </w:rPr>
        <w:t>19</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TARGET_REFBIB0020 \h  \* MERGEFORMAT </w:instrText>
      </w:r>
      <w:r w:rsidR="00457BD1" w:rsidRPr="00457BD1">
        <w:rPr>
          <w:color w:val="0000FF"/>
        </w:rPr>
      </w:r>
      <w:r w:rsidR="00457BD1" w:rsidRPr="00457BD1">
        <w:rPr>
          <w:color w:val="0000FF"/>
        </w:rPr>
        <w:fldChar w:fldCharType="separate"/>
      </w:r>
      <w:r w:rsidR="005A26F6" w:rsidRPr="005A26F6">
        <w:rPr>
          <w:color w:val="0000FF"/>
        </w:rPr>
        <w:t>20</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TARGET_REFBIB0021 \h  \* MERGEFORMAT </w:instrText>
      </w:r>
      <w:r w:rsidR="00457BD1" w:rsidRPr="00457BD1">
        <w:rPr>
          <w:color w:val="0000FF"/>
        </w:rPr>
      </w:r>
      <w:r w:rsidR="00457BD1" w:rsidRPr="00457BD1">
        <w:rPr>
          <w:color w:val="0000FF"/>
        </w:rPr>
        <w:fldChar w:fldCharType="separate"/>
      </w:r>
      <w:r w:rsidR="005A26F6" w:rsidRPr="005A26F6">
        <w:rPr>
          <w:color w:val="0000FF"/>
        </w:rPr>
        <w:t>21</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TARGET_REFBIB0022 \h  \* MERGEFORMAT </w:instrText>
      </w:r>
      <w:r w:rsidR="00457BD1" w:rsidRPr="00457BD1">
        <w:rPr>
          <w:color w:val="0000FF"/>
        </w:rPr>
      </w:r>
      <w:r w:rsidR="00457BD1" w:rsidRPr="00457BD1">
        <w:rPr>
          <w:color w:val="0000FF"/>
        </w:rPr>
        <w:fldChar w:fldCharType="separate"/>
      </w:r>
      <w:r w:rsidR="005A26F6" w:rsidRPr="005A26F6">
        <w:rPr>
          <w:color w:val="0000FF"/>
        </w:rPr>
        <w:t>22</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TARGET_REFBIB0023 \h  \* MERGEFORMAT </w:instrText>
      </w:r>
      <w:r w:rsidR="00457BD1" w:rsidRPr="00457BD1">
        <w:rPr>
          <w:color w:val="0000FF"/>
        </w:rPr>
      </w:r>
      <w:r w:rsidR="00457BD1" w:rsidRPr="00457BD1">
        <w:rPr>
          <w:color w:val="0000FF"/>
        </w:rPr>
        <w:fldChar w:fldCharType="separate"/>
      </w:r>
      <w:r w:rsidR="005A26F6" w:rsidRPr="005A26F6">
        <w:rPr>
          <w:color w:val="0000FF"/>
        </w:rPr>
        <w:t>23</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TARGET_REFBIB0024 \h  \* MERGEFORMAT </w:instrText>
      </w:r>
      <w:r w:rsidR="00457BD1" w:rsidRPr="00457BD1">
        <w:rPr>
          <w:color w:val="0000FF"/>
        </w:rPr>
      </w:r>
      <w:r w:rsidR="00457BD1" w:rsidRPr="00457BD1">
        <w:rPr>
          <w:color w:val="0000FF"/>
        </w:rPr>
        <w:fldChar w:fldCharType="separate"/>
      </w:r>
      <w:r w:rsidR="005A26F6" w:rsidRPr="005A26F6">
        <w:rPr>
          <w:color w:val="0000FF"/>
        </w:rPr>
        <w:t>24</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TARGET_REFBIB0025 \h  \* MERGEFORMAT </w:instrText>
      </w:r>
      <w:r w:rsidR="00457BD1" w:rsidRPr="00457BD1">
        <w:rPr>
          <w:color w:val="0000FF"/>
        </w:rPr>
      </w:r>
      <w:r w:rsidR="00457BD1" w:rsidRPr="00457BD1">
        <w:rPr>
          <w:color w:val="0000FF"/>
        </w:rPr>
        <w:fldChar w:fldCharType="separate"/>
      </w:r>
      <w:r w:rsidR="005A26F6" w:rsidRPr="005A26F6">
        <w:rPr>
          <w:color w:val="0000FF"/>
        </w:rPr>
        <w:t>25</w:t>
      </w:r>
      <w:r w:rsidR="00457BD1" w:rsidRPr="00457BD1">
        <w:rPr>
          <w:color w:val="0000FF"/>
        </w:rPr>
        <w:fldChar w:fldCharType="end"/>
      </w:r>
      <w:r w:rsidR="00457BD1">
        <w:t>,</w:t>
      </w:r>
      <w:r w:rsidR="009E56D2">
        <w:t xml:space="preserve"> </w:t>
      </w:r>
      <w:r w:rsidR="00457BD1" w:rsidRPr="00457BD1">
        <w:rPr>
          <w:color w:val="0000FF"/>
        </w:rPr>
        <w:fldChar w:fldCharType="begin"/>
      </w:r>
      <w:r w:rsidR="00457BD1" w:rsidRPr="00457BD1">
        <w:rPr>
          <w:color w:val="0000FF"/>
        </w:rPr>
        <w:instrText xml:space="preserve"> REF  TARGET_REFBIB0026 \h  \* MERGEFORMAT </w:instrText>
      </w:r>
      <w:r w:rsidR="00457BD1" w:rsidRPr="00457BD1">
        <w:rPr>
          <w:color w:val="0000FF"/>
        </w:rPr>
      </w:r>
      <w:r w:rsidR="00457BD1" w:rsidRPr="00457BD1">
        <w:rPr>
          <w:color w:val="0000FF"/>
        </w:rPr>
        <w:fldChar w:fldCharType="separate"/>
      </w:r>
      <w:r w:rsidR="005A26F6" w:rsidRPr="005A26F6">
        <w:rPr>
          <w:color w:val="0000FF"/>
        </w:rPr>
        <w:t>26</w:t>
      </w:r>
      <w:r w:rsidR="00457BD1" w:rsidRPr="00457BD1">
        <w:rPr>
          <w:color w:val="0000FF"/>
        </w:rPr>
        <w:fldChar w:fldCharType="end"/>
      </w:r>
      <w:r w:rsidR="00457BD1">
        <w:t>).</w:t>
      </w:r>
      <w:r>
        <w:t xml:space="preserve"> Different study designs have confirmed the original findings of Buse et al. </w:t>
      </w:r>
      <w:r w:rsidR="00457BD1">
        <w:t>(</w:t>
      </w:r>
      <w:r w:rsidR="00457BD1" w:rsidRPr="00457BD1">
        <w:rPr>
          <w:color w:val="0000FF"/>
        </w:rPr>
        <w:fldChar w:fldCharType="begin"/>
      </w:r>
      <w:r w:rsidR="00457BD1" w:rsidRPr="00457BD1">
        <w:rPr>
          <w:color w:val="0000FF"/>
        </w:rPr>
        <w:instrText xml:space="preserve"> REF  TARGET_REFBIB0020 \h  \* MERGEFORMAT </w:instrText>
      </w:r>
      <w:r w:rsidR="00457BD1" w:rsidRPr="00457BD1">
        <w:rPr>
          <w:color w:val="0000FF"/>
        </w:rPr>
      </w:r>
      <w:r w:rsidR="00457BD1" w:rsidRPr="00457BD1">
        <w:rPr>
          <w:color w:val="0000FF"/>
        </w:rPr>
        <w:fldChar w:fldCharType="separate"/>
      </w:r>
      <w:r w:rsidR="005A26F6" w:rsidRPr="005A26F6">
        <w:rPr>
          <w:color w:val="0000FF"/>
        </w:rPr>
        <w:t>20</w:t>
      </w:r>
      <w:r w:rsidR="00457BD1" w:rsidRPr="00457BD1">
        <w:rPr>
          <w:color w:val="0000FF"/>
        </w:rPr>
        <w:fldChar w:fldCharType="end"/>
      </w:r>
      <w:r w:rsidR="00457BD1">
        <w:t>)</w:t>
      </w:r>
      <w:r>
        <w:t xml:space="preserve"> that the association of these two biological entities is advantageous in patients with T2DM </w:t>
      </w:r>
      <w:r w:rsidR="00EA6418">
        <w:t>(</w:t>
      </w:r>
      <w:r w:rsidR="00EA6418" w:rsidRPr="00EA6418">
        <w:rPr>
          <w:color w:val="0000FF"/>
        </w:rPr>
        <w:fldChar w:fldCharType="begin"/>
      </w:r>
      <w:r w:rsidR="00EA6418" w:rsidRPr="00EA6418">
        <w:rPr>
          <w:color w:val="0000FF"/>
        </w:rPr>
        <w:instrText xml:space="preserve"> REF  TARGET_REFBIB0027 \h  \* MERGEFORMAT </w:instrText>
      </w:r>
      <w:r w:rsidR="00EA6418" w:rsidRPr="00EA6418">
        <w:rPr>
          <w:color w:val="0000FF"/>
        </w:rPr>
      </w:r>
      <w:r w:rsidR="00EA6418" w:rsidRPr="00EA6418">
        <w:rPr>
          <w:color w:val="0000FF"/>
        </w:rPr>
        <w:fldChar w:fldCharType="separate"/>
      </w:r>
      <w:r w:rsidR="005A26F6" w:rsidRPr="005A26F6">
        <w:rPr>
          <w:color w:val="0000FF"/>
        </w:rPr>
        <w:t>27</w:t>
      </w:r>
      <w:r w:rsidR="00EA6418" w:rsidRPr="00EA6418">
        <w:rPr>
          <w:color w:val="0000FF"/>
        </w:rPr>
        <w:fldChar w:fldCharType="end"/>
      </w:r>
      <w:r w:rsidR="00EA6418">
        <w:t>)</w:t>
      </w:r>
      <w:r>
        <w:t>. In addition to improving glycemic control, the association of the two can maximize other benefits and at the same time minimize some of the limitations of the other. While the studies conducted to date are heterogeneous in design, generally speaking, the combination promises to increase the number of patients at target with minimal weight gain or even weight loss while maintaining a manageable hypoglycemia profile. Therefore, the combination of basal insulin with a GLP-1 receptor agonist may provide an improved benefit/risk profile compared with each used individually.</w:t>
      </w:r>
    </w:p>
    <w:p w:rsidR="000F21C0" w:rsidRDefault="000F21C0" w:rsidP="000F21C0">
      <w:r>
        <w:t xml:space="preserve">As basal insulin products target primarily, although not exclusively, fasting hyperglycemia, and are often given once daily, </w:t>
      </w:r>
      <w:r w:rsidR="00F5000C" w:rsidRPr="007C3776">
        <w:t>a</w:t>
      </w:r>
      <w:r w:rsidR="00F5000C">
        <w:t xml:space="preserve"> </w:t>
      </w:r>
      <w:r>
        <w:t>desirable combination would be with a GLP-1 receptor agonist such as lixisenatide, which, when given once daily, still effectively acts on post-prandial glycemia due to slowing down gastric emptying even when the ability to restore glucose sensitive insulin secretion is exhausted or limited.</w:t>
      </w:r>
    </w:p>
    <w:p w:rsidR="000F21C0" w:rsidRDefault="000F21C0" w:rsidP="000F21C0">
      <w:r>
        <w:t xml:space="preserve">Given all the above, for patients who are not able to control their type 2 diabetes </w:t>
      </w:r>
      <w:r w:rsidR="007C3776">
        <w:t>with OAD therapy and a GLP-1 RA</w:t>
      </w:r>
      <w:r>
        <w:t xml:space="preserve">, treatment intensification with the insulin glargine/lixisenatide fixed ratio combination </w:t>
      </w:r>
      <w:r w:rsidR="00095A9B" w:rsidRPr="007C3776">
        <w:t>(FRC)</w:t>
      </w:r>
      <w:r w:rsidR="00095A9B">
        <w:t xml:space="preserve"> </w:t>
      </w:r>
      <w:r>
        <w:t>as a once daily injection by an easy to-use device could represent a valuable option in the management of their disease. The basal insulin Lantus® will provide a predictable and timely effect in reducing glycated hemoglobin A</w:t>
      </w:r>
      <w:r w:rsidRPr="00950DEA">
        <w:rPr>
          <w:vertAlign w:val="subscript"/>
        </w:rPr>
        <w:t>1c</w:t>
      </w:r>
      <w:r>
        <w:t xml:space="preserve"> (HbA</w:t>
      </w:r>
      <w:r w:rsidRPr="00950DEA">
        <w:rPr>
          <w:vertAlign w:val="subscript"/>
        </w:rPr>
        <w:t>1c</w:t>
      </w:r>
      <w:r>
        <w:t xml:space="preserve">), and the GLP-1 </w:t>
      </w:r>
      <w:r>
        <w:lastRenderedPageBreak/>
        <w:t xml:space="preserve">receptor agonist lixisenatide will have additional effect on glycemic control </w:t>
      </w:r>
      <w:r w:rsidR="00C5120B" w:rsidRPr="007C3776">
        <w:t>while mitigating body weight gain and hypoglycemia that can occur with insulin intensification</w:t>
      </w:r>
      <w:r>
        <w:t xml:space="preserve">. </w:t>
      </w:r>
    </w:p>
    <w:p w:rsidR="000664B6" w:rsidRDefault="000F21C0" w:rsidP="000F21C0">
      <w:r>
        <w:t xml:space="preserve">The </w:t>
      </w:r>
      <w:r w:rsidR="004514B1" w:rsidRPr="007C3776">
        <w:t>FRC</w:t>
      </w:r>
      <w:r w:rsidR="004514B1">
        <w:t xml:space="preserve"> </w:t>
      </w:r>
      <w:r>
        <w:t xml:space="preserve">has been tested in a proof of concept study (ACT12374) </w:t>
      </w:r>
      <w:r w:rsidR="008C3769">
        <w:t>(</w:t>
      </w:r>
      <w:r w:rsidR="008C3769" w:rsidRPr="008C3769">
        <w:rPr>
          <w:color w:val="0000FF"/>
        </w:rPr>
        <w:fldChar w:fldCharType="begin"/>
      </w:r>
      <w:r w:rsidR="008C3769" w:rsidRPr="008C3769">
        <w:rPr>
          <w:color w:val="0000FF"/>
        </w:rPr>
        <w:instrText xml:space="preserve"> REF  TARGET_REFBIB0028 \h  \* MERGEFORMAT </w:instrText>
      </w:r>
      <w:r w:rsidR="008C3769" w:rsidRPr="008C3769">
        <w:rPr>
          <w:color w:val="0000FF"/>
        </w:rPr>
      </w:r>
      <w:r w:rsidR="008C3769" w:rsidRPr="008C3769">
        <w:rPr>
          <w:color w:val="0000FF"/>
        </w:rPr>
        <w:fldChar w:fldCharType="separate"/>
      </w:r>
      <w:r w:rsidR="005A26F6" w:rsidRPr="005A26F6">
        <w:rPr>
          <w:color w:val="0000FF"/>
        </w:rPr>
        <w:t>28</w:t>
      </w:r>
      <w:r w:rsidR="008C3769" w:rsidRPr="008C3769">
        <w:rPr>
          <w:color w:val="0000FF"/>
        </w:rPr>
        <w:fldChar w:fldCharType="end"/>
      </w:r>
      <w:r w:rsidR="008C3769">
        <w:t>,</w:t>
      </w:r>
      <w:r w:rsidR="009E56D2">
        <w:t xml:space="preserve"> </w:t>
      </w:r>
      <w:r w:rsidR="008C3769" w:rsidRPr="008C3769">
        <w:rPr>
          <w:color w:val="0000FF"/>
        </w:rPr>
        <w:fldChar w:fldCharType="begin"/>
      </w:r>
      <w:r w:rsidR="008C3769" w:rsidRPr="008C3769">
        <w:rPr>
          <w:color w:val="0000FF"/>
        </w:rPr>
        <w:instrText xml:space="preserve"> REF  TARGET_REFBIB0029 \h  \* MERGEFORMAT </w:instrText>
      </w:r>
      <w:r w:rsidR="008C3769" w:rsidRPr="008C3769">
        <w:rPr>
          <w:color w:val="0000FF"/>
        </w:rPr>
      </w:r>
      <w:r w:rsidR="008C3769" w:rsidRPr="008C3769">
        <w:rPr>
          <w:color w:val="0000FF"/>
        </w:rPr>
        <w:fldChar w:fldCharType="separate"/>
      </w:r>
      <w:r w:rsidR="005A26F6" w:rsidRPr="005A26F6">
        <w:rPr>
          <w:color w:val="0000FF"/>
        </w:rPr>
        <w:t>29</w:t>
      </w:r>
      <w:r w:rsidR="008C3769" w:rsidRPr="008C3769">
        <w:rPr>
          <w:color w:val="0000FF"/>
        </w:rPr>
        <w:fldChar w:fldCharType="end"/>
      </w:r>
      <w:r w:rsidR="008C3769">
        <w:t>)</w:t>
      </w:r>
      <w:r>
        <w:t xml:space="preserve">. This was a randomized, 24-week, open-label, 2-group parallel-group, study comparing the efficacy and safety of the </w:t>
      </w:r>
      <w:r w:rsidR="00371B01" w:rsidRPr="007C3776">
        <w:t>FRC</w:t>
      </w:r>
      <w:r w:rsidR="00371B01">
        <w:t xml:space="preserve"> </w:t>
      </w:r>
      <w:r>
        <w:t xml:space="preserve">versus insulin glargine, both injected subcutaneously in type 2 diabetic patients not adequately controlled with metformin OAD therapy alone (insulin-naïve population). In this study the ratio used was 2 U of insulin glargine/1 µg of lixisenatide allowing insulin glargine initiation and administration with a daily dose ranging from 10-60 units and concomitant administration of lixisenatide with a corresponding dose between 5 and 30 µg. The </w:t>
      </w:r>
      <w:r w:rsidR="00371B01" w:rsidRPr="007C3776">
        <w:t>FRC</w:t>
      </w:r>
      <w:r w:rsidR="00371B01">
        <w:t xml:space="preserve"> </w:t>
      </w:r>
      <w:r>
        <w:t>significantly improved HbA</w:t>
      </w:r>
      <w:r w:rsidRPr="00950DEA">
        <w:rPr>
          <w:vertAlign w:val="subscript"/>
        </w:rPr>
        <w:t>1c</w:t>
      </w:r>
      <w:r>
        <w:t xml:space="preserve"> and reduced </w:t>
      </w:r>
      <w:r w:rsidR="00D9457F">
        <w:t>postprandial glucose (</w:t>
      </w:r>
      <w:r>
        <w:t>PPG</w:t>
      </w:r>
      <w:r w:rsidR="00D9457F">
        <w:t>)</w:t>
      </w:r>
      <w:r>
        <w:t xml:space="preserve"> and body weight compared to insulin glargine. The safety profile was consistent with the known effects of insulin glargine and a GLP-1 receptor agonist, but with a lower incidence of gastrointestinal adverse events compared both to what  is usually reported with GLP-1 receptor agonists and to what was observed in the lixisenatide phase 3 studies. The results of this study are detailed in the Clinical Investigator’s Brochure </w:t>
      </w:r>
      <w:r w:rsidR="008C3769">
        <w:t>(</w:t>
      </w:r>
      <w:r w:rsidR="008C3769" w:rsidRPr="008C3769">
        <w:rPr>
          <w:color w:val="0000FF"/>
        </w:rPr>
        <w:fldChar w:fldCharType="begin"/>
      </w:r>
      <w:r w:rsidR="008C3769" w:rsidRPr="008C3769">
        <w:rPr>
          <w:color w:val="0000FF"/>
        </w:rPr>
        <w:instrText xml:space="preserve"> REF  TARGET_REFBIB0030 \h  \* MERGEFORMAT </w:instrText>
      </w:r>
      <w:r w:rsidR="008C3769" w:rsidRPr="008C3769">
        <w:rPr>
          <w:color w:val="0000FF"/>
        </w:rPr>
      </w:r>
      <w:r w:rsidR="008C3769" w:rsidRPr="008C3769">
        <w:rPr>
          <w:color w:val="0000FF"/>
        </w:rPr>
        <w:fldChar w:fldCharType="separate"/>
      </w:r>
      <w:r w:rsidR="005A26F6" w:rsidRPr="005A26F6">
        <w:rPr>
          <w:color w:val="0000FF"/>
        </w:rPr>
        <w:t>30</w:t>
      </w:r>
      <w:r w:rsidR="008C3769" w:rsidRPr="008C3769">
        <w:rPr>
          <w:color w:val="0000FF"/>
        </w:rPr>
        <w:fldChar w:fldCharType="end"/>
      </w:r>
      <w:r w:rsidR="008C3769">
        <w:t>)</w:t>
      </w:r>
      <w:r>
        <w:t>.</w:t>
      </w:r>
    </w:p>
    <w:p w:rsidR="000F21C0" w:rsidRPr="0019705C" w:rsidRDefault="000F21C0" w:rsidP="000F21C0">
      <w:pPr>
        <w:rPr>
          <w:strike/>
        </w:rPr>
      </w:pPr>
      <w:r w:rsidRPr="00210AA9">
        <w:t xml:space="preserve">The safety and efficacy of the </w:t>
      </w:r>
      <w:r w:rsidR="00210AA9">
        <w:t>FRC</w:t>
      </w:r>
      <w:r w:rsidRPr="00210AA9">
        <w:t xml:space="preserve"> </w:t>
      </w:r>
      <w:r w:rsidR="005A37DA" w:rsidRPr="007C3776">
        <w:t xml:space="preserve">has been </w:t>
      </w:r>
      <w:r w:rsidRPr="007C3776">
        <w:t>assessed</w:t>
      </w:r>
      <w:r w:rsidRPr="00210AA9">
        <w:t xml:space="preserve"> in 2 phase 3 studies</w:t>
      </w:r>
      <w:r w:rsidRPr="007C3776">
        <w:t>:</w:t>
      </w:r>
    </w:p>
    <w:p w:rsidR="000F21C0" w:rsidRPr="00E15B27" w:rsidRDefault="000F21C0" w:rsidP="000F21C0">
      <w:pPr>
        <w:pStyle w:val="ListBulletLevel1"/>
      </w:pPr>
      <w:r w:rsidRPr="00E15B27">
        <w:t>Study EFC12404 (LixiLan-O): A randomized, 30-week, a</w:t>
      </w:r>
      <w:r w:rsidR="003A0818">
        <w:t>ctive-controlled, open-label, 3 </w:t>
      </w:r>
      <w:r w:rsidRPr="00E15B27">
        <w:t xml:space="preserve">treatment arm, parallel-group multicenter study comparing the efficacy and safety of insulin glargine/lixisenatide fixed ratio combination to </w:t>
      </w:r>
      <w:r w:rsidR="00D9457F">
        <w:t>insulin glargine alone and to Lixisenatide alone</w:t>
      </w:r>
      <w:r w:rsidRPr="00E15B27">
        <w:t xml:space="preserve"> on top of metformin in </w:t>
      </w:r>
      <w:r w:rsidR="00E15B27" w:rsidRPr="007C3776">
        <w:t>1170</w:t>
      </w:r>
      <w:r w:rsidR="00E15B27" w:rsidRPr="00E15B27">
        <w:t xml:space="preserve"> </w:t>
      </w:r>
      <w:r w:rsidRPr="00E15B27">
        <w:t>patients with T2DM not sufficiently controlled on metformin with or without a second oral antidiabetic drug (OAD).</w:t>
      </w:r>
      <w:r w:rsidR="0043495A">
        <w:t xml:space="preserve"> </w:t>
      </w:r>
      <w:r w:rsidR="0043495A" w:rsidRPr="007C3776">
        <w:t>The study met its primary objective demonstrating statistically superior reduction in HbA1c of the FRC compared with lixisenatide and compared with insulin glargine 100 units/mL. Overall, the FRC had a safety profile reflecting those of lixisenatide and insulin glargine 100 units/mL.</w:t>
      </w:r>
    </w:p>
    <w:p w:rsidR="000F21C0" w:rsidRPr="00E15B27" w:rsidRDefault="000F21C0" w:rsidP="00CC67B4">
      <w:pPr>
        <w:pStyle w:val="ListBulletLevel1"/>
        <w:numPr>
          <w:ilvl w:val="0"/>
          <w:numId w:val="38"/>
        </w:numPr>
      </w:pPr>
      <w:r w:rsidRPr="00E15B27">
        <w:t>Study EFC12405 (LixiLan-L): A randomized, 30-week, a</w:t>
      </w:r>
      <w:r w:rsidR="003A0818">
        <w:t>ctive-controlled, open-label, 2 </w:t>
      </w:r>
      <w:r w:rsidRPr="00E15B27">
        <w:t xml:space="preserve">treatment arm, parallel-group, multicenter study comparing the efficacy and safety of the insulin glargine/lixisenatide fixed ratio combination to insulin glargine with or without metformin, in </w:t>
      </w:r>
      <w:r w:rsidR="00E15B27" w:rsidRPr="007C3776">
        <w:t>736</w:t>
      </w:r>
      <w:r w:rsidR="00E15B27" w:rsidRPr="00E15B27">
        <w:t xml:space="preserve"> </w:t>
      </w:r>
      <w:r w:rsidRPr="00E15B27">
        <w:t>patients with T2DM not sufficiently controlled on basal insulin.</w:t>
      </w:r>
      <w:r w:rsidR="0043495A">
        <w:t xml:space="preserve"> </w:t>
      </w:r>
      <w:r w:rsidR="0043495A" w:rsidRPr="007C3776">
        <w:t>The study met its primary objective demonstrating statistically superior reduction in HbA1c of the FRC compared with insulin glargine 100 units/mL. Overall, the FRC had a safety profile reflecting those of lixisenatide and insulin glargine 100 units/mL.</w:t>
      </w:r>
    </w:p>
    <w:p w:rsidR="000F21C0" w:rsidRDefault="000F21C0" w:rsidP="000F21C0">
      <w:r>
        <w:t xml:space="preserve">The lixisenatide stand-alone product has been developed and approved at a fixed dose of 20 μg </w:t>
      </w:r>
      <w:r w:rsidR="00D9457F">
        <w:t>once daily (</w:t>
      </w:r>
      <w:r>
        <w:t>QD</w:t>
      </w:r>
      <w:r w:rsidR="00D9457F">
        <w:t>)</w:t>
      </w:r>
      <w:r>
        <w:t xml:space="preserve"> in several countries. The dosing of lixisenatide in the </w:t>
      </w:r>
      <w:r w:rsidR="00CB2E28" w:rsidRPr="007C3776">
        <w:t>FRC</w:t>
      </w:r>
      <w:r w:rsidR="00CB2E28">
        <w:t xml:space="preserve"> </w:t>
      </w:r>
      <w:r w:rsidR="00C5120B">
        <w:t>ranges from</w:t>
      </w:r>
      <w:r>
        <w:t xml:space="preserve"> between 5 to 20 μg. </w:t>
      </w:r>
    </w:p>
    <w:p w:rsidR="000F21C0" w:rsidRDefault="000F21C0" w:rsidP="000F21C0">
      <w:r>
        <w:t xml:space="preserve">In the two phase 3 studies as well as in the LixiLan-G (EFC13794) phase 3b study, the combination of insulin glargine and lixisenatide is provided in two fixed ratio solutions delivered by prefilled disposable pen injectors. The dose of the combination is to be titrated according to the insulin needs of the patient. These 2 fixed ratios of the components are intended to obtain a good pharmacological effect within established tolerability limits. The lower end of the dosing range of lixisenatide is defined by the minimum dose for efficacy, the upper end by available safety database. Data derived from studies in T2DM patients and healthy subjects demonstrate that doses of 5-10 μg lixisenatide could provide sufficient concentrations to stimulate glucose sensitive </w:t>
      </w:r>
      <w:r>
        <w:lastRenderedPageBreak/>
        <w:t>insulin release and have demonstrated efficacy on HbA</w:t>
      </w:r>
      <w:r w:rsidRPr="00950DEA">
        <w:rPr>
          <w:vertAlign w:val="subscript"/>
        </w:rPr>
        <w:t>1c</w:t>
      </w:r>
      <w:r>
        <w:t xml:space="preserve">, while doses of 10 μg have also demonstrated a potent effect on </w:t>
      </w:r>
      <w:r w:rsidR="00242955">
        <w:t xml:space="preserve">inhibition of gastric </w:t>
      </w:r>
      <w:r w:rsidR="0086515D">
        <w:t>emptying (</w:t>
      </w:r>
      <w:r w:rsidR="00242955" w:rsidRPr="00242955">
        <w:rPr>
          <w:color w:val="0000FF"/>
        </w:rPr>
        <w:fldChar w:fldCharType="begin"/>
      </w:r>
      <w:r w:rsidR="00242955" w:rsidRPr="00242955">
        <w:rPr>
          <w:color w:val="0000FF"/>
        </w:rPr>
        <w:instrText xml:space="preserve"> REF  TARGET_REFBIB0001 \h  \* MERGEFORMAT </w:instrText>
      </w:r>
      <w:r w:rsidR="00242955" w:rsidRPr="00242955">
        <w:rPr>
          <w:color w:val="0000FF"/>
        </w:rPr>
      </w:r>
      <w:r w:rsidR="00242955" w:rsidRPr="00242955">
        <w:rPr>
          <w:color w:val="0000FF"/>
        </w:rPr>
        <w:fldChar w:fldCharType="separate"/>
      </w:r>
      <w:r w:rsidR="005A26F6" w:rsidRPr="005A26F6">
        <w:rPr>
          <w:color w:val="0000FF"/>
        </w:rPr>
        <w:t>1</w:t>
      </w:r>
      <w:r w:rsidR="00242955" w:rsidRPr="00242955">
        <w:rPr>
          <w:color w:val="0000FF"/>
        </w:rPr>
        <w:fldChar w:fldCharType="end"/>
      </w:r>
      <w:r w:rsidR="00242955">
        <w:t>)</w:t>
      </w:r>
      <w:r>
        <w:t xml:space="preserve">. It is expected that the majority of the target patient population for the </w:t>
      </w:r>
      <w:r w:rsidR="00764D31" w:rsidRPr="007C3776">
        <w:t>FRC</w:t>
      </w:r>
      <w:r w:rsidR="00764D31">
        <w:t xml:space="preserve"> </w:t>
      </w:r>
      <w:r>
        <w:t xml:space="preserve">would require 10 to 60 U of Lantus </w:t>
      </w:r>
      <w:r w:rsidR="00755DA3">
        <w:t>(</w:t>
      </w:r>
      <w:r w:rsidR="00755DA3" w:rsidRPr="00755DA3">
        <w:rPr>
          <w:color w:val="0000FF"/>
        </w:rPr>
        <w:fldChar w:fldCharType="begin"/>
      </w:r>
      <w:r w:rsidR="00755DA3" w:rsidRPr="00755DA3">
        <w:rPr>
          <w:color w:val="0000FF"/>
        </w:rPr>
        <w:instrText xml:space="preserve"> REF  TARGET_REFBIB0030 \h  \* MERGEFORMAT </w:instrText>
      </w:r>
      <w:r w:rsidR="00755DA3" w:rsidRPr="00755DA3">
        <w:rPr>
          <w:color w:val="0000FF"/>
        </w:rPr>
      </w:r>
      <w:r w:rsidR="00755DA3" w:rsidRPr="00755DA3">
        <w:rPr>
          <w:color w:val="0000FF"/>
        </w:rPr>
        <w:fldChar w:fldCharType="separate"/>
      </w:r>
      <w:r w:rsidR="005A26F6" w:rsidRPr="005A26F6">
        <w:rPr>
          <w:color w:val="0000FF"/>
        </w:rPr>
        <w:t>30</w:t>
      </w:r>
      <w:r w:rsidR="00755DA3" w:rsidRPr="00755DA3">
        <w:rPr>
          <w:color w:val="0000FF"/>
        </w:rPr>
        <w:fldChar w:fldCharType="end"/>
      </w:r>
      <w:r w:rsidR="00755DA3">
        <w:t>)</w:t>
      </w:r>
      <w:r>
        <w:t xml:space="preserve">. </w:t>
      </w:r>
    </w:p>
    <w:p w:rsidR="000F21C0" w:rsidRDefault="000F21C0" w:rsidP="000F21C0">
      <w:r>
        <w:t xml:space="preserve">The following two pens with 2 different strengths of the combination will be used in LixiLan-G (EFC13794) study: </w:t>
      </w:r>
    </w:p>
    <w:p w:rsidR="000F21C0" w:rsidRDefault="000F21C0" w:rsidP="00CC67B4">
      <w:pPr>
        <w:pStyle w:val="ListBulletLevel1"/>
        <w:numPr>
          <w:ilvl w:val="0"/>
          <w:numId w:val="39"/>
        </w:numPr>
      </w:pPr>
      <w:r w:rsidRPr="007C3776">
        <w:t xml:space="preserve">The </w:t>
      </w:r>
      <w:r w:rsidR="003D47B8" w:rsidRPr="007C3776">
        <w:t>FRC 10 to 40 pen (Peach Pen</w:t>
      </w:r>
      <w:r w:rsidRPr="007C3776">
        <w:t>)</w:t>
      </w:r>
      <w:r>
        <w:t xml:space="preserve"> will deliver a dose from 10 U insulin glargine/5 μg lixisenatide to 40 U insulin glargine/20 μg lixisenat</w:t>
      </w:r>
      <w:r w:rsidR="003D47B8">
        <w:t xml:space="preserve">ide (2 [units] to 1 [μg] ratio). </w:t>
      </w:r>
      <w:r w:rsidR="003D47B8" w:rsidRPr="007C3776">
        <w:t>Each unit of the FRC 10 to 40 pen contains 1 unit of insulin glargine and 0.5 μg of lixisenatide;</w:t>
      </w:r>
    </w:p>
    <w:p w:rsidR="000F21C0" w:rsidRDefault="000F21C0" w:rsidP="00CC67B4">
      <w:pPr>
        <w:pStyle w:val="ListBulletLevel1"/>
        <w:numPr>
          <w:ilvl w:val="0"/>
          <w:numId w:val="40"/>
        </w:numPr>
      </w:pPr>
      <w:r w:rsidRPr="007C3776">
        <w:t xml:space="preserve">The </w:t>
      </w:r>
      <w:r w:rsidR="003D47B8" w:rsidRPr="007C3776">
        <w:t>FRC 30 to 60 pen (Olive Pen)</w:t>
      </w:r>
      <w:r w:rsidR="003D47B8">
        <w:t xml:space="preserve"> </w:t>
      </w:r>
      <w:r>
        <w:t xml:space="preserve">will deliver a dose from 30 U insulin glargine/10 μg lixisenatide to 60 U insulin glargine/20 μg lixisenatide (3 [units] to 1 [μg] ratio). </w:t>
      </w:r>
      <w:r w:rsidR="003D47B8" w:rsidRPr="007C3776">
        <w:t>Each unit of the FRC 30 to 60 pen contains 1 unit of insulin glargine and 0.33 μg of lixisenatide</w:t>
      </w:r>
      <w:r w:rsidR="0086515D">
        <w:t>.</w:t>
      </w:r>
    </w:p>
    <w:p w:rsidR="000F21C0" w:rsidRDefault="000F21C0" w:rsidP="000F21C0">
      <w:r>
        <w:t>The LixiLan-G (EFC1379</w:t>
      </w:r>
      <w:r w:rsidR="00B414C3">
        <w:t>4) study will consist of a</w:t>
      </w:r>
      <w:r>
        <w:t xml:space="preserve"> randomized comparative 26-week treatment study for patients whose HbA</w:t>
      </w:r>
      <w:r w:rsidRPr="00950DEA">
        <w:rPr>
          <w:vertAlign w:val="subscript"/>
        </w:rPr>
        <w:t>1c</w:t>
      </w:r>
      <w:r>
        <w:t xml:space="preserve"> leve</w:t>
      </w:r>
      <w:r w:rsidR="00B414C3">
        <w:t xml:space="preserve">l at screening is ≥7 and ≤9%. </w:t>
      </w:r>
      <w:r>
        <w:t xml:space="preserve">The primary objective of the study is to demonstrate the superiority of the </w:t>
      </w:r>
      <w:r w:rsidR="00764D31" w:rsidRPr="007C3776">
        <w:t>FRC</w:t>
      </w:r>
      <w:r w:rsidR="00764D31">
        <w:t xml:space="preserve"> </w:t>
      </w:r>
      <w:r>
        <w:t>to GLP-1 receptor agonist in HbA</w:t>
      </w:r>
      <w:r w:rsidRPr="00950DEA">
        <w:rPr>
          <w:vertAlign w:val="subscript"/>
        </w:rPr>
        <w:t>1c</w:t>
      </w:r>
      <w:r>
        <w:t xml:space="preserve"> change from baseline to week 26 in patients with T2DM not sufficiently controlled on GLP-1 receptor agonist and metformin ± pioglitazone treatments. </w:t>
      </w:r>
    </w:p>
    <w:p w:rsidR="000F21C0" w:rsidRDefault="000F21C0" w:rsidP="000F21C0">
      <w:r>
        <w:t xml:space="preserve">The secondary objectives of the study are to assess the effects of the </w:t>
      </w:r>
      <w:r w:rsidR="00994338" w:rsidRPr="007C3776">
        <w:t>FRC</w:t>
      </w:r>
      <w:r w:rsidR="00994338">
        <w:t xml:space="preserve"> </w:t>
      </w:r>
      <w:r>
        <w:t>versus GLP-1 receptor agonist on percentage of patients reaching HbA</w:t>
      </w:r>
      <w:r w:rsidRPr="00950DEA">
        <w:rPr>
          <w:vertAlign w:val="subscript"/>
        </w:rPr>
        <w:t>1c</w:t>
      </w:r>
      <w:r>
        <w:t xml:space="preserve"> targets, fasting plasma glucose, 7-point Self- Monitored Plasma Glucose (SMPG) profile, glycemic control during a standardized meal test and body weight. The evaluation of c-peptide during a standardized meal test and composite endpoint of percentage of patients reaching HbA</w:t>
      </w:r>
      <w:r w:rsidRPr="00950DEA">
        <w:rPr>
          <w:vertAlign w:val="subscript"/>
        </w:rPr>
        <w:t>1c</w:t>
      </w:r>
      <w:r>
        <w:t xml:space="preserve"> target (&lt;7%) with no weight gain will be evaluated as exploratory endpoints.</w:t>
      </w:r>
    </w:p>
    <w:p w:rsidR="000F21C0" w:rsidRDefault="000F21C0" w:rsidP="000F21C0">
      <w:r>
        <w:t>Screened patients will enter an up to 2-week screening period. Eligible patients whose HbA</w:t>
      </w:r>
      <w:r w:rsidRPr="00950DEA">
        <w:rPr>
          <w:vertAlign w:val="subscript"/>
        </w:rPr>
        <w:t>1c</w:t>
      </w:r>
      <w:r>
        <w:t xml:space="preserve"> level at screening is ≥7 and ≤9% will enter a 26-week open label randomized treatment period comparing the </w:t>
      </w:r>
      <w:r w:rsidR="005B4E4A" w:rsidRPr="007C3776">
        <w:t>FRC</w:t>
      </w:r>
      <w:r w:rsidR="005B4E4A">
        <w:t xml:space="preserve"> </w:t>
      </w:r>
      <w:r>
        <w:t xml:space="preserve">to GLP-1 receptor agonist (Victoza®, Byetta®, </w:t>
      </w:r>
      <w:r w:rsidRPr="007C3776">
        <w:t>Bydureon®, Tanzeum®/Eperzan®, or Trulicity®</w:t>
      </w:r>
      <w:r>
        <w:t>). Th</w:t>
      </w:r>
      <w:r w:rsidR="00B414C3">
        <w:t>e</w:t>
      </w:r>
      <w:r>
        <w:t xml:space="preserve"> treatment period duration is considered sufficient to allow an appropriate evaluation of the effect on HbA</w:t>
      </w:r>
      <w:r w:rsidRPr="00950DEA">
        <w:rPr>
          <w:vertAlign w:val="subscript"/>
        </w:rPr>
        <w:t>1c</w:t>
      </w:r>
      <w:r>
        <w:t xml:space="preserve">, plasma glucose levels, body weight and other secondary endpoints. </w:t>
      </w:r>
    </w:p>
    <w:p w:rsidR="000F21C0" w:rsidRDefault="000F21C0" w:rsidP="000F21C0">
      <w:r>
        <w:t xml:space="preserve">Patients in the </w:t>
      </w:r>
      <w:r w:rsidR="005B4E4A" w:rsidRPr="007C3776">
        <w:t>FRC</w:t>
      </w:r>
      <w:r w:rsidR="005B4E4A">
        <w:t xml:space="preserve"> </w:t>
      </w:r>
      <w:r>
        <w:t>group</w:t>
      </w:r>
      <w:r w:rsidR="00B414C3">
        <w:t xml:space="preserve"> </w:t>
      </w:r>
      <w:r>
        <w:t xml:space="preserve">will start their treatment with the </w:t>
      </w:r>
      <w:r w:rsidR="005B4E4A">
        <w:t>P</w:t>
      </w:r>
      <w:r>
        <w:t xml:space="preserve">each </w:t>
      </w:r>
      <w:r w:rsidR="005B4E4A">
        <w:t>P</w:t>
      </w:r>
      <w:r>
        <w:t xml:space="preserve">en at a dose of 10 </w:t>
      </w:r>
      <w:r w:rsidR="00B414C3" w:rsidRPr="007C3776">
        <w:t>units</w:t>
      </w:r>
      <w:r w:rsidR="000B5264" w:rsidRPr="007C3776">
        <w:t xml:space="preserve"> which corresponds to an associated dose of 10</w:t>
      </w:r>
      <w:r w:rsidR="000B5264">
        <w:t xml:space="preserve"> </w:t>
      </w:r>
      <w:r>
        <w:t>U of insulin glargine</w:t>
      </w:r>
      <w:r w:rsidR="00B414C3" w:rsidRPr="007C3776">
        <w:t xml:space="preserve"> </w:t>
      </w:r>
      <w:r w:rsidR="000B5264" w:rsidRPr="007C3776">
        <w:t>and</w:t>
      </w:r>
      <w:r w:rsidR="000B5264">
        <w:t xml:space="preserve"> </w:t>
      </w:r>
      <w:r>
        <w:t xml:space="preserve">5 µg of lixisenatide. </w:t>
      </w:r>
      <w:r w:rsidR="00653D53" w:rsidRPr="00021594">
        <w:t>During the first 8 weeks of treatment, the dose will be titrated twice a week as far as possible until the patient reaches a</w:t>
      </w:r>
      <w:r w:rsidR="00653D53">
        <w:t xml:space="preserve"> </w:t>
      </w:r>
      <w:r>
        <w:t xml:space="preserve">glycemic target of fasting </w:t>
      </w:r>
      <w:r w:rsidR="00D9457F">
        <w:t>SMPG</w:t>
      </w:r>
      <w:r>
        <w:t xml:space="preserve"> in the range of 80 to 100 mg/dL (4.4 to 5.6 mmol/L) while avoiding hypoglycemia. </w:t>
      </w:r>
      <w:r w:rsidR="00653D53" w:rsidRPr="00021594">
        <w:t>Thereafter, the dose will be adjusted as necessary to maintain this fasting SMPG target, with recommendation to evaluate the dose at least once a week.</w:t>
      </w:r>
      <w:r w:rsidR="00653D53">
        <w:t xml:space="preserve"> </w:t>
      </w:r>
      <w:r>
        <w:t xml:space="preserve">Patients needing a daily dose of 40 </w:t>
      </w:r>
      <w:r w:rsidR="00B414C3" w:rsidRPr="00021594">
        <w:t>U</w:t>
      </w:r>
      <w:r w:rsidR="000B5264" w:rsidRPr="00021594">
        <w:t xml:space="preserve"> (corresponding to an associate dose of </w:t>
      </w:r>
      <w:r w:rsidR="009178F5" w:rsidRPr="00021594">
        <w:t>4</w:t>
      </w:r>
      <w:r w:rsidR="000B5264" w:rsidRPr="00021594">
        <w:t xml:space="preserve">0 </w:t>
      </w:r>
      <w:r w:rsidRPr="00021594">
        <w:t xml:space="preserve">U </w:t>
      </w:r>
      <w:r w:rsidR="000B5264" w:rsidRPr="00021594">
        <w:t>of insulin glargine)</w:t>
      </w:r>
      <w:r w:rsidR="000B5264">
        <w:t xml:space="preserve"> </w:t>
      </w:r>
      <w:r>
        <w:t xml:space="preserve">or more will switch to the </w:t>
      </w:r>
      <w:r w:rsidR="005B4E4A">
        <w:t>O</w:t>
      </w:r>
      <w:r>
        <w:t xml:space="preserve">live </w:t>
      </w:r>
      <w:r w:rsidR="005B4E4A">
        <w:t>P</w:t>
      </w:r>
      <w:r>
        <w:t xml:space="preserve">en. The maximal daily dose in the </w:t>
      </w:r>
      <w:r w:rsidR="005B4E4A" w:rsidRPr="00021594">
        <w:t>FRC</w:t>
      </w:r>
      <w:r w:rsidR="005B4E4A">
        <w:t xml:space="preserve"> </w:t>
      </w:r>
      <w:r>
        <w:t xml:space="preserve">treatment groups is </w:t>
      </w:r>
      <w:r w:rsidR="000B5264" w:rsidRPr="00021594">
        <w:t xml:space="preserve">60 </w:t>
      </w:r>
      <w:r w:rsidR="00B414C3" w:rsidRPr="00021594">
        <w:t>U</w:t>
      </w:r>
      <w:r w:rsidR="000B5264" w:rsidRPr="00021594">
        <w:t xml:space="preserve">, which corresponds to an associated dose of </w:t>
      </w:r>
      <w:r w:rsidR="009178F5" w:rsidRPr="00021594">
        <w:t>6</w:t>
      </w:r>
      <w:r w:rsidR="000B5264" w:rsidRPr="00021594">
        <w:t xml:space="preserve">0 U of insulin glargine and 20 </w:t>
      </w:r>
      <w:r w:rsidRPr="00021594">
        <w:t>µg</w:t>
      </w:r>
      <w:r w:rsidR="000B5264" w:rsidRPr="00021594">
        <w:t xml:space="preserve"> of lixisenatide</w:t>
      </w:r>
      <w:r w:rsidRPr="00021594">
        <w:t xml:space="preserve">. </w:t>
      </w:r>
      <w:r w:rsidR="00B414C3" w:rsidRPr="00021594">
        <w:t>Total daily doses</w:t>
      </w:r>
      <w:r w:rsidR="002533CC" w:rsidRPr="00021594">
        <w:t xml:space="preserve"> of FRC higher than 60 must not be administrated.</w:t>
      </w:r>
    </w:p>
    <w:p w:rsidR="000F21C0" w:rsidRDefault="000F21C0" w:rsidP="000F21C0">
      <w:r>
        <w:lastRenderedPageBreak/>
        <w:t xml:space="preserve">Patients in GLP-1 receptor agonist group (liraglutide [Victoza®], or exenatide [Byetta®], </w:t>
      </w:r>
      <w:r w:rsidRPr="00021594">
        <w:t>exenatide extended-release [Bydureon®], albiglutide [Tanzeum®/Eperzan®], and dulaglutide [Trulicity®]</w:t>
      </w:r>
      <w:r>
        <w:t xml:space="preserve"> will continue to receive the same dose they receive at study entry. </w:t>
      </w:r>
    </w:p>
    <w:p w:rsidR="000F21C0" w:rsidRDefault="000F21C0" w:rsidP="000F21C0">
      <w:r>
        <w:t xml:space="preserve">The </w:t>
      </w:r>
      <w:r w:rsidR="00D9457F">
        <w:t>investigational medicinal products (</w:t>
      </w:r>
      <w:r>
        <w:t>IMPs</w:t>
      </w:r>
      <w:r w:rsidR="00D9457F">
        <w:t>)</w:t>
      </w:r>
      <w:r>
        <w:t xml:space="preserve"> should be administered by deep subcutaneous injection, once daily (for details on timing of administration, please see IMPs dose regimen section in the tabular summary) for </w:t>
      </w:r>
      <w:r w:rsidR="00A47FD3" w:rsidRPr="00021594">
        <w:t>FRC</w:t>
      </w:r>
      <w:r w:rsidR="00A47FD3">
        <w:t xml:space="preserve"> </w:t>
      </w:r>
      <w:r>
        <w:t>and Victoza®, twice daily</w:t>
      </w:r>
      <w:r w:rsidR="00E73C1D">
        <w:t xml:space="preserve"> (BID)</w:t>
      </w:r>
      <w:r>
        <w:t xml:space="preserve"> for Byetta</w:t>
      </w:r>
      <w:r w:rsidRPr="00021594">
        <w:t>®, or once weekly for Bydureon®, Tanzeum®/Eperzan®, or Trulicity®.</w:t>
      </w:r>
    </w:p>
    <w:p w:rsidR="000F21C0" w:rsidRDefault="000F21C0" w:rsidP="000F21C0">
      <w:r>
        <w:t>In the post-marketing experience with GLP-1 receptor agonists, spontaneously reported cases of pancreatitis raised concerns that drugs in this class could cause pancreatitis. Therefore, patients enrolled in this study should be followed for any evidence of suspected pancreatitis, eg, with symptoms and/or signs of acute abdominal distress or abnormal levels of pancreatic enzymes. Serum amylase and lipase concentrations are to be monitored routinely at screening, baseline and periodically during the study treatment period. As this monitoring may be difficult to interpret in patients who already have high values of amylase or lipase, patients with values above 3 times the upper limit of normal range at screening will not be included in the study. Guidance for Investigators on the follow-up of suspected pancreatitis is specified in the protocol. In addition, a Pancreatic Safety Assessment Committee (PSAC) has been established. The PSAC is a committee of experts in the field of pancreatitis and pancreatic neoplasm, independent from the Sponsor and the Investigators, implemented to assess pancreatic events that may occur during the study.</w:t>
      </w:r>
    </w:p>
    <w:p w:rsidR="000F21C0" w:rsidRDefault="000F21C0" w:rsidP="000F21C0">
      <w:r>
        <w:t xml:space="preserve">Information from Victoza® (liraglutide) </w:t>
      </w:r>
      <w:r w:rsidR="00715F4F">
        <w:t>(</w:t>
      </w:r>
      <w:r w:rsidR="00715F4F" w:rsidRPr="00715F4F">
        <w:rPr>
          <w:color w:val="0000FF"/>
        </w:rPr>
        <w:fldChar w:fldCharType="begin"/>
      </w:r>
      <w:r w:rsidR="00715F4F" w:rsidRPr="00715F4F">
        <w:rPr>
          <w:color w:val="0000FF"/>
        </w:rPr>
        <w:instrText xml:space="preserve"> REF  TARGET_REFBIB0005 \h  \* MERGEFORMAT </w:instrText>
      </w:r>
      <w:r w:rsidR="00715F4F" w:rsidRPr="00715F4F">
        <w:rPr>
          <w:color w:val="0000FF"/>
        </w:rPr>
      </w:r>
      <w:r w:rsidR="00715F4F" w:rsidRPr="00715F4F">
        <w:rPr>
          <w:color w:val="0000FF"/>
        </w:rPr>
        <w:fldChar w:fldCharType="separate"/>
      </w:r>
      <w:r w:rsidR="005A26F6" w:rsidRPr="005A26F6">
        <w:rPr>
          <w:color w:val="0000FF"/>
        </w:rPr>
        <w:t>5</w:t>
      </w:r>
      <w:r w:rsidR="00715F4F" w:rsidRPr="00715F4F">
        <w:rPr>
          <w:color w:val="0000FF"/>
        </w:rPr>
        <w:fldChar w:fldCharType="end"/>
      </w:r>
      <w:r w:rsidR="009E56D2">
        <w:rPr>
          <w:color w:val="0000FF"/>
        </w:rPr>
        <w:t xml:space="preserve">, </w:t>
      </w:r>
      <w:r w:rsidR="00715F4F" w:rsidRPr="00715F4F">
        <w:rPr>
          <w:color w:val="0000FF"/>
        </w:rPr>
        <w:fldChar w:fldCharType="begin"/>
      </w:r>
      <w:r w:rsidR="00715F4F" w:rsidRPr="00715F4F">
        <w:rPr>
          <w:color w:val="0000FF"/>
        </w:rPr>
        <w:instrText xml:space="preserve"> REF  TARGET_REFBIB0006 \h  \* MERGEFORMAT </w:instrText>
      </w:r>
      <w:r w:rsidR="00715F4F" w:rsidRPr="00715F4F">
        <w:rPr>
          <w:color w:val="0000FF"/>
        </w:rPr>
      </w:r>
      <w:r w:rsidR="00715F4F" w:rsidRPr="00715F4F">
        <w:rPr>
          <w:color w:val="0000FF"/>
        </w:rPr>
        <w:fldChar w:fldCharType="separate"/>
      </w:r>
      <w:r w:rsidR="005A26F6" w:rsidRPr="005A26F6">
        <w:rPr>
          <w:color w:val="0000FF"/>
        </w:rPr>
        <w:t>6</w:t>
      </w:r>
      <w:r w:rsidR="00715F4F" w:rsidRPr="00715F4F">
        <w:rPr>
          <w:color w:val="0000FF"/>
        </w:rPr>
        <w:fldChar w:fldCharType="end"/>
      </w:r>
      <w:r w:rsidR="00715F4F">
        <w:t>)</w:t>
      </w:r>
      <w:r>
        <w:t xml:space="preserve">, </w:t>
      </w:r>
      <w:r w:rsidRPr="00021594">
        <w:t xml:space="preserve">Bydureon® (exenatide-extended release) </w:t>
      </w:r>
      <w:r w:rsidR="00715F4F" w:rsidRPr="00021594">
        <w:t>(</w:t>
      </w:r>
      <w:r w:rsidR="00715F4F" w:rsidRPr="00021594">
        <w:rPr>
          <w:color w:val="0000FF"/>
        </w:rPr>
        <w:fldChar w:fldCharType="begin"/>
      </w:r>
      <w:r w:rsidR="00715F4F" w:rsidRPr="00021594">
        <w:rPr>
          <w:color w:val="0000FF"/>
        </w:rPr>
        <w:instrText xml:space="preserve"> REF  TARGET_REFBIB0009 \h  \* MERGEFORMAT </w:instrText>
      </w:r>
      <w:r w:rsidR="00715F4F" w:rsidRPr="00021594">
        <w:rPr>
          <w:color w:val="0000FF"/>
        </w:rPr>
      </w:r>
      <w:r w:rsidR="00715F4F" w:rsidRPr="00021594">
        <w:rPr>
          <w:color w:val="0000FF"/>
        </w:rPr>
        <w:fldChar w:fldCharType="separate"/>
      </w:r>
      <w:r w:rsidR="005A26F6" w:rsidRPr="005A26F6">
        <w:rPr>
          <w:color w:val="0000FF"/>
        </w:rPr>
        <w:t>9</w:t>
      </w:r>
      <w:r w:rsidR="00715F4F" w:rsidRPr="00021594">
        <w:rPr>
          <w:color w:val="0000FF"/>
        </w:rPr>
        <w:fldChar w:fldCharType="end"/>
      </w:r>
      <w:r w:rsidR="00715F4F" w:rsidRPr="00021594">
        <w:t>,</w:t>
      </w:r>
      <w:r w:rsidR="009E56D2">
        <w:t xml:space="preserve"> </w:t>
      </w:r>
      <w:r w:rsidR="00715F4F" w:rsidRPr="00021594">
        <w:rPr>
          <w:color w:val="0000FF"/>
        </w:rPr>
        <w:fldChar w:fldCharType="begin"/>
      </w:r>
      <w:r w:rsidR="00715F4F" w:rsidRPr="00021594">
        <w:rPr>
          <w:color w:val="0000FF"/>
        </w:rPr>
        <w:instrText xml:space="preserve"> REF  TARGET_REFBIB0010 \h  \* MERGEFORMAT </w:instrText>
      </w:r>
      <w:r w:rsidR="00715F4F" w:rsidRPr="00021594">
        <w:rPr>
          <w:color w:val="0000FF"/>
        </w:rPr>
      </w:r>
      <w:r w:rsidR="00715F4F" w:rsidRPr="00021594">
        <w:rPr>
          <w:color w:val="0000FF"/>
        </w:rPr>
        <w:fldChar w:fldCharType="separate"/>
      </w:r>
      <w:r w:rsidR="005A26F6" w:rsidRPr="005A26F6">
        <w:rPr>
          <w:color w:val="0000FF"/>
        </w:rPr>
        <w:t>10</w:t>
      </w:r>
      <w:r w:rsidR="00715F4F" w:rsidRPr="00021594">
        <w:rPr>
          <w:color w:val="0000FF"/>
        </w:rPr>
        <w:fldChar w:fldCharType="end"/>
      </w:r>
      <w:r w:rsidR="00715F4F" w:rsidRPr="00021594">
        <w:t>)</w:t>
      </w:r>
      <w:r w:rsidRPr="00021594">
        <w:t xml:space="preserve">, Tanzeum®/Eperzan® (albiglutide) </w:t>
      </w:r>
      <w:r w:rsidR="00715F4F" w:rsidRPr="00021594">
        <w:t>(</w:t>
      </w:r>
      <w:r w:rsidR="00715F4F" w:rsidRPr="00021594">
        <w:rPr>
          <w:color w:val="0000FF"/>
        </w:rPr>
        <w:fldChar w:fldCharType="begin"/>
      </w:r>
      <w:r w:rsidR="00715F4F" w:rsidRPr="00021594">
        <w:rPr>
          <w:color w:val="0000FF"/>
        </w:rPr>
        <w:instrText xml:space="preserve"> REF  TARGET_REFBIB0011 \h  \* MERGEFORMAT </w:instrText>
      </w:r>
      <w:r w:rsidR="00715F4F" w:rsidRPr="00021594">
        <w:rPr>
          <w:color w:val="0000FF"/>
        </w:rPr>
      </w:r>
      <w:r w:rsidR="00715F4F" w:rsidRPr="00021594">
        <w:rPr>
          <w:color w:val="0000FF"/>
        </w:rPr>
        <w:fldChar w:fldCharType="separate"/>
      </w:r>
      <w:r w:rsidR="005A26F6" w:rsidRPr="005A26F6">
        <w:rPr>
          <w:color w:val="0000FF"/>
        </w:rPr>
        <w:t>11</w:t>
      </w:r>
      <w:r w:rsidR="00715F4F" w:rsidRPr="00021594">
        <w:rPr>
          <w:color w:val="0000FF"/>
        </w:rPr>
        <w:fldChar w:fldCharType="end"/>
      </w:r>
      <w:r w:rsidR="00715F4F" w:rsidRPr="00021594">
        <w:t>,</w:t>
      </w:r>
      <w:r w:rsidR="009E56D2">
        <w:t xml:space="preserve"> </w:t>
      </w:r>
      <w:r w:rsidR="00715F4F" w:rsidRPr="00021594">
        <w:rPr>
          <w:color w:val="0000FF"/>
        </w:rPr>
        <w:fldChar w:fldCharType="begin"/>
      </w:r>
      <w:r w:rsidR="00715F4F" w:rsidRPr="00021594">
        <w:rPr>
          <w:color w:val="0000FF"/>
        </w:rPr>
        <w:instrText xml:space="preserve"> REF  TARGET_REFBIB0012 \h  \* MERGEFORMAT </w:instrText>
      </w:r>
      <w:r w:rsidR="00715F4F" w:rsidRPr="00021594">
        <w:rPr>
          <w:color w:val="0000FF"/>
        </w:rPr>
      </w:r>
      <w:r w:rsidR="00715F4F" w:rsidRPr="00021594">
        <w:rPr>
          <w:color w:val="0000FF"/>
        </w:rPr>
        <w:fldChar w:fldCharType="separate"/>
      </w:r>
      <w:r w:rsidR="005A26F6" w:rsidRPr="005A26F6">
        <w:rPr>
          <w:color w:val="0000FF"/>
        </w:rPr>
        <w:t>12</w:t>
      </w:r>
      <w:r w:rsidR="00715F4F" w:rsidRPr="00021594">
        <w:rPr>
          <w:color w:val="0000FF"/>
        </w:rPr>
        <w:fldChar w:fldCharType="end"/>
      </w:r>
      <w:r w:rsidR="00715F4F" w:rsidRPr="00021594">
        <w:t>)</w:t>
      </w:r>
      <w:r w:rsidRPr="00021594">
        <w:t xml:space="preserve">, and Trulicity® (dulaglutide) </w:t>
      </w:r>
      <w:r w:rsidR="00715F4F" w:rsidRPr="00021594">
        <w:t>(</w:t>
      </w:r>
      <w:r w:rsidR="00715F4F" w:rsidRPr="00021594">
        <w:rPr>
          <w:color w:val="0000FF"/>
        </w:rPr>
        <w:fldChar w:fldCharType="begin"/>
      </w:r>
      <w:r w:rsidR="00715F4F" w:rsidRPr="00021594">
        <w:rPr>
          <w:color w:val="0000FF"/>
        </w:rPr>
        <w:instrText xml:space="preserve"> REF  TARGET_REFBIB0013 \h  \* MERGEFORMAT </w:instrText>
      </w:r>
      <w:r w:rsidR="00715F4F" w:rsidRPr="00021594">
        <w:rPr>
          <w:color w:val="0000FF"/>
        </w:rPr>
      </w:r>
      <w:r w:rsidR="00715F4F" w:rsidRPr="00021594">
        <w:rPr>
          <w:color w:val="0000FF"/>
        </w:rPr>
        <w:fldChar w:fldCharType="separate"/>
      </w:r>
      <w:r w:rsidR="005A26F6" w:rsidRPr="005A26F6">
        <w:rPr>
          <w:color w:val="0000FF"/>
        </w:rPr>
        <w:t>13</w:t>
      </w:r>
      <w:r w:rsidR="00715F4F" w:rsidRPr="00021594">
        <w:rPr>
          <w:color w:val="0000FF"/>
        </w:rPr>
        <w:fldChar w:fldCharType="end"/>
      </w:r>
      <w:r w:rsidR="00715F4F" w:rsidRPr="00021594">
        <w:t>,</w:t>
      </w:r>
      <w:r w:rsidR="009E56D2">
        <w:t xml:space="preserve"> </w:t>
      </w:r>
      <w:r w:rsidR="00715F4F" w:rsidRPr="00021594">
        <w:rPr>
          <w:color w:val="0000FF"/>
        </w:rPr>
        <w:fldChar w:fldCharType="begin"/>
      </w:r>
      <w:r w:rsidR="00715F4F" w:rsidRPr="00021594">
        <w:rPr>
          <w:color w:val="0000FF"/>
        </w:rPr>
        <w:instrText xml:space="preserve"> REF  TARGET_REFBIB0014 \h  \* MERGEFORMAT </w:instrText>
      </w:r>
      <w:r w:rsidR="00715F4F" w:rsidRPr="00021594">
        <w:rPr>
          <w:color w:val="0000FF"/>
        </w:rPr>
      </w:r>
      <w:r w:rsidR="00715F4F" w:rsidRPr="00021594">
        <w:rPr>
          <w:color w:val="0000FF"/>
        </w:rPr>
        <w:fldChar w:fldCharType="separate"/>
      </w:r>
      <w:r w:rsidR="005A26F6" w:rsidRPr="005A26F6">
        <w:rPr>
          <w:color w:val="0000FF"/>
        </w:rPr>
        <w:t>14</w:t>
      </w:r>
      <w:r w:rsidR="00715F4F" w:rsidRPr="00021594">
        <w:rPr>
          <w:color w:val="0000FF"/>
        </w:rPr>
        <w:fldChar w:fldCharType="end"/>
      </w:r>
      <w:r w:rsidR="00715F4F" w:rsidRPr="00021594">
        <w:t>)</w:t>
      </w:r>
      <w:r>
        <w:t xml:space="preserve"> pre-clinical carcinogenicity studies has raised the issue of a potential increased risk of thyroid C-cell hyperplasia and neoplasm. Following a request from the health authorities concerning any clinical study longer than 3 months with a GLP-1 receptor agonist, serum calcitonin will be monitored in this study as a marker of thyroid C-cell hyperplasia and neoplasm, with specific monitoring implemented for patients with value ≥20 pg/mL (5.9 pmol/L). As this monitoring may be difficult to interpret in patients who already have high values, those with calcitonin values equal to or above 20 pg/mL (5.9 pmol/L) at screening will not be included in the study.</w:t>
      </w:r>
    </w:p>
    <w:p w:rsidR="000F21C0" w:rsidRPr="00233714" w:rsidRDefault="000F21C0" w:rsidP="000F21C0">
      <w:pPr>
        <w:rPr>
          <w:b/>
        </w:rPr>
      </w:pPr>
      <w:r w:rsidRPr="00233714">
        <w:rPr>
          <w:b/>
        </w:rPr>
        <w:t>Conclusion on the benefit risk assessment in this study</w:t>
      </w:r>
    </w:p>
    <w:p w:rsidR="000F21C0" w:rsidRDefault="000F21C0" w:rsidP="000F21C0">
      <w:r>
        <w:t xml:space="preserve">The </w:t>
      </w:r>
      <w:r w:rsidR="00CC39EA" w:rsidRPr="00021594">
        <w:t>FRC</w:t>
      </w:r>
      <w:r w:rsidR="00CC39EA">
        <w:t xml:space="preserve"> </w:t>
      </w:r>
      <w:r>
        <w:t>is the combination of two products with demonstrated glucose-lowering properties and which are approved for the treatment of adult patients with T2DM to improve glycemic control (insulin glargine was approved in 2000 in Europe and since 2001 in the US as well as many other parts of the world, and lixisenatide was approved in 2013 in Europe and other countries).</w:t>
      </w:r>
    </w:p>
    <w:p w:rsidR="000F21C0" w:rsidRDefault="000F21C0" w:rsidP="000F21C0">
      <w:r>
        <w:t xml:space="preserve">The type and incidence of adverse events observed in previous lixisenatide clinical studies covering daily doses up to 60 μg, and in the </w:t>
      </w:r>
      <w:r w:rsidR="00CC39EA" w:rsidRPr="00021594">
        <w:t>FRC</w:t>
      </w:r>
      <w:r w:rsidR="00CC39EA">
        <w:t xml:space="preserve"> </w:t>
      </w:r>
      <w:r>
        <w:t xml:space="preserve">phase 2 study ACT12374 with daily doses up to 60 U of insulin glargine/30 μg of lixisenatide </w:t>
      </w:r>
      <w:r w:rsidR="007A5FF1" w:rsidRPr="00021594">
        <w:t>and the completed phase 3 program</w:t>
      </w:r>
      <w:r w:rsidR="007A5FF1">
        <w:t xml:space="preserve"> </w:t>
      </w:r>
      <w:r>
        <w:t>did not reveal findings or concerns precluding the continuation of clinical development. Given the safety profile observed in completed studies, combined treatment of insulin glargine and lixisenatide in a fixed ratio solution is considered well tolerated</w:t>
      </w:r>
      <w:r w:rsidR="004F1D0E">
        <w:t xml:space="preserve"> </w:t>
      </w:r>
      <w:r w:rsidR="004F1D0E" w:rsidRPr="00021594">
        <w:t>and reflective of the individual components</w:t>
      </w:r>
      <w:r>
        <w:t xml:space="preserve">, with no new risk identified for the population to be included in study EFC13794. Therefore, the risk for </w:t>
      </w:r>
      <w:r>
        <w:lastRenderedPageBreak/>
        <w:t xml:space="preserve">patients participating in this study, using daily doses up to 60 U of insulin glargine/20 μg of lixisenatide is considered limited. </w:t>
      </w:r>
    </w:p>
    <w:p w:rsidR="000F21C0" w:rsidRDefault="000F21C0" w:rsidP="000F21C0">
      <w:r>
        <w:t xml:space="preserve">All patients entering this study will receive treatment with </w:t>
      </w:r>
      <w:r w:rsidR="00CC39EA" w:rsidRPr="00021594">
        <w:t>FRC</w:t>
      </w:r>
      <w:r w:rsidR="00CC39EA">
        <w:t xml:space="preserve"> </w:t>
      </w:r>
      <w:r>
        <w:t>or GLP-1 receptor agonist both on top of OAD therapy (metformin with or without pioglitazone). In addition, all patients will benefit from close management of their T2DM. Rescue therapy is planned and described in the clinical study protocol for patients whose glycemia remains poorly controlled.</w:t>
      </w:r>
    </w:p>
    <w:p w:rsidR="00F05B4A" w:rsidRPr="00F05B4A" w:rsidRDefault="000F21C0" w:rsidP="000F21C0">
      <w:r>
        <w:t xml:space="preserve">Given the expected improvement of metabolic control and the additional measures to improve diabetes management, these benefits are considered to outweigh the potential risk associated with the </w:t>
      </w:r>
      <w:r w:rsidR="00CC39EA" w:rsidRPr="00021594">
        <w:t>FRC</w:t>
      </w:r>
      <w:r w:rsidR="00CC39EA">
        <w:t xml:space="preserve"> </w:t>
      </w:r>
      <w:r>
        <w:t>drug. Therefore the benefit-risk ratio for patients participating in study EFC13794 is considered favorable.</w:t>
      </w:r>
    </w:p>
    <w:p w:rsidR="002F41EE" w:rsidRDefault="002F41EE">
      <w:pPr>
        <w:pStyle w:val="Heading1"/>
      </w:pPr>
      <w:bookmarkStart w:id="73" w:name="_Toc302136288"/>
      <w:bookmarkStart w:id="74" w:name="_Toc302371044"/>
      <w:bookmarkStart w:id="75" w:name="_Ref374323595"/>
      <w:bookmarkStart w:id="76" w:name="_Ref374323597"/>
      <w:bookmarkStart w:id="77" w:name="_Toc87170232"/>
      <w:bookmarkStart w:id="78" w:name="_Toc128558603"/>
      <w:bookmarkStart w:id="79" w:name="_Toc129597690"/>
      <w:bookmarkStart w:id="80" w:name="_Toc130200140"/>
      <w:bookmarkStart w:id="81" w:name="_Toc130368721"/>
      <w:bookmarkStart w:id="82" w:name="_Toc130368851"/>
      <w:bookmarkStart w:id="83" w:name="_Toc130703359"/>
      <w:bookmarkStart w:id="84" w:name="_Toc382298058"/>
      <w:bookmarkStart w:id="85" w:name="_Toc443035822"/>
      <w:bookmarkEnd w:id="72"/>
      <w:bookmarkEnd w:id="73"/>
      <w:bookmarkEnd w:id="74"/>
      <w:r>
        <w:lastRenderedPageBreak/>
        <w:t>Study objectives</w:t>
      </w:r>
      <w:bookmarkEnd w:id="75"/>
      <w:bookmarkEnd w:id="76"/>
      <w:bookmarkEnd w:id="77"/>
      <w:bookmarkEnd w:id="78"/>
      <w:bookmarkEnd w:id="79"/>
      <w:bookmarkEnd w:id="80"/>
      <w:bookmarkEnd w:id="81"/>
      <w:bookmarkEnd w:id="82"/>
      <w:bookmarkEnd w:id="83"/>
      <w:bookmarkEnd w:id="84"/>
      <w:bookmarkEnd w:id="85"/>
    </w:p>
    <w:p w:rsidR="002F41EE" w:rsidRDefault="002F41EE">
      <w:pPr>
        <w:pStyle w:val="Heading2"/>
      </w:pPr>
      <w:bookmarkStart w:id="86" w:name="_Toc348250994"/>
      <w:bookmarkStart w:id="87" w:name="_Toc87170233"/>
      <w:bookmarkStart w:id="88" w:name="_Toc128558604"/>
      <w:bookmarkStart w:id="89" w:name="_Toc129597691"/>
      <w:bookmarkStart w:id="90" w:name="_Toc130200141"/>
      <w:bookmarkStart w:id="91" w:name="_Toc130368722"/>
      <w:bookmarkStart w:id="92" w:name="_Toc130368852"/>
      <w:bookmarkStart w:id="93" w:name="_Toc130703360"/>
      <w:bookmarkStart w:id="94" w:name="_Toc382298059"/>
      <w:bookmarkStart w:id="95" w:name="_Toc443035823"/>
      <w:r>
        <w:t>Primary</w:t>
      </w:r>
      <w:bookmarkEnd w:id="87"/>
      <w:bookmarkEnd w:id="88"/>
      <w:bookmarkEnd w:id="89"/>
      <w:bookmarkEnd w:id="90"/>
      <w:bookmarkEnd w:id="91"/>
      <w:bookmarkEnd w:id="92"/>
      <w:bookmarkEnd w:id="93"/>
      <w:bookmarkEnd w:id="94"/>
      <w:bookmarkEnd w:id="95"/>
    </w:p>
    <w:p w:rsidR="00DE1C19" w:rsidRPr="00DE1C19" w:rsidRDefault="00DE1C19" w:rsidP="00DE1C19">
      <w:bookmarkStart w:id="96" w:name="_Toc87170234"/>
      <w:bookmarkStart w:id="97" w:name="_Toc128558605"/>
      <w:bookmarkStart w:id="98" w:name="_Toc129597692"/>
      <w:bookmarkStart w:id="99" w:name="_Toc130200142"/>
      <w:bookmarkStart w:id="100" w:name="_Toc130368723"/>
      <w:bookmarkStart w:id="101" w:name="_Toc130368853"/>
      <w:bookmarkStart w:id="102" w:name="_Toc130703361"/>
      <w:r w:rsidRPr="00DE1C19">
        <w:t xml:space="preserve">The primary objective of this study is to demonstrate the superiority of the insulin glargine/lixisenatide fixed ratio combination </w:t>
      </w:r>
      <w:r w:rsidR="00501D16" w:rsidRPr="00295496">
        <w:t>(FRC)</w:t>
      </w:r>
      <w:r w:rsidR="00501D16">
        <w:t xml:space="preserve"> </w:t>
      </w:r>
      <w:r w:rsidRPr="00DE1C19">
        <w:t>versus GLP-1 receptor agonist in HbA</w:t>
      </w:r>
      <w:r w:rsidRPr="00950DEA">
        <w:rPr>
          <w:vertAlign w:val="subscript"/>
        </w:rPr>
        <w:t>1c</w:t>
      </w:r>
      <w:r w:rsidRPr="00DE1C19">
        <w:t xml:space="preserve"> change from baseline to week 26.</w:t>
      </w:r>
    </w:p>
    <w:p w:rsidR="002F41EE" w:rsidRDefault="002F41EE">
      <w:pPr>
        <w:pStyle w:val="Heading2"/>
      </w:pPr>
      <w:bookmarkStart w:id="103" w:name="_Toc382298060"/>
      <w:bookmarkStart w:id="104" w:name="_Toc443035824"/>
      <w:r>
        <w:t>Secondary</w:t>
      </w:r>
      <w:bookmarkEnd w:id="96"/>
      <w:bookmarkEnd w:id="97"/>
      <w:bookmarkEnd w:id="98"/>
      <w:bookmarkEnd w:id="99"/>
      <w:bookmarkEnd w:id="100"/>
      <w:bookmarkEnd w:id="101"/>
      <w:bookmarkEnd w:id="102"/>
      <w:bookmarkEnd w:id="103"/>
      <w:bookmarkEnd w:id="104"/>
    </w:p>
    <w:p w:rsidR="00DE1C19" w:rsidRDefault="00DE1C19" w:rsidP="002A39AC">
      <w:r>
        <w:t xml:space="preserve">The secondary objectives of the study are to assess the effects of the </w:t>
      </w:r>
      <w:r w:rsidR="00501D16" w:rsidRPr="00295496">
        <w:t>FRC</w:t>
      </w:r>
      <w:r w:rsidR="00501D16">
        <w:t xml:space="preserve"> </w:t>
      </w:r>
      <w:r>
        <w:t>versus GLP-1 receptor agonist over 26 weeks on:</w:t>
      </w:r>
    </w:p>
    <w:p w:rsidR="00DE1C19" w:rsidRDefault="00DE1C19" w:rsidP="00CC67B4">
      <w:pPr>
        <w:pStyle w:val="ListBulletLevel1"/>
        <w:numPr>
          <w:ilvl w:val="0"/>
          <w:numId w:val="41"/>
        </w:numPr>
      </w:pPr>
      <w:r>
        <w:t>Percentage of patients reaching HbA</w:t>
      </w:r>
      <w:r w:rsidRPr="00950DEA">
        <w:rPr>
          <w:vertAlign w:val="subscript"/>
        </w:rPr>
        <w:t>1c</w:t>
      </w:r>
      <w:r>
        <w:t xml:space="preserve"> targets;</w:t>
      </w:r>
    </w:p>
    <w:p w:rsidR="00DE1C19" w:rsidRDefault="00DE1C19" w:rsidP="00CC67B4">
      <w:pPr>
        <w:pStyle w:val="ListBulletLevel1"/>
        <w:numPr>
          <w:ilvl w:val="0"/>
          <w:numId w:val="41"/>
        </w:numPr>
      </w:pPr>
      <w:r>
        <w:t>Fasting Plasma Glucose (FPG);</w:t>
      </w:r>
    </w:p>
    <w:p w:rsidR="00DE1C19" w:rsidRDefault="00DE1C19" w:rsidP="00CC67B4">
      <w:pPr>
        <w:pStyle w:val="ListBulletLevel1"/>
        <w:numPr>
          <w:ilvl w:val="0"/>
          <w:numId w:val="41"/>
        </w:numPr>
      </w:pPr>
      <w:r>
        <w:t>7-point Self- Monitored Plasma Glucose (SMPG) profile;</w:t>
      </w:r>
    </w:p>
    <w:p w:rsidR="00DE1C19" w:rsidRDefault="00DE1C19" w:rsidP="00CC67B4">
      <w:pPr>
        <w:pStyle w:val="ListBulletLevel1"/>
        <w:numPr>
          <w:ilvl w:val="0"/>
          <w:numId w:val="41"/>
        </w:numPr>
      </w:pPr>
      <w:r>
        <w:t xml:space="preserve">Glycemic control in relation to a meal as evaluated by 2-hour Post-prandial Plasma Glucose (PPG) and glucose excursion during a standardized meal test; </w:t>
      </w:r>
    </w:p>
    <w:p w:rsidR="00DE1C19" w:rsidRDefault="00DE1C19" w:rsidP="00CC67B4">
      <w:pPr>
        <w:pStyle w:val="ListBulletLevel1"/>
        <w:numPr>
          <w:ilvl w:val="0"/>
          <w:numId w:val="41"/>
        </w:numPr>
      </w:pPr>
      <w:r>
        <w:t>Body weight;</w:t>
      </w:r>
    </w:p>
    <w:p w:rsidR="00DE1C19" w:rsidRDefault="00DE1C19" w:rsidP="00CC67B4">
      <w:pPr>
        <w:pStyle w:val="ListBulletLevel1"/>
        <w:numPr>
          <w:ilvl w:val="0"/>
          <w:numId w:val="41"/>
        </w:numPr>
      </w:pPr>
      <w:r>
        <w:t>To assess the safety and tolerability in each treatment group.</w:t>
      </w:r>
    </w:p>
    <w:p w:rsidR="00DE1C19" w:rsidRDefault="00DE1C19" w:rsidP="00DE1C19">
      <w:pPr>
        <w:pStyle w:val="Heading3"/>
      </w:pPr>
      <w:bookmarkStart w:id="105" w:name="_Toc443035825"/>
      <w:r>
        <w:t>Other Objectives</w:t>
      </w:r>
      <w:bookmarkEnd w:id="105"/>
    </w:p>
    <w:p w:rsidR="00DE1C19" w:rsidRDefault="00DE1C19" w:rsidP="00CC67B4">
      <w:pPr>
        <w:pStyle w:val="ListBulletLevel1"/>
        <w:numPr>
          <w:ilvl w:val="0"/>
          <w:numId w:val="42"/>
        </w:numPr>
      </w:pPr>
      <w:r w:rsidRPr="00DE1C19">
        <w:t xml:space="preserve">To assess insulin glargine </w:t>
      </w:r>
      <w:r w:rsidR="002A39AC">
        <w:t xml:space="preserve">and lixisenatide </w:t>
      </w:r>
      <w:r w:rsidRPr="00DE1C19">
        <w:t>dose</w:t>
      </w:r>
      <w:r w:rsidR="002A39AC">
        <w:t>s</w:t>
      </w:r>
      <w:r w:rsidRPr="00DE1C19">
        <w:t xml:space="preserve"> in the combination group.</w:t>
      </w:r>
    </w:p>
    <w:p w:rsidR="002F41EE" w:rsidRDefault="002F41EE">
      <w:pPr>
        <w:pStyle w:val="Heading1"/>
      </w:pPr>
      <w:bookmarkStart w:id="106" w:name="_Toc348250996"/>
      <w:bookmarkStart w:id="107" w:name="_Toc87170235"/>
      <w:bookmarkStart w:id="108" w:name="_Toc128558606"/>
      <w:bookmarkStart w:id="109" w:name="_Toc129597693"/>
      <w:bookmarkStart w:id="110" w:name="_Toc130200143"/>
      <w:bookmarkStart w:id="111" w:name="_Toc130368724"/>
      <w:bookmarkStart w:id="112" w:name="_Toc130368854"/>
      <w:bookmarkStart w:id="113" w:name="_Toc130703362"/>
      <w:bookmarkStart w:id="114" w:name="_Toc382298061"/>
      <w:bookmarkStart w:id="115" w:name="_Toc443035826"/>
      <w:bookmarkEnd w:id="86"/>
      <w:r>
        <w:lastRenderedPageBreak/>
        <w:t>Study design</w:t>
      </w:r>
      <w:bookmarkEnd w:id="106"/>
      <w:bookmarkEnd w:id="107"/>
      <w:bookmarkEnd w:id="108"/>
      <w:bookmarkEnd w:id="109"/>
      <w:bookmarkEnd w:id="110"/>
      <w:bookmarkEnd w:id="111"/>
      <w:bookmarkEnd w:id="112"/>
      <w:bookmarkEnd w:id="113"/>
      <w:bookmarkEnd w:id="114"/>
      <w:bookmarkEnd w:id="115"/>
    </w:p>
    <w:p w:rsidR="002F41EE" w:rsidRDefault="002F41EE">
      <w:pPr>
        <w:pStyle w:val="Heading2"/>
      </w:pPr>
      <w:bookmarkStart w:id="116" w:name="_Toc128558607"/>
      <w:bookmarkStart w:id="117" w:name="_Toc129597694"/>
      <w:bookmarkStart w:id="118" w:name="_Toc130200144"/>
      <w:bookmarkStart w:id="119" w:name="_Toc130368725"/>
      <w:bookmarkStart w:id="120" w:name="_Toc130368855"/>
      <w:bookmarkStart w:id="121" w:name="_Toc130703363"/>
      <w:bookmarkStart w:id="122" w:name="_Toc382298062"/>
      <w:bookmarkStart w:id="123" w:name="_Ref434491850"/>
      <w:bookmarkStart w:id="124" w:name="_Ref442689158"/>
      <w:bookmarkStart w:id="125" w:name="_Toc443035827"/>
      <w:r>
        <w:t>Description of the protocol</w:t>
      </w:r>
      <w:bookmarkEnd w:id="116"/>
      <w:bookmarkEnd w:id="117"/>
      <w:bookmarkEnd w:id="118"/>
      <w:bookmarkEnd w:id="119"/>
      <w:bookmarkEnd w:id="120"/>
      <w:bookmarkEnd w:id="121"/>
      <w:bookmarkEnd w:id="122"/>
      <w:bookmarkEnd w:id="123"/>
      <w:bookmarkEnd w:id="124"/>
      <w:bookmarkEnd w:id="125"/>
    </w:p>
    <w:p w:rsidR="00D75740" w:rsidRDefault="00D75740" w:rsidP="00D75740">
      <w:r>
        <w:t xml:space="preserve">The study will be an open label, randomized, active-controlled, 2 treatment-arm, 26-week treatment duration, parallel-group, multinational and multicenter phase 3 study comparing the </w:t>
      </w:r>
      <w:r w:rsidR="00BC02BE" w:rsidRPr="00295496">
        <w:t>FRC</w:t>
      </w:r>
      <w:r w:rsidR="00BC02BE">
        <w:t xml:space="preserve"> </w:t>
      </w:r>
      <w:r>
        <w:t>to GLP-1 receptor agonist.</w:t>
      </w:r>
    </w:p>
    <w:p w:rsidR="00D75740" w:rsidRDefault="00D75740" w:rsidP="00D75740">
      <w:r>
        <w:t>The study will recruit outpatients with T2DM. At the end of the screening period, eligible patients will be randomized to one of two treatment groups:</w:t>
      </w:r>
    </w:p>
    <w:p w:rsidR="00D75740" w:rsidRDefault="00BC02BE" w:rsidP="00CC67B4">
      <w:pPr>
        <w:pStyle w:val="ListBulletLevel1"/>
        <w:numPr>
          <w:ilvl w:val="0"/>
          <w:numId w:val="43"/>
        </w:numPr>
      </w:pPr>
      <w:r w:rsidRPr="00295496">
        <w:t>FRC</w:t>
      </w:r>
      <w:r>
        <w:t xml:space="preserve"> </w:t>
      </w:r>
      <w:r w:rsidR="00D75740">
        <w:t>group;</w:t>
      </w:r>
    </w:p>
    <w:p w:rsidR="00D75740" w:rsidRDefault="00D75740" w:rsidP="00CC67B4">
      <w:pPr>
        <w:pStyle w:val="ListBulletLevel1"/>
        <w:numPr>
          <w:ilvl w:val="0"/>
          <w:numId w:val="44"/>
        </w:numPr>
      </w:pPr>
      <w:r>
        <w:t>GLP-1 receptor agonist group.</w:t>
      </w:r>
    </w:p>
    <w:p w:rsidR="00D75740" w:rsidRDefault="00D75740" w:rsidP="00D75740">
      <w:r>
        <w:t>The randomization (1:1) will be stratified by values of HbA</w:t>
      </w:r>
      <w:r w:rsidRPr="00950DEA">
        <w:rPr>
          <w:vertAlign w:val="subscript"/>
        </w:rPr>
        <w:t>1c</w:t>
      </w:r>
      <w:r>
        <w:t xml:space="preserve"> at screening (&lt;8</w:t>
      </w:r>
      <w:r w:rsidR="006D43AD">
        <w:t>%, ≥8%) (&lt;64 </w:t>
      </w:r>
      <w:r>
        <w:t xml:space="preserve">mmol/mol, ≥64 mmol/mol) and </w:t>
      </w:r>
      <w:r w:rsidRPr="00295496">
        <w:t xml:space="preserve">GLP-1 receptor agonist subtype (once/twice daily formulations, once weekly formulations). </w:t>
      </w:r>
    </w:p>
    <w:p w:rsidR="00D75740" w:rsidRDefault="00D75740" w:rsidP="00D75740">
      <w:r>
        <w:t>The study will comprise 3 periods:</w:t>
      </w:r>
    </w:p>
    <w:p w:rsidR="00D75740" w:rsidRPr="00D75740" w:rsidRDefault="00D75740" w:rsidP="00CC67B4">
      <w:pPr>
        <w:pStyle w:val="ListBulletLevel1"/>
        <w:numPr>
          <w:ilvl w:val="0"/>
          <w:numId w:val="45"/>
        </w:numPr>
        <w:rPr>
          <w:b/>
        </w:rPr>
      </w:pPr>
      <w:r w:rsidRPr="00D75740">
        <w:rPr>
          <w:b/>
        </w:rPr>
        <w:t>An up-to 2-week screening period;</w:t>
      </w:r>
    </w:p>
    <w:p w:rsidR="00D75740" w:rsidRDefault="00D75740" w:rsidP="00D75740">
      <w:pPr>
        <w:pStyle w:val="ListBulletLevel2"/>
      </w:pPr>
      <w:r>
        <w:t xml:space="preserve">Eligible patients continue their GLP-1 RA (Victoza®, Byetta®, </w:t>
      </w:r>
      <w:r w:rsidRPr="00295496">
        <w:t>Bydureon®, Tanzeum®/Eperzan®, or Trulicity®)</w:t>
      </w:r>
      <w:r>
        <w:t xml:space="preserve"> on top of metformin ± pioglitazone a</w:t>
      </w:r>
      <w:r w:rsidR="00164D9E">
        <w:t>t the same doses/dose regimen</w:t>
      </w:r>
      <w:r>
        <w:t>s as before the screening visit;</w:t>
      </w:r>
    </w:p>
    <w:p w:rsidR="00D75740" w:rsidRDefault="00D75740" w:rsidP="00CC67B4">
      <w:pPr>
        <w:pStyle w:val="ListBulletLevel1"/>
        <w:numPr>
          <w:ilvl w:val="0"/>
          <w:numId w:val="46"/>
        </w:numPr>
      </w:pPr>
      <w:r w:rsidRPr="00D75740">
        <w:rPr>
          <w:b/>
        </w:rPr>
        <w:t>A 26-week open-label randomized treatment period</w:t>
      </w:r>
      <w:r>
        <w:t xml:space="preserve">; </w:t>
      </w:r>
    </w:p>
    <w:p w:rsidR="00D75740" w:rsidRDefault="00D75740" w:rsidP="00CC67B4">
      <w:pPr>
        <w:pStyle w:val="ListBulletLevel2"/>
        <w:numPr>
          <w:ilvl w:val="0"/>
          <w:numId w:val="47"/>
        </w:numPr>
      </w:pPr>
      <w:r>
        <w:t>Eligible patients whose HbA</w:t>
      </w:r>
      <w:r w:rsidRPr="00950DEA">
        <w:rPr>
          <w:vertAlign w:val="subscript"/>
        </w:rPr>
        <w:t>1c</w:t>
      </w:r>
      <w:r>
        <w:t xml:space="preserve"> level was ≥7% (53 mmol/mol) and ≤9% (75 mmol/mol) and Fasting Plasma Glucose (FPG) is ≤250 mg/dL (13.9 mmol/L) values at screening (V1), will be randomized at V3 to either receive the </w:t>
      </w:r>
      <w:r w:rsidR="00BC02BE" w:rsidRPr="00295496">
        <w:t>FRC</w:t>
      </w:r>
      <w:r w:rsidR="00BC02BE">
        <w:t xml:space="preserve"> </w:t>
      </w:r>
      <w:r>
        <w:t>on top of metformin ± pioglitazone or to continue on GLP-1 receptor agonist on top of metformin ± pioglitazone;</w:t>
      </w:r>
    </w:p>
    <w:p w:rsidR="00560CB7" w:rsidRPr="0041620D" w:rsidRDefault="00D75740" w:rsidP="00CC67B4">
      <w:pPr>
        <w:pStyle w:val="ListBulletLevel1"/>
        <w:numPr>
          <w:ilvl w:val="0"/>
          <w:numId w:val="48"/>
        </w:numPr>
        <w:rPr>
          <w:b/>
        </w:rPr>
      </w:pPr>
      <w:r w:rsidRPr="00D75740">
        <w:rPr>
          <w:b/>
        </w:rPr>
        <w:t>A 3-day safety follow-up period.</w:t>
      </w:r>
    </w:p>
    <w:p w:rsidR="002F41EE" w:rsidRDefault="002F41EE">
      <w:pPr>
        <w:pStyle w:val="Heading2"/>
      </w:pPr>
      <w:bookmarkStart w:id="126" w:name="_Toc348250997"/>
      <w:bookmarkStart w:id="127" w:name="_Toc87170237"/>
      <w:bookmarkStart w:id="128" w:name="_Ref94433803"/>
      <w:bookmarkStart w:id="129" w:name="_Ref94433835"/>
      <w:bookmarkStart w:id="130" w:name="_Ref94434421"/>
      <w:bookmarkStart w:id="131" w:name="_Toc128558608"/>
      <w:bookmarkStart w:id="132" w:name="_Toc129597695"/>
      <w:bookmarkStart w:id="133" w:name="_Toc130200145"/>
      <w:bookmarkStart w:id="134" w:name="_Toc130368726"/>
      <w:bookmarkStart w:id="135" w:name="_Toc130368856"/>
      <w:bookmarkStart w:id="136" w:name="_Toc130703364"/>
      <w:bookmarkStart w:id="137" w:name="_Toc382298063"/>
      <w:bookmarkStart w:id="138" w:name="_Toc443035828"/>
      <w:r>
        <w:t xml:space="preserve">Duration </w:t>
      </w:r>
      <w:bookmarkEnd w:id="127"/>
      <w:r>
        <w:t>of study participation</w:t>
      </w:r>
      <w:bookmarkEnd w:id="128"/>
      <w:bookmarkEnd w:id="129"/>
      <w:bookmarkEnd w:id="130"/>
      <w:bookmarkEnd w:id="131"/>
      <w:bookmarkEnd w:id="132"/>
      <w:bookmarkEnd w:id="133"/>
      <w:bookmarkEnd w:id="134"/>
      <w:bookmarkEnd w:id="135"/>
      <w:bookmarkEnd w:id="136"/>
      <w:bookmarkEnd w:id="137"/>
      <w:bookmarkEnd w:id="138"/>
    </w:p>
    <w:p w:rsidR="002F41EE" w:rsidRDefault="002F41EE">
      <w:pPr>
        <w:pStyle w:val="Heading3"/>
      </w:pPr>
      <w:bookmarkStart w:id="139" w:name="_Ref278899264"/>
      <w:bookmarkStart w:id="140" w:name="_Ref278899285"/>
      <w:bookmarkStart w:id="141" w:name="_Toc382298064"/>
      <w:bookmarkStart w:id="142" w:name="_Toc443035829"/>
      <w:r>
        <w:t>Duration of st</w:t>
      </w:r>
      <w:r>
        <w:t>udy p</w:t>
      </w:r>
      <w:r>
        <w:t>articipation for each patient</w:t>
      </w:r>
      <w:bookmarkEnd w:id="139"/>
      <w:bookmarkEnd w:id="140"/>
      <w:bookmarkEnd w:id="141"/>
      <w:bookmarkEnd w:id="142"/>
    </w:p>
    <w:p w:rsidR="00D75740" w:rsidRPr="00D75740" w:rsidRDefault="00D75740" w:rsidP="00D75740">
      <w:r w:rsidRPr="00D75740">
        <w:t xml:space="preserve">The maximum study duration per patient will be approximately 29 weeks as per description provided in </w:t>
      </w:r>
      <w:hyperlink w:anchor="_Ref442689158" w:history="1">
        <w:r w:rsidR="00C522CD" w:rsidRPr="00C522CD">
          <w:rPr>
            <w:rStyle w:val="Hyperlink"/>
            <w:u w:val="none"/>
          </w:rPr>
          <w:t>Section</w:t>
        </w:r>
      </w:hyperlink>
      <w:r w:rsidR="00C522CD">
        <w:t xml:space="preserve"> </w:t>
      </w:r>
      <w:r w:rsidR="00C522CD">
        <w:fldChar w:fldCharType="begin"/>
      </w:r>
      <w:r w:rsidR="00C522CD">
        <w:instrText xml:space="preserve"> REF _Ref442689158 \r \h </w:instrText>
      </w:r>
      <w:r w:rsidR="00C522CD">
        <w:fldChar w:fldCharType="separate"/>
      </w:r>
      <w:r w:rsidR="005A26F6">
        <w:t>6.1</w:t>
      </w:r>
      <w:r w:rsidR="00C522CD">
        <w:fldChar w:fldCharType="end"/>
      </w:r>
      <w:r w:rsidRPr="00D75740">
        <w:t>.</w:t>
      </w:r>
    </w:p>
    <w:p w:rsidR="002F41EE" w:rsidRDefault="002F41EE">
      <w:pPr>
        <w:pStyle w:val="Heading3"/>
      </w:pPr>
      <w:bookmarkStart w:id="143" w:name="_Toc382298065"/>
      <w:bookmarkStart w:id="144" w:name="_Toc443035830"/>
      <w:r>
        <w:lastRenderedPageBreak/>
        <w:t>Determination of end of clinical trial (all patients)</w:t>
      </w:r>
      <w:bookmarkEnd w:id="143"/>
      <w:bookmarkEnd w:id="144"/>
    </w:p>
    <w:p w:rsidR="00D75740" w:rsidRPr="00D75740" w:rsidRDefault="00D75740">
      <w:r w:rsidRPr="00D75740">
        <w:t xml:space="preserve">As present, the study has two Committees reviewing the appropriate patient data, </w:t>
      </w:r>
      <w:r w:rsidR="002A39AC">
        <w:t>allergic reaction assessment committee (</w:t>
      </w:r>
      <w:r w:rsidRPr="00D75740">
        <w:t>ARAC</w:t>
      </w:r>
      <w:r w:rsidR="002A39AC">
        <w:t>)</w:t>
      </w:r>
      <w:r w:rsidRPr="00D75740">
        <w:t xml:space="preserve"> and </w:t>
      </w:r>
      <w:r w:rsidR="002A39AC">
        <w:t>pancreatic safety assessment committee (</w:t>
      </w:r>
      <w:r w:rsidRPr="00D75740">
        <w:t>PSAC</w:t>
      </w:r>
      <w:r w:rsidR="002A39AC">
        <w:t>)</w:t>
      </w:r>
      <w:r w:rsidRPr="00D75740">
        <w:t xml:space="preserve"> (please refer to </w:t>
      </w:r>
      <w:hyperlink w:anchor="_Ref442689167" w:history="1">
        <w:r w:rsidR="00C522CD" w:rsidRPr="00C522CD">
          <w:rPr>
            <w:rStyle w:val="Hyperlink"/>
            <w:u w:val="none"/>
          </w:rPr>
          <w:t>Section</w:t>
        </w:r>
      </w:hyperlink>
      <w:r w:rsidR="00C522CD">
        <w:t xml:space="preserve"> </w:t>
      </w:r>
      <w:r w:rsidR="00C522CD">
        <w:fldChar w:fldCharType="begin"/>
      </w:r>
      <w:r w:rsidR="00C522CD">
        <w:instrText xml:space="preserve"> REF _Ref442689167 \r \h </w:instrText>
      </w:r>
      <w:r w:rsidR="00C522CD">
        <w:fldChar w:fldCharType="separate"/>
      </w:r>
      <w:r w:rsidR="005A26F6">
        <w:t>6.4</w:t>
      </w:r>
      <w:r w:rsidR="00C522CD">
        <w:fldChar w:fldCharType="end"/>
      </w:r>
      <w:r w:rsidRPr="00D75740">
        <w:t>). The end of the study is defined as Data Base Lock (DBL) instead of the usual “last patient last visit” as some delay in data integration into the data base after the “last patient last visit” might be anticipated due to the Committees’ reviews.</w:t>
      </w:r>
    </w:p>
    <w:p w:rsidR="002F41EE" w:rsidRPr="00EA179B" w:rsidRDefault="002F41EE">
      <w:pPr>
        <w:pStyle w:val="Heading2"/>
      </w:pPr>
      <w:bookmarkStart w:id="145" w:name="_Toc382298066"/>
      <w:bookmarkStart w:id="146" w:name="_Toc443035831"/>
      <w:r w:rsidRPr="00EA179B">
        <w:t>Interim analysis</w:t>
      </w:r>
      <w:bookmarkEnd w:id="145"/>
      <w:bookmarkEnd w:id="146"/>
    </w:p>
    <w:p w:rsidR="00796380" w:rsidRPr="00796380" w:rsidRDefault="00D75740" w:rsidP="00EB7462">
      <w:r>
        <w:t>No interim analysis is planned for this study.</w:t>
      </w:r>
    </w:p>
    <w:p w:rsidR="002F41EE" w:rsidRPr="00D75740" w:rsidRDefault="002F41EE">
      <w:pPr>
        <w:pStyle w:val="Heading2"/>
      </w:pPr>
      <w:bookmarkStart w:id="147" w:name="_Toc89161709"/>
      <w:bookmarkStart w:id="148" w:name="_Toc128558610"/>
      <w:bookmarkStart w:id="149" w:name="_Toc129597697"/>
      <w:bookmarkStart w:id="150" w:name="_Toc130200147"/>
      <w:bookmarkStart w:id="151" w:name="_Toc130368728"/>
      <w:bookmarkStart w:id="152" w:name="_Toc130368858"/>
      <w:bookmarkStart w:id="153" w:name="_Toc130703366"/>
      <w:bookmarkStart w:id="154" w:name="_Ref278877383"/>
      <w:bookmarkStart w:id="155" w:name="_Ref278898997"/>
      <w:bookmarkStart w:id="156" w:name="_Toc382298067"/>
      <w:bookmarkStart w:id="157" w:name="_Ref434491864"/>
      <w:bookmarkStart w:id="158" w:name="_Ref434492585"/>
      <w:bookmarkStart w:id="159" w:name="_Ref442689167"/>
      <w:bookmarkStart w:id="160" w:name="_Ref442689321"/>
      <w:bookmarkStart w:id="161" w:name="_Toc443035832"/>
      <w:r w:rsidRPr="00D75740">
        <w:t>Study committees</w:t>
      </w:r>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rsidR="00D75740" w:rsidRDefault="00D75740" w:rsidP="00D75740">
      <w:pPr>
        <w:pStyle w:val="Heading3"/>
      </w:pPr>
      <w:bookmarkStart w:id="162" w:name="_Toc443035833"/>
      <w:r>
        <w:t>Steering Committee</w:t>
      </w:r>
      <w:bookmarkEnd w:id="162"/>
    </w:p>
    <w:p w:rsidR="00D75740" w:rsidRDefault="00D75740" w:rsidP="00D75740">
      <w:r w:rsidRPr="00D75740">
        <w:t>The Steering Committee is composed of scientists with clinical and methodological expertise in diabetes and conduct of clinical trials. This Committee, led by a Chairman, is responsible for producing and conducting a scientifically sound study and for ensuring accurate reporting of the study. In that capacity, the S</w:t>
      </w:r>
      <w:r w:rsidR="00DF45EE">
        <w:t xml:space="preserve">teering </w:t>
      </w:r>
      <w:r w:rsidRPr="00D75740">
        <w:t>C</w:t>
      </w:r>
      <w:r w:rsidR="00DF45EE">
        <w:t>ommittee</w:t>
      </w:r>
      <w:r w:rsidRPr="00D75740">
        <w:t xml:space="preserve"> must address scientific issues encountered during the study. A detailed charter describes the S</w:t>
      </w:r>
      <w:r w:rsidR="00DF45EE">
        <w:t xml:space="preserve">teering </w:t>
      </w:r>
      <w:r w:rsidRPr="00D75740">
        <w:t>C</w:t>
      </w:r>
      <w:r w:rsidR="00DF45EE">
        <w:t>ommittee</w:t>
      </w:r>
      <w:r w:rsidRPr="00D75740">
        <w:t xml:space="preserve"> procedures.</w:t>
      </w:r>
    </w:p>
    <w:p w:rsidR="00D75740" w:rsidRDefault="00D75740" w:rsidP="00D75740">
      <w:pPr>
        <w:pStyle w:val="Heading3"/>
      </w:pPr>
      <w:bookmarkStart w:id="163" w:name="_Ref434264602"/>
      <w:bookmarkStart w:id="164" w:name="_Toc443035834"/>
      <w:r>
        <w:t>Allergic Reaction Assessment Committee (ARAC)</w:t>
      </w:r>
      <w:bookmarkEnd w:id="163"/>
      <w:bookmarkEnd w:id="164"/>
    </w:p>
    <w:p w:rsidR="00D75740" w:rsidRDefault="00D75740" w:rsidP="00D75740">
      <w:r w:rsidRPr="00D75740">
        <w:t>Since lixisenatide, liraglutide</w:t>
      </w:r>
      <w:r w:rsidR="000528E2">
        <w:t>,</w:t>
      </w:r>
      <w:r w:rsidRPr="00D75740">
        <w:t xml:space="preserve"> exenatide</w:t>
      </w:r>
      <w:r w:rsidR="000528E2">
        <w:t xml:space="preserve">, </w:t>
      </w:r>
      <w:r w:rsidR="000528E2" w:rsidRPr="00295496">
        <w:t>albiglutide, and dulaglutide</w:t>
      </w:r>
      <w:r w:rsidRPr="00D75740">
        <w:t xml:space="preserve"> are peptides that may potentially generate allergic reactions; an Allergic Reaction Assessment Committee (</w:t>
      </w:r>
      <w:r w:rsidRPr="00DF45EE">
        <w:t>ARAC</w:t>
      </w:r>
      <w:r w:rsidRPr="00D75740">
        <w:t>) has been set up. The ARAC is a committee of experts in the field of allergy, independent from the Sponsor and the Investigators, implemented to assess allergic reactions or allergic-like reactions that may occur during the study. The mission of the ARAC will be to adjudicate, in a timely manner, all allergic, or possible allergic events. The ARAC will review the reported cases in a blinded manner, and based on the information reported by the Investigator, confirm whether or not the event is allergic in nature. A detailed charter describes the ARAC procedures.</w:t>
      </w:r>
    </w:p>
    <w:p w:rsidR="000528E2" w:rsidRDefault="000528E2" w:rsidP="000528E2">
      <w:pPr>
        <w:pStyle w:val="Heading3"/>
      </w:pPr>
      <w:bookmarkStart w:id="165" w:name="_Toc443035835"/>
      <w:r>
        <w:t>Pancreatic Safety Assessment Committee (PSAC)</w:t>
      </w:r>
      <w:bookmarkEnd w:id="165"/>
    </w:p>
    <w:p w:rsidR="000528E2" w:rsidRPr="000528E2" w:rsidRDefault="000528E2" w:rsidP="000528E2">
      <w:r w:rsidRPr="000528E2">
        <w:t xml:space="preserve">Potential safety signals for acute pancreatitis have been identified in the post-marketing experience with other GLP-1 receptor agonists. Specific monitoring for pancreatic events is planned in this study (see </w:t>
      </w:r>
      <w:hyperlink w:anchor="_Ref434491927" w:history="1">
        <w:r w:rsidR="00C522CD" w:rsidRPr="00C522CD">
          <w:rPr>
            <w:rStyle w:val="Hyperlink"/>
            <w:u w:val="none"/>
          </w:rPr>
          <w:t>Section</w:t>
        </w:r>
      </w:hyperlink>
      <w:r w:rsidR="00C522CD">
        <w:t xml:space="preserve"> </w:t>
      </w:r>
      <w:r w:rsidR="00C522CD">
        <w:fldChar w:fldCharType="begin"/>
      </w:r>
      <w:r w:rsidR="00C522CD">
        <w:instrText xml:space="preserve"> REF _Ref434491927 \r \h </w:instrText>
      </w:r>
      <w:r w:rsidR="00C522CD">
        <w:fldChar w:fldCharType="separate"/>
      </w:r>
      <w:r w:rsidR="005A26F6">
        <w:t>10.6.4</w:t>
      </w:r>
      <w:r w:rsidR="00C522CD">
        <w:fldChar w:fldCharType="end"/>
      </w:r>
      <w:r w:rsidRPr="000528E2">
        <w:t>) and a Pancreatic Safety Assessment Committee (</w:t>
      </w:r>
      <w:r w:rsidRPr="00DF45EE">
        <w:t>PSAC</w:t>
      </w:r>
      <w:r w:rsidRPr="000528E2">
        <w:t>) has been set up. This is a committee of experts in the field of pancreatitis and pancreatic neoplasm, independent from the Sponsor and the Investigators, implemented to assess pancreatic events that may occur during the study. The PSAC will review selected pancreatic events, including pancreatitis, pancreatic neoplasms and abnormal levels of amylase or lipase. This review will be conducted in a blinded manner with regard to study treatment. A detailed charter describes the PSAC procedures</w:t>
      </w:r>
      <w:r w:rsidR="00A12B68">
        <w:t>.</w:t>
      </w:r>
    </w:p>
    <w:p w:rsidR="002F41EE" w:rsidRDefault="002F41EE">
      <w:pPr>
        <w:pStyle w:val="Heading1"/>
      </w:pPr>
      <w:bookmarkStart w:id="166" w:name="_Toc89161710"/>
      <w:bookmarkStart w:id="167" w:name="_Toc128558611"/>
      <w:bookmarkStart w:id="168" w:name="_Toc129597698"/>
      <w:bookmarkStart w:id="169" w:name="_Toc130200148"/>
      <w:bookmarkStart w:id="170" w:name="_Toc130368729"/>
      <w:bookmarkStart w:id="171" w:name="_Toc130368859"/>
      <w:bookmarkStart w:id="172" w:name="_Toc130703367"/>
      <w:bookmarkStart w:id="173" w:name="_Ref278898689"/>
      <w:bookmarkStart w:id="174" w:name="_Toc382298069"/>
      <w:bookmarkStart w:id="175" w:name="_Ref433977604"/>
      <w:bookmarkStart w:id="176" w:name="_Ref442278074"/>
      <w:bookmarkStart w:id="177" w:name="_Ref442689630"/>
      <w:bookmarkStart w:id="178" w:name="_Toc443035836"/>
      <w:r>
        <w:lastRenderedPageBreak/>
        <w:t>Selection of patients</w:t>
      </w:r>
      <w:bookmarkEnd w:id="166"/>
      <w:bookmarkEnd w:id="167"/>
      <w:bookmarkEnd w:id="168"/>
      <w:bookmarkEnd w:id="169"/>
      <w:bookmarkEnd w:id="170"/>
      <w:bookmarkEnd w:id="171"/>
      <w:bookmarkEnd w:id="172"/>
      <w:bookmarkEnd w:id="173"/>
      <w:bookmarkEnd w:id="174"/>
      <w:bookmarkEnd w:id="175"/>
      <w:bookmarkEnd w:id="176"/>
      <w:bookmarkEnd w:id="177"/>
      <w:bookmarkEnd w:id="178"/>
    </w:p>
    <w:p w:rsidR="002F41EE" w:rsidRDefault="002F41EE">
      <w:pPr>
        <w:pStyle w:val="Heading2"/>
      </w:pPr>
      <w:bookmarkStart w:id="179" w:name="_Toc230747429"/>
      <w:bookmarkStart w:id="180" w:name="_Toc230747604"/>
      <w:bookmarkStart w:id="181" w:name="_Toc230748336"/>
      <w:bookmarkStart w:id="182" w:name="_Toc230750350"/>
      <w:bookmarkStart w:id="183" w:name="_Toc303108989"/>
      <w:bookmarkStart w:id="184" w:name="_Toc303108990"/>
      <w:bookmarkStart w:id="185" w:name="_Toc303108991"/>
      <w:bookmarkStart w:id="186" w:name="_Toc303108992"/>
      <w:bookmarkStart w:id="187" w:name="_Toc303108993"/>
      <w:bookmarkStart w:id="188" w:name="_Toc303108994"/>
      <w:bookmarkStart w:id="189" w:name="_Toc303108995"/>
      <w:bookmarkStart w:id="190" w:name="_Toc303108997"/>
      <w:bookmarkStart w:id="191" w:name="_Toc284334922"/>
      <w:bookmarkStart w:id="192" w:name="_Toc284348235"/>
      <w:bookmarkStart w:id="193" w:name="_Toc302136304"/>
      <w:bookmarkStart w:id="194" w:name="_Toc302371060"/>
      <w:bookmarkStart w:id="195" w:name="_Toc230747431"/>
      <w:bookmarkStart w:id="196" w:name="_Toc230747606"/>
      <w:bookmarkStart w:id="197" w:name="_Toc230748338"/>
      <w:bookmarkStart w:id="198" w:name="_Toc230750352"/>
      <w:bookmarkStart w:id="199" w:name="_Toc89161712"/>
      <w:bookmarkStart w:id="200" w:name="_Toc128558613"/>
      <w:bookmarkStart w:id="201" w:name="_Toc129597700"/>
      <w:bookmarkStart w:id="202" w:name="_Ref130196650"/>
      <w:bookmarkStart w:id="203" w:name="_Ref130196654"/>
      <w:bookmarkStart w:id="204" w:name="_Toc130200150"/>
      <w:bookmarkStart w:id="205" w:name="_Toc130368731"/>
      <w:bookmarkStart w:id="206" w:name="_Toc130368861"/>
      <w:bookmarkStart w:id="207" w:name="_Toc130703369"/>
      <w:bookmarkStart w:id="208" w:name="_Ref233625017"/>
      <w:bookmarkStart w:id="209" w:name="_Toc382298070"/>
      <w:bookmarkStart w:id="210" w:name="_Ref433977045"/>
      <w:bookmarkStart w:id="211" w:name="_Ref434492017"/>
      <w:bookmarkStart w:id="212" w:name="_Ref434493909"/>
      <w:bookmarkStart w:id="213" w:name="_Ref442277998"/>
      <w:bookmarkStart w:id="214" w:name="_Ref442278989"/>
      <w:bookmarkStart w:id="215" w:name="_Ref442689195"/>
      <w:bookmarkStart w:id="216" w:name="_Ref442689601"/>
      <w:bookmarkStart w:id="217" w:name="_Ref442689934"/>
      <w:bookmarkStart w:id="218" w:name="_Toc443035837"/>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r>
        <w:t>Inclusion criteria</w:t>
      </w:r>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rsidR="009F47A1" w:rsidRDefault="009F47A1" w:rsidP="009F47A1">
      <w:pPr>
        <w:pStyle w:val="NumberListInclusion"/>
      </w:pPr>
      <w:r w:rsidRPr="009F47A1">
        <w:t xml:space="preserve">Patients with type 2 diabetes mellitus diagnosed at least one year prior to screening visit; </w:t>
      </w:r>
    </w:p>
    <w:p w:rsidR="009F47A1" w:rsidRPr="009F47A1" w:rsidRDefault="009F47A1" w:rsidP="009F47A1">
      <w:pPr>
        <w:pStyle w:val="NumberListInclusion"/>
      </w:pPr>
      <w:r w:rsidRPr="009F47A1">
        <w:t xml:space="preserve">Patients who have been treated with </w:t>
      </w:r>
      <w:r w:rsidRPr="00295496">
        <w:t>one of the following</w:t>
      </w:r>
      <w:r w:rsidRPr="009F47A1">
        <w:t xml:space="preserve"> GLP-1 receptor agonist</w:t>
      </w:r>
      <w:r w:rsidRPr="00295496">
        <w:t>s</w:t>
      </w:r>
      <w:r w:rsidRPr="009F47A1">
        <w:t xml:space="preserve"> for at least 4 months prior to screening visit (V1), and with stable dose for at least 3 months prior to screening visit (V1):  </w:t>
      </w:r>
    </w:p>
    <w:p w:rsidR="009F47A1" w:rsidRPr="009F47A1" w:rsidRDefault="009F47A1" w:rsidP="00CC67B4">
      <w:pPr>
        <w:pStyle w:val="ListBulletLevel2"/>
        <w:numPr>
          <w:ilvl w:val="0"/>
          <w:numId w:val="49"/>
        </w:numPr>
      </w:pPr>
      <w:r w:rsidRPr="009F47A1">
        <w:t>Liraglutide (Victoza®) 1.8 mg QD or 1.2 mg QD, if 1.8 mg QD is not well tolerated according to Investigator's judgment;</w:t>
      </w:r>
    </w:p>
    <w:p w:rsidR="009F47A1" w:rsidRPr="009F47A1" w:rsidRDefault="009F47A1" w:rsidP="00CC67B4">
      <w:pPr>
        <w:pStyle w:val="ListBulletLevel2"/>
        <w:numPr>
          <w:ilvl w:val="0"/>
          <w:numId w:val="49"/>
        </w:numPr>
      </w:pPr>
      <w:r w:rsidRPr="009F47A1">
        <w:t>or Exenatide BID (Byetta®) 10 µg BID or of 5 µg BID, if 10 µg BID is not well tolerated according to Investigator's judgment;</w:t>
      </w:r>
    </w:p>
    <w:p w:rsidR="009F47A1" w:rsidRDefault="009F47A1" w:rsidP="009F47A1">
      <w:pPr>
        <w:pStyle w:val="NumberListInclusion"/>
        <w:numPr>
          <w:ilvl w:val="0"/>
          <w:numId w:val="0"/>
        </w:numPr>
        <w:ind w:left="691"/>
      </w:pPr>
      <w:r w:rsidRPr="009F47A1">
        <w:t xml:space="preserve">in combination with metformin (daily dose </w:t>
      </w:r>
      <w:r>
        <w:t>≥</w:t>
      </w:r>
      <w:r w:rsidRPr="009F47A1">
        <w:t>1500 m</w:t>
      </w:r>
      <w:r>
        <w:t>g/day or Maximum Tolerated Dos</w:t>
      </w:r>
      <w:r w:rsidR="006D43AD">
        <w:t>e [</w:t>
      </w:r>
      <w:r w:rsidRPr="009F47A1">
        <w:t>MTD</w:t>
      </w:r>
      <w:r w:rsidR="006D43AD">
        <w:t>]</w:t>
      </w:r>
      <w:r w:rsidRPr="009F47A1">
        <w:t>), with or without pioglitazone, both at stable dose for at least 3 months prior to screening;</w:t>
      </w:r>
    </w:p>
    <w:p w:rsidR="003B5170" w:rsidRPr="00295496" w:rsidRDefault="003B5170" w:rsidP="009F47A1">
      <w:pPr>
        <w:pStyle w:val="NumberListInclusion"/>
        <w:numPr>
          <w:ilvl w:val="0"/>
          <w:numId w:val="0"/>
        </w:numPr>
        <w:ind w:left="691"/>
      </w:pPr>
      <w:r w:rsidRPr="00295496">
        <w:t>or</w:t>
      </w:r>
    </w:p>
    <w:p w:rsidR="009F47A1" w:rsidRPr="00295496" w:rsidRDefault="009F47A1" w:rsidP="003B5170">
      <w:pPr>
        <w:pStyle w:val="NumberListInclusion"/>
        <w:numPr>
          <w:ilvl w:val="0"/>
          <w:numId w:val="0"/>
        </w:numPr>
        <w:ind w:left="691"/>
      </w:pPr>
      <w:r w:rsidRPr="00295496">
        <w:t>Patients who have been treated with stable dose of one of the following GLP-1 receptor agonists for at least 6 months prior to screening visit (V1):</w:t>
      </w:r>
    </w:p>
    <w:p w:rsidR="009F47A1" w:rsidRPr="00295496" w:rsidRDefault="009F47A1" w:rsidP="00CC67B4">
      <w:pPr>
        <w:pStyle w:val="ListBulletLevel2"/>
        <w:numPr>
          <w:ilvl w:val="0"/>
          <w:numId w:val="50"/>
        </w:numPr>
      </w:pPr>
      <w:r w:rsidRPr="00295496">
        <w:t>Exenatide extended-release (Bydureon®) 2 mg once weekly (QW), if well tolerated according to Investigator's judgment</w:t>
      </w:r>
    </w:p>
    <w:p w:rsidR="009F47A1" w:rsidRPr="00295496" w:rsidRDefault="009F47A1" w:rsidP="00CC67B4">
      <w:pPr>
        <w:pStyle w:val="ListBulletLevel2"/>
        <w:numPr>
          <w:ilvl w:val="0"/>
          <w:numId w:val="50"/>
        </w:numPr>
      </w:pPr>
      <w:r w:rsidRPr="00295496">
        <w:t>Albiglutide (Tanzeum®, Eperzan®) 50 mg QW or 30 mg QW, if 50 mg QW is not well tolerated according to Investigator's judgment</w:t>
      </w:r>
    </w:p>
    <w:p w:rsidR="009F47A1" w:rsidRPr="00295496" w:rsidRDefault="009F47A1" w:rsidP="00CC67B4">
      <w:pPr>
        <w:pStyle w:val="ListBulletLevel2"/>
        <w:numPr>
          <w:ilvl w:val="0"/>
          <w:numId w:val="50"/>
        </w:numPr>
      </w:pPr>
      <w:r w:rsidRPr="00295496">
        <w:t>Dulaglutide (Trulicity®) 1.5 mg QW or 0.75 mg QW, if 1.5 mg QW is not well tolerated according to Investigator's judgment</w:t>
      </w:r>
    </w:p>
    <w:p w:rsidR="002F41EE" w:rsidRPr="009F47A1" w:rsidRDefault="009F47A1" w:rsidP="009F47A1">
      <w:pPr>
        <w:pStyle w:val="NumberListInclusion"/>
        <w:numPr>
          <w:ilvl w:val="0"/>
          <w:numId w:val="0"/>
        </w:numPr>
        <w:ind w:left="691"/>
        <w:rPr>
          <w:color w:val="FF00FF"/>
        </w:rPr>
      </w:pPr>
      <w:r w:rsidRPr="00295496">
        <w:t>in combination with metformin (daily dose ≥1500 mg/day or MTD), with or without pioglitazone, both at stable dose for at least 3 months prior to screening;</w:t>
      </w:r>
    </w:p>
    <w:p w:rsidR="002F41EE" w:rsidRDefault="002F41EE">
      <w:pPr>
        <w:pStyle w:val="NumberListInclusion"/>
      </w:pPr>
      <w:r>
        <w:t>Signed written informed consent</w:t>
      </w:r>
    </w:p>
    <w:p w:rsidR="002F41EE" w:rsidRDefault="002F41EE">
      <w:pPr>
        <w:pStyle w:val="Heading2"/>
      </w:pPr>
      <w:bookmarkStart w:id="219" w:name="_Toc89161713"/>
      <w:bookmarkStart w:id="220" w:name="_Toc128558614"/>
      <w:bookmarkStart w:id="221" w:name="_Toc129597701"/>
      <w:bookmarkStart w:id="222" w:name="_Ref130196668"/>
      <w:bookmarkStart w:id="223" w:name="_Toc130200151"/>
      <w:bookmarkStart w:id="224" w:name="_Toc130368732"/>
      <w:bookmarkStart w:id="225" w:name="_Toc130368862"/>
      <w:bookmarkStart w:id="226" w:name="_Toc130703370"/>
      <w:bookmarkStart w:id="227" w:name="_Toc382298071"/>
      <w:bookmarkStart w:id="228" w:name="_Ref434493918"/>
      <w:bookmarkStart w:id="229" w:name="_Ref442279008"/>
      <w:bookmarkStart w:id="230" w:name="_Ref442689944"/>
      <w:bookmarkStart w:id="231" w:name="_Toc443035838"/>
      <w:r>
        <w:t>Exclusion criteria</w:t>
      </w:r>
      <w:bookmarkEnd w:id="219"/>
      <w:bookmarkEnd w:id="220"/>
      <w:bookmarkEnd w:id="221"/>
      <w:bookmarkEnd w:id="222"/>
      <w:bookmarkEnd w:id="223"/>
      <w:bookmarkEnd w:id="224"/>
      <w:bookmarkEnd w:id="225"/>
      <w:bookmarkEnd w:id="226"/>
      <w:bookmarkEnd w:id="227"/>
      <w:bookmarkEnd w:id="228"/>
      <w:bookmarkEnd w:id="229"/>
      <w:bookmarkEnd w:id="230"/>
      <w:bookmarkEnd w:id="231"/>
    </w:p>
    <w:p w:rsidR="002F41EE" w:rsidRDefault="002F41EE">
      <w:r>
        <w:t xml:space="preserve">Patients who have met </w:t>
      </w:r>
      <w:r w:rsidRPr="003B5170">
        <w:t>all the above</w:t>
      </w:r>
      <w:r>
        <w:t xml:space="preserve"> inclusion criteria listed in </w:t>
      </w:r>
      <w:hyperlink w:anchor="_Ref442689195" w:history="1">
        <w:r w:rsidR="00C522CD" w:rsidRPr="00C522CD">
          <w:rPr>
            <w:rStyle w:val="Hyperlink"/>
            <w:u w:val="none"/>
          </w:rPr>
          <w:t>Section</w:t>
        </w:r>
      </w:hyperlink>
      <w:r w:rsidR="00C522CD">
        <w:t xml:space="preserve"> </w:t>
      </w:r>
      <w:r w:rsidR="00C522CD">
        <w:fldChar w:fldCharType="begin"/>
      </w:r>
      <w:r w:rsidR="00C522CD">
        <w:instrText xml:space="preserve"> REF _Ref442689195 \r \h </w:instrText>
      </w:r>
      <w:r w:rsidR="00C522CD">
        <w:fldChar w:fldCharType="separate"/>
      </w:r>
      <w:r w:rsidR="005A26F6">
        <w:t>7.1</w:t>
      </w:r>
      <w:r w:rsidR="00C522CD">
        <w:fldChar w:fldCharType="end"/>
      </w:r>
      <w:r>
        <w:t xml:space="preserve"> will be screened for the following exclusion criteria which are sorted and numbered in the following </w:t>
      </w:r>
      <w:r w:rsidR="00F72F23">
        <w:t xml:space="preserve">4 </w:t>
      </w:r>
      <w:r>
        <w:t>subsections</w:t>
      </w:r>
      <w:r w:rsidR="00237A55">
        <w:t>.</w:t>
      </w:r>
      <w:r w:rsidR="001668C3">
        <w:t xml:space="preserve"> </w:t>
      </w:r>
    </w:p>
    <w:p w:rsidR="002F41EE" w:rsidRDefault="002F41EE">
      <w:pPr>
        <w:pStyle w:val="Heading3"/>
      </w:pPr>
      <w:bookmarkStart w:id="232" w:name="_Toc230747434"/>
      <w:bookmarkStart w:id="233" w:name="_Toc230747609"/>
      <w:bookmarkStart w:id="234" w:name="_Toc230748341"/>
      <w:bookmarkStart w:id="235" w:name="_Toc230750355"/>
      <w:bookmarkStart w:id="236" w:name="_Toc382298072"/>
      <w:bookmarkStart w:id="237" w:name="_Toc443035839"/>
      <w:bookmarkEnd w:id="232"/>
      <w:bookmarkEnd w:id="233"/>
      <w:bookmarkEnd w:id="234"/>
      <w:bookmarkEnd w:id="235"/>
      <w:r>
        <w:t>Exclusion criteria related to study methodology</w:t>
      </w:r>
      <w:bookmarkEnd w:id="236"/>
      <w:bookmarkEnd w:id="237"/>
    </w:p>
    <w:p w:rsidR="0012165D" w:rsidRPr="0012165D" w:rsidRDefault="0012165D" w:rsidP="0012165D">
      <w:pPr>
        <w:pStyle w:val="NumberListExclusion"/>
      </w:pPr>
      <w:r w:rsidRPr="0012165D">
        <w:t>At screening visit, age under legal age of adulthood;</w:t>
      </w:r>
    </w:p>
    <w:p w:rsidR="0012165D" w:rsidRPr="0012165D" w:rsidRDefault="0012165D" w:rsidP="0012165D">
      <w:pPr>
        <w:pStyle w:val="NumberListExclusion"/>
      </w:pPr>
      <w:r w:rsidRPr="0012165D">
        <w:lastRenderedPageBreak/>
        <w:t>At screening visit, HbA</w:t>
      </w:r>
      <w:r w:rsidRPr="00950DEA">
        <w:rPr>
          <w:vertAlign w:val="subscript"/>
        </w:rPr>
        <w:t>1c</w:t>
      </w:r>
      <w:r w:rsidRPr="0012165D">
        <w:t xml:space="preserve"> &lt;7% (53 mmol/mol) and &gt;9% (75 mmol/mol);</w:t>
      </w:r>
    </w:p>
    <w:p w:rsidR="0012165D" w:rsidRPr="0012165D" w:rsidRDefault="0012165D" w:rsidP="0012165D">
      <w:pPr>
        <w:pStyle w:val="NumberListExclusion"/>
      </w:pPr>
      <w:r w:rsidRPr="0012165D">
        <w:t>At screening visit, Body Mass Index (BMI) ≤20 or &gt;40 kg/m²;</w:t>
      </w:r>
    </w:p>
    <w:p w:rsidR="0012165D" w:rsidRPr="0012165D" w:rsidRDefault="0012165D" w:rsidP="0012165D">
      <w:pPr>
        <w:pStyle w:val="NumberListExclusion"/>
      </w:pPr>
      <w:r w:rsidRPr="0012165D">
        <w:t xml:space="preserve">History of hypoglycemia unawareness; </w:t>
      </w:r>
    </w:p>
    <w:p w:rsidR="0012165D" w:rsidRPr="0012165D" w:rsidRDefault="0012165D" w:rsidP="0012165D">
      <w:pPr>
        <w:pStyle w:val="NumberListExclusion"/>
      </w:pPr>
      <w:r w:rsidRPr="0012165D">
        <w:t>History of metabolic acidosis, including diabetic ketoacidosis within 1 year prior to screening visit;</w:t>
      </w:r>
    </w:p>
    <w:p w:rsidR="0012165D" w:rsidRPr="0012165D" w:rsidRDefault="0012165D" w:rsidP="0012165D">
      <w:pPr>
        <w:pStyle w:val="NumberListExclusion"/>
      </w:pPr>
      <w:r w:rsidRPr="0012165D">
        <w:t>Any use of oral anti-diabetic drugs (OADs) within 3 months prior to screening visit (V1) other than those described in I 0</w:t>
      </w:r>
      <w:r w:rsidR="000D5B73">
        <w:t>2</w:t>
      </w:r>
      <w:r w:rsidRPr="0012165D">
        <w:t xml:space="preserve">; </w:t>
      </w:r>
    </w:p>
    <w:p w:rsidR="0012165D" w:rsidRPr="0012165D" w:rsidRDefault="0012165D" w:rsidP="0012165D">
      <w:pPr>
        <w:pStyle w:val="NumberListExclusion"/>
      </w:pPr>
      <w:r w:rsidRPr="0012165D">
        <w:t>Previous treatment with insulin in the year prior to screening visit (V1) (note: short term treatment with insulin (≤10 days) due to intercurrent illness including gestational diabetes is allowed at the discretion of the study physician);</w:t>
      </w:r>
    </w:p>
    <w:p w:rsidR="0012165D" w:rsidRPr="0012165D" w:rsidRDefault="0012165D" w:rsidP="0012165D">
      <w:pPr>
        <w:pStyle w:val="NumberListExclusion"/>
      </w:pPr>
      <w:r w:rsidRPr="0012165D">
        <w:t>Use of systemic glucocorticoids (excluding topical and inhaled forms) for a total duration of 10 days or more within 3 months prior to screening visit;</w:t>
      </w:r>
    </w:p>
    <w:p w:rsidR="0012165D" w:rsidRPr="0012165D" w:rsidRDefault="0012165D" w:rsidP="0012165D">
      <w:pPr>
        <w:pStyle w:val="NumberListExclusion"/>
      </w:pPr>
      <w:r w:rsidRPr="0012165D">
        <w:t xml:space="preserve">Use of weight loss drugs within 3 months prior to screening visit; or any history of bariatric surgery; </w:t>
      </w:r>
    </w:p>
    <w:p w:rsidR="0012165D" w:rsidRPr="0012165D" w:rsidRDefault="0012165D" w:rsidP="0012165D">
      <w:pPr>
        <w:pStyle w:val="NumberListExclusion"/>
      </w:pPr>
      <w:r w:rsidRPr="0012165D">
        <w:t xml:space="preserve">Use of any investigational drug within 1 month or 5 half-lives, whichever is longer, prior to screening visit; </w:t>
      </w:r>
    </w:p>
    <w:p w:rsidR="0012165D" w:rsidRPr="0012165D" w:rsidRDefault="0012165D" w:rsidP="0012165D">
      <w:pPr>
        <w:pStyle w:val="NumberListExclusion"/>
      </w:pPr>
      <w:r w:rsidRPr="0012165D">
        <w:t xml:space="preserve">Personal or immediate family history of medullary thyroid cancer (MTC) or genetic conditions that predispose to MTC (eg, multiple endocrine neoplasia type 2 syndromes); </w:t>
      </w:r>
    </w:p>
    <w:p w:rsidR="0012165D" w:rsidRPr="0012165D" w:rsidRDefault="0012165D" w:rsidP="0012165D">
      <w:pPr>
        <w:pStyle w:val="NumberListExclusion"/>
      </w:pPr>
      <w:r w:rsidRPr="0012165D">
        <w:t xml:space="preserve">Within the last 6 months prior to screening visit: history of stroke, myocardial infarction, unstable angina, or heart failure requiring hospitalization; </w:t>
      </w:r>
    </w:p>
    <w:p w:rsidR="0012165D" w:rsidRPr="0012165D" w:rsidRDefault="0012165D" w:rsidP="0012165D">
      <w:pPr>
        <w:pStyle w:val="NumberListExclusion"/>
      </w:pPr>
      <w:r w:rsidRPr="0012165D">
        <w:t xml:space="preserve">Planned coronary, carotid or peripheral artery revascularization procedures to be performed during the study period; </w:t>
      </w:r>
    </w:p>
    <w:p w:rsidR="0012165D" w:rsidRPr="0012165D" w:rsidRDefault="0012165D" w:rsidP="0012165D">
      <w:pPr>
        <w:pStyle w:val="NumberListExclusion"/>
      </w:pPr>
      <w:r w:rsidRPr="0012165D">
        <w:t xml:space="preserve">Known history of drug or alcohol abuse within 6 months prior to the time of screening visit; </w:t>
      </w:r>
    </w:p>
    <w:p w:rsidR="0012165D" w:rsidRPr="0012165D" w:rsidRDefault="0012165D" w:rsidP="0012165D">
      <w:pPr>
        <w:pStyle w:val="NumberListExclusion"/>
      </w:pPr>
      <w:r w:rsidRPr="0012165D">
        <w:t>Uncontrolled or inadequately controlled hypertension (systolic blood pressure &gt;180 mmHg or diastolic blood pressure &gt;95 mmHg) at screening visit (V1);</w:t>
      </w:r>
    </w:p>
    <w:p w:rsidR="0012165D" w:rsidRPr="0012165D" w:rsidRDefault="0012165D" w:rsidP="0012165D">
      <w:pPr>
        <w:pStyle w:val="NumberListExclusion"/>
      </w:pPr>
      <w:r w:rsidRPr="0012165D">
        <w:t>Conditions/situations such as:</w:t>
      </w:r>
    </w:p>
    <w:p w:rsidR="0012165D" w:rsidRPr="0012165D" w:rsidRDefault="0012165D" w:rsidP="00CC67B4">
      <w:pPr>
        <w:pStyle w:val="ListBulletLevel1"/>
        <w:numPr>
          <w:ilvl w:val="0"/>
          <w:numId w:val="51"/>
        </w:numPr>
      </w:pPr>
      <w:r w:rsidRPr="0012165D">
        <w:t>Patients with conditions/concomitant diseases making them non evaluable for the primary efficacy endpoint (eg, hemoglobinopathy or hemolytic anemia, receipt of blood or plasma products within the last 3 months prior to the screening visit);</w:t>
      </w:r>
    </w:p>
    <w:p w:rsidR="0012165D" w:rsidRPr="0012165D" w:rsidRDefault="0012165D" w:rsidP="00CC67B4">
      <w:pPr>
        <w:pStyle w:val="ListBulletLevel1"/>
        <w:numPr>
          <w:ilvl w:val="0"/>
          <w:numId w:val="51"/>
        </w:numPr>
      </w:pPr>
      <w:r w:rsidRPr="0012165D">
        <w:t xml:space="preserve">Patients with conditions/concomitant diseases precluding their safe participation in this study (eg, malignant tumor within 5 years prior to screening visit (V1), major systemic </w:t>
      </w:r>
      <w:r w:rsidRPr="0012165D">
        <w:lastRenderedPageBreak/>
        <w:t>diseases, presence of clinically significant diabetic retinopathy or presence of macular edema likely to require tr</w:t>
      </w:r>
      <w:r w:rsidR="00E37F9A">
        <w:t>eatment within the study period</w:t>
      </w:r>
      <w:r w:rsidRPr="0012165D">
        <w:t>);</w:t>
      </w:r>
    </w:p>
    <w:p w:rsidR="0012165D" w:rsidRPr="0012165D" w:rsidRDefault="0012165D" w:rsidP="00CC67B4">
      <w:pPr>
        <w:pStyle w:val="ListBulletLevel1"/>
        <w:numPr>
          <w:ilvl w:val="0"/>
          <w:numId w:val="51"/>
        </w:numPr>
      </w:pPr>
      <w:r w:rsidRPr="0012165D">
        <w:t>Impossibility to meet specific protocol requirements (eg, scheduled visits, patients unable to fully understand patient's study documents and to complete them);</w:t>
      </w:r>
    </w:p>
    <w:p w:rsidR="0012165D" w:rsidRPr="0012165D" w:rsidRDefault="0012165D" w:rsidP="00CC67B4">
      <w:pPr>
        <w:pStyle w:val="ListBulletLevel1"/>
        <w:numPr>
          <w:ilvl w:val="0"/>
          <w:numId w:val="51"/>
        </w:numPr>
      </w:pPr>
      <w:r w:rsidRPr="0012165D">
        <w:t>Patient is uncooperative or has a condition that could lead to non-compliance with the study procedures (eg, patient unable or unwilling to do self-injections or blood glucose monitoring using the sponsor-provided blood glucose meter at home);</w:t>
      </w:r>
    </w:p>
    <w:p w:rsidR="0012165D" w:rsidRPr="0012165D" w:rsidRDefault="0012165D" w:rsidP="00CC67B4">
      <w:pPr>
        <w:pStyle w:val="ListBulletLevel1"/>
        <w:numPr>
          <w:ilvl w:val="0"/>
          <w:numId w:val="51"/>
        </w:numPr>
      </w:pPr>
      <w:r w:rsidRPr="0012165D">
        <w:t xml:space="preserve">Patient is the Investigator or any Sub-Investigator, research assistant, pharmacist, study coordinator, other staff or relative thereof directly involved in the conduct of the protocol; </w:t>
      </w:r>
    </w:p>
    <w:p w:rsidR="0012165D" w:rsidRPr="0012165D" w:rsidRDefault="0012165D" w:rsidP="00CC67B4">
      <w:pPr>
        <w:pStyle w:val="ListBulletLevel1"/>
        <w:numPr>
          <w:ilvl w:val="0"/>
          <w:numId w:val="51"/>
        </w:numPr>
      </w:pPr>
      <w:r w:rsidRPr="0012165D">
        <w:t>Patients with short life expectancy;</w:t>
      </w:r>
    </w:p>
    <w:p w:rsidR="0012165D" w:rsidRPr="0012165D" w:rsidRDefault="0012165D" w:rsidP="00CC67B4">
      <w:pPr>
        <w:pStyle w:val="ListBulletLevel1"/>
        <w:numPr>
          <w:ilvl w:val="0"/>
          <w:numId w:val="51"/>
        </w:numPr>
      </w:pPr>
      <w:r w:rsidRPr="0012165D">
        <w:t>Requirement for concomitant treatment tha</w:t>
      </w:r>
      <w:r w:rsidR="00237A55">
        <w:t>t could bias primary evaluation.</w:t>
      </w:r>
    </w:p>
    <w:p w:rsidR="0012165D" w:rsidRPr="0012165D" w:rsidRDefault="0012165D" w:rsidP="0012165D">
      <w:pPr>
        <w:pStyle w:val="NumberListExclusion"/>
      </w:pPr>
      <w:r w:rsidRPr="0012165D">
        <w:t>Laboratory findings at the screening visit:</w:t>
      </w:r>
    </w:p>
    <w:p w:rsidR="0012165D" w:rsidRPr="0012165D" w:rsidRDefault="0012165D" w:rsidP="00CC67B4">
      <w:pPr>
        <w:pStyle w:val="ListBulletLevel1"/>
        <w:numPr>
          <w:ilvl w:val="0"/>
          <w:numId w:val="52"/>
        </w:numPr>
      </w:pPr>
      <w:r w:rsidRPr="0012165D">
        <w:t>Fasting Plasma Glucose (FPG) &gt;250 mg/dL (13.9 mmol/L);</w:t>
      </w:r>
    </w:p>
    <w:p w:rsidR="0012165D" w:rsidRPr="0012165D" w:rsidRDefault="0012165D" w:rsidP="00CC67B4">
      <w:pPr>
        <w:pStyle w:val="ListBulletLevel1"/>
        <w:numPr>
          <w:ilvl w:val="0"/>
          <w:numId w:val="52"/>
        </w:numPr>
      </w:pPr>
      <w:r w:rsidRPr="0012165D">
        <w:t>Amylase and/or lipase: &gt;3 times the upper limit of the normal (ULN) laboratory range,</w:t>
      </w:r>
    </w:p>
    <w:p w:rsidR="0012165D" w:rsidRPr="0012165D" w:rsidRDefault="002A39AC" w:rsidP="00CC67B4">
      <w:pPr>
        <w:pStyle w:val="ListBulletLevel1"/>
        <w:numPr>
          <w:ilvl w:val="0"/>
          <w:numId w:val="52"/>
        </w:numPr>
      </w:pPr>
      <w:r>
        <w:t>Alanine aminotransferase (</w:t>
      </w:r>
      <w:r w:rsidR="0012165D" w:rsidRPr="0012165D">
        <w:t>ALT</w:t>
      </w:r>
      <w:r>
        <w:t>)</w:t>
      </w:r>
      <w:r w:rsidR="0012165D" w:rsidRPr="0012165D">
        <w:t xml:space="preserve"> or </w:t>
      </w:r>
      <w:r>
        <w:t>aspartate aminotransferase (</w:t>
      </w:r>
      <w:r w:rsidR="0012165D" w:rsidRPr="0012165D">
        <w:t>AST</w:t>
      </w:r>
      <w:r>
        <w:t>)</w:t>
      </w:r>
      <w:r w:rsidR="0012165D" w:rsidRPr="0012165D">
        <w:t>: &gt;3 ULN;</w:t>
      </w:r>
    </w:p>
    <w:p w:rsidR="0012165D" w:rsidRPr="0012165D" w:rsidRDefault="0012165D" w:rsidP="00CC67B4">
      <w:pPr>
        <w:pStyle w:val="ListBulletLevel1"/>
        <w:numPr>
          <w:ilvl w:val="0"/>
          <w:numId w:val="52"/>
        </w:numPr>
      </w:pPr>
      <w:r w:rsidRPr="0012165D">
        <w:t>Total bilirubin &gt;1.5 ULN (except in case of Gilbert's syndrome);</w:t>
      </w:r>
    </w:p>
    <w:p w:rsidR="0012165D" w:rsidRPr="0012165D" w:rsidRDefault="0012165D" w:rsidP="00CC67B4">
      <w:pPr>
        <w:pStyle w:val="ListBulletLevel1"/>
        <w:numPr>
          <w:ilvl w:val="0"/>
          <w:numId w:val="52"/>
        </w:numPr>
      </w:pPr>
      <w:r w:rsidRPr="0012165D">
        <w:t xml:space="preserve">Calcitonin </w:t>
      </w:r>
      <w:r>
        <w:t>≥</w:t>
      </w:r>
      <w:r w:rsidRPr="0012165D">
        <w:t>20 pg/mL (5.9 pmol/L);</w:t>
      </w:r>
    </w:p>
    <w:p w:rsidR="0012165D" w:rsidRPr="0012165D" w:rsidRDefault="0012165D" w:rsidP="00CC67B4">
      <w:pPr>
        <w:pStyle w:val="ListBulletLevel1"/>
        <w:numPr>
          <w:ilvl w:val="0"/>
          <w:numId w:val="52"/>
        </w:numPr>
      </w:pPr>
      <w:r w:rsidRPr="0012165D">
        <w:t xml:space="preserve">Hemoglobin &lt;10.5 g/dL or neutrophils &lt;1,500/mm3 or platelets &lt;100,000/mm3; </w:t>
      </w:r>
    </w:p>
    <w:p w:rsidR="0012165D" w:rsidRPr="0012165D" w:rsidRDefault="0012165D" w:rsidP="00CC67B4">
      <w:pPr>
        <w:pStyle w:val="ListBulletLevel1"/>
        <w:numPr>
          <w:ilvl w:val="0"/>
          <w:numId w:val="52"/>
        </w:numPr>
      </w:pPr>
      <w:r w:rsidRPr="0012165D">
        <w:t>Positive test for Hepatitis B surface antigen (HBsAg) and/or Hepatitis C antibody (HCAb);</w:t>
      </w:r>
    </w:p>
    <w:p w:rsidR="0012165D" w:rsidRPr="0012165D" w:rsidRDefault="0012165D" w:rsidP="00CC67B4">
      <w:pPr>
        <w:pStyle w:val="ListBulletLevel1"/>
        <w:numPr>
          <w:ilvl w:val="0"/>
          <w:numId w:val="52"/>
        </w:numPr>
      </w:pPr>
      <w:r w:rsidRPr="0012165D">
        <w:t>Positive serum pregnancy test in females of childbearing potential</w:t>
      </w:r>
      <w:r w:rsidR="00237A55">
        <w:t>.</w:t>
      </w:r>
    </w:p>
    <w:p w:rsidR="0012165D" w:rsidRPr="0012165D" w:rsidRDefault="0012165D" w:rsidP="0012165D">
      <w:pPr>
        <w:pStyle w:val="NumberListExclusion"/>
      </w:pPr>
      <w:r w:rsidRPr="0012165D">
        <w:t xml:space="preserve">Patient who has renal function impairment with </w:t>
      </w:r>
      <w:r w:rsidR="00D21A98" w:rsidRPr="00295496">
        <w:t xml:space="preserve">estimated </w:t>
      </w:r>
      <w:r w:rsidR="002A39AC">
        <w:t>glomerular filtration rate (</w:t>
      </w:r>
      <w:r w:rsidR="00D21A98" w:rsidRPr="00295496">
        <w:t>GFR</w:t>
      </w:r>
      <w:r w:rsidR="002A39AC">
        <w:t>)</w:t>
      </w:r>
      <w:r w:rsidRPr="0012165D">
        <w:t xml:space="preserve"> &lt;30 mL/min (using the MDRD [</w:t>
      </w:r>
      <w:r w:rsidR="001E1AC7" w:rsidRPr="009E56D2">
        <w:rPr>
          <w:color w:val="0000FF"/>
        </w:rPr>
        <w:fldChar w:fldCharType="begin"/>
      </w:r>
      <w:r w:rsidR="001E1AC7" w:rsidRPr="009E56D2">
        <w:rPr>
          <w:color w:val="0000FF"/>
        </w:rPr>
        <w:instrText xml:space="preserve"> REF _Ref435181868 \r \h </w:instrText>
      </w:r>
      <w:r w:rsidR="001E1AC7" w:rsidRPr="009E56D2">
        <w:rPr>
          <w:color w:val="0000FF"/>
        </w:rPr>
      </w:r>
      <w:r w:rsidR="009E56D2" w:rsidRPr="009E56D2">
        <w:rPr>
          <w:color w:val="0000FF"/>
        </w:rPr>
        <w:instrText xml:space="preserve"> \* MERGEFORMAT </w:instrText>
      </w:r>
      <w:r w:rsidR="001E1AC7" w:rsidRPr="009E56D2">
        <w:rPr>
          <w:color w:val="0000FF"/>
        </w:rPr>
        <w:fldChar w:fldCharType="separate"/>
      </w:r>
      <w:r w:rsidR="005A26F6">
        <w:rPr>
          <w:color w:val="0000FF"/>
        </w:rPr>
        <w:t>Appendix B</w:t>
      </w:r>
      <w:r w:rsidR="001E1AC7" w:rsidRPr="009E56D2">
        <w:rPr>
          <w:color w:val="0000FF"/>
        </w:rPr>
        <w:fldChar w:fldCharType="end"/>
      </w:r>
      <w:r w:rsidRPr="009E56D2">
        <w:rPr>
          <w:color w:val="auto"/>
        </w:rPr>
        <w:t>]</w:t>
      </w:r>
      <w:r w:rsidRPr="0012165D">
        <w:t xml:space="preserve">) or end-stage renal disease; </w:t>
      </w:r>
    </w:p>
    <w:p w:rsidR="00B629E6" w:rsidRDefault="0012165D" w:rsidP="00181D86">
      <w:pPr>
        <w:pStyle w:val="NumberListExclusion"/>
      </w:pPr>
      <w:r w:rsidRPr="0012165D">
        <w:t xml:space="preserve">Any technical/administrative reason that makes it impossible to randomize the patient in the study;  </w:t>
      </w:r>
    </w:p>
    <w:p w:rsidR="002F41EE" w:rsidRDefault="002F41EE">
      <w:pPr>
        <w:pStyle w:val="Heading3"/>
      </w:pPr>
      <w:bookmarkStart w:id="238" w:name="_Toc382298073"/>
      <w:bookmarkStart w:id="239" w:name="_Toc443035840"/>
      <w:r>
        <w:t>Exclusion criteria related to the active comparator and/or mandatory background therapies</w:t>
      </w:r>
      <w:bookmarkEnd w:id="238"/>
      <w:bookmarkEnd w:id="239"/>
      <w:r>
        <w:t xml:space="preserve"> </w:t>
      </w:r>
    </w:p>
    <w:p w:rsidR="0012165D" w:rsidRPr="0012165D" w:rsidRDefault="0012165D" w:rsidP="0012165D">
      <w:pPr>
        <w:pStyle w:val="NumberListExclusion"/>
      </w:pPr>
      <w:r w:rsidRPr="0012165D">
        <w:t xml:space="preserve">Any contraindication to metformin or pioglitazone </w:t>
      </w:r>
      <w:r w:rsidR="00431BF4" w:rsidRPr="00295496">
        <w:t>(when applicable)</w:t>
      </w:r>
      <w:r w:rsidR="00431BF4">
        <w:t xml:space="preserve"> </w:t>
      </w:r>
      <w:r w:rsidRPr="0012165D">
        <w:t>use, according to local labeling;</w:t>
      </w:r>
    </w:p>
    <w:p w:rsidR="0012165D" w:rsidRPr="0012165D" w:rsidRDefault="0012165D" w:rsidP="0012165D">
      <w:pPr>
        <w:pStyle w:val="NumberListExclusion"/>
      </w:pPr>
      <w:r w:rsidRPr="0012165D">
        <w:t>Any contraindication to liraglutide (Victoza®) use, according to local labeling. History of hypersensitivity to liraglutide (Victoza®) or any product components;</w:t>
      </w:r>
    </w:p>
    <w:p w:rsidR="0012165D" w:rsidRPr="0012165D" w:rsidRDefault="0012165D" w:rsidP="0012165D">
      <w:pPr>
        <w:pStyle w:val="NumberListExclusion"/>
      </w:pPr>
      <w:r w:rsidRPr="0012165D">
        <w:t>Any contraindication to exenatide (Byetta®) use, according to local labeling. History of hypersensitivity to exenatide (Byetta®) or any product components;</w:t>
      </w:r>
    </w:p>
    <w:p w:rsidR="0012165D" w:rsidRPr="00295496" w:rsidRDefault="0012165D" w:rsidP="0012165D">
      <w:pPr>
        <w:pStyle w:val="NumberListExclusion"/>
      </w:pPr>
      <w:r w:rsidRPr="00295496">
        <w:lastRenderedPageBreak/>
        <w:t>Any contraindication to exenatide extended-release (Bydureon®) use, according to local labeling. History of hypersensitivity to exenatide extended-release (Bydureon®) or any product components;</w:t>
      </w:r>
    </w:p>
    <w:p w:rsidR="0012165D" w:rsidRPr="00295496" w:rsidRDefault="0012165D" w:rsidP="0012165D">
      <w:pPr>
        <w:pStyle w:val="NumberListExclusion"/>
      </w:pPr>
      <w:r w:rsidRPr="00295496">
        <w:t>Any contraindication to albiglutide (Tanzeum®/Eperzan®) use, according to local labeling. History of hypersensitivity to albiglutide (Tanzeum®/Eperzan®) or any product components;</w:t>
      </w:r>
    </w:p>
    <w:p w:rsidR="002F41EE" w:rsidRPr="00295496" w:rsidRDefault="0012165D" w:rsidP="00161A5C">
      <w:pPr>
        <w:pStyle w:val="NumberListExclusion"/>
      </w:pPr>
      <w:r w:rsidRPr="00295496">
        <w:t>Any contraindication to dulaglutide (Trulicity®) use, according to local labeling. History of hypersensitivity to dulaglutide (Trulicity®) or any product components</w:t>
      </w:r>
      <w:r w:rsidR="00237A55">
        <w:t>.</w:t>
      </w:r>
    </w:p>
    <w:p w:rsidR="002F41EE" w:rsidRDefault="002F41EE">
      <w:pPr>
        <w:pStyle w:val="Heading3"/>
      </w:pPr>
      <w:bookmarkStart w:id="240" w:name="_Toc382298074"/>
      <w:bookmarkStart w:id="241" w:name="_Toc443035841"/>
      <w:r>
        <w:t>Exclusion criteria related to the current knowledge of Sanofi compound</w:t>
      </w:r>
      <w:bookmarkEnd w:id="240"/>
      <w:r>
        <w:t xml:space="preserve"> </w:t>
      </w:r>
      <w:r w:rsidR="004F377F">
        <w:t>(insulin glargine/lixisenatide fixed ratio combination)</w:t>
      </w:r>
      <w:bookmarkEnd w:id="241"/>
    </w:p>
    <w:p w:rsidR="002F41EE" w:rsidRDefault="002F41EE">
      <w:pPr>
        <w:pStyle w:val="NumberListExclusion"/>
      </w:pPr>
      <w:r w:rsidRPr="004F377F">
        <w:t>Pregnant or breastfeeding wom</w:t>
      </w:r>
      <w:r w:rsidR="00555E4C" w:rsidRPr="004F377F">
        <w:t>a</w:t>
      </w:r>
      <w:r w:rsidRPr="004F377F">
        <w:t>n</w:t>
      </w:r>
      <w:r w:rsidR="00237A55">
        <w:t>;</w:t>
      </w:r>
    </w:p>
    <w:p w:rsidR="002F41EE" w:rsidRPr="004F377F" w:rsidRDefault="00555E4C">
      <w:pPr>
        <w:pStyle w:val="NumberListExclusion"/>
      </w:pPr>
      <w:r w:rsidRPr="004F377F">
        <w:t>Woma</w:t>
      </w:r>
      <w:r w:rsidR="002F41EE" w:rsidRPr="004F377F">
        <w:t xml:space="preserve">n of childbearing potential not protected by highly-effective method(s) of birth control (as defined in </w:t>
      </w:r>
      <w:r w:rsidR="00F76306" w:rsidRPr="004F377F">
        <w:t>a local protocol amendment in case of specific local requirement</w:t>
      </w:r>
      <w:r w:rsidR="00183DC3" w:rsidRPr="004F377F">
        <w:t xml:space="preserve"> and/or in the Informed Consent Form; see </w:t>
      </w:r>
      <w:r w:rsidR="001E1AC7" w:rsidRPr="009A6873">
        <w:rPr>
          <w:color w:val="0000FF"/>
        </w:rPr>
        <w:fldChar w:fldCharType="begin"/>
      </w:r>
      <w:r w:rsidR="001E1AC7" w:rsidRPr="009A6873">
        <w:rPr>
          <w:color w:val="0000FF"/>
        </w:rPr>
        <w:instrText xml:space="preserve"> REF _Ref435182811 \r \h </w:instrText>
      </w:r>
      <w:r w:rsidR="001E1AC7" w:rsidRPr="009A6873">
        <w:rPr>
          <w:color w:val="0000FF"/>
        </w:rPr>
      </w:r>
      <w:r w:rsidR="009A6873" w:rsidRPr="009A6873">
        <w:rPr>
          <w:color w:val="0000FF"/>
        </w:rPr>
        <w:instrText xml:space="preserve"> \* MERGEFORMAT </w:instrText>
      </w:r>
      <w:r w:rsidR="001E1AC7" w:rsidRPr="009A6873">
        <w:rPr>
          <w:color w:val="0000FF"/>
        </w:rPr>
        <w:fldChar w:fldCharType="separate"/>
      </w:r>
      <w:r w:rsidR="005A26F6">
        <w:rPr>
          <w:color w:val="0000FF"/>
        </w:rPr>
        <w:t>Appendix A</w:t>
      </w:r>
      <w:r w:rsidR="001E1AC7" w:rsidRPr="009A6873">
        <w:rPr>
          <w:color w:val="0000FF"/>
        </w:rPr>
        <w:fldChar w:fldCharType="end"/>
      </w:r>
      <w:r w:rsidR="00183DC3" w:rsidRPr="004F377F">
        <w:t>, if applicable</w:t>
      </w:r>
      <w:r w:rsidR="002F41EE" w:rsidRPr="004F377F">
        <w:t>) and/or who are unwilling or un</w:t>
      </w:r>
      <w:r w:rsidR="009E56D2">
        <w:t>able to be tested for pregnancy;</w:t>
      </w:r>
    </w:p>
    <w:p w:rsidR="00183DC3" w:rsidRDefault="00183DC3" w:rsidP="00183DC3">
      <w:pPr>
        <w:pStyle w:val="NumberListExclusion"/>
      </w:pPr>
      <w:r>
        <w:t>Clinically relevant history of gastrointestinal disease associated with prolonged nausea and vomiting, including (but not limited to): gastroparesis, unstable (ie, worsening) or not controlled (ie, prolonged nausea and vomiting) gastroesophageal reflux disease requiring medical treatment, within 6 months prior to the time of screening visit;</w:t>
      </w:r>
    </w:p>
    <w:p w:rsidR="00183DC3" w:rsidRDefault="00183DC3" w:rsidP="00183DC3">
      <w:pPr>
        <w:pStyle w:val="NumberListExclusion"/>
      </w:pPr>
      <w:r>
        <w:t xml:space="preserve">History of pancreatitis (unless pancreatitis was related to gallstones and cholecystectomy has now been performed), pancreatitis during previous treatment with incretin therapies, chronic pancreatitis, pancreatectomy, stomach/gastric surgery;  </w:t>
      </w:r>
    </w:p>
    <w:p w:rsidR="00183DC3" w:rsidRDefault="00183DC3" w:rsidP="00183DC3">
      <w:pPr>
        <w:pStyle w:val="NumberListExclusion"/>
      </w:pPr>
      <w:r>
        <w:t>Contraindication to use of insulin glargine or lixisenatide according to local labeling (if applicable). History of hypersensitivity to insulin glargine, or to any of the excipients;</w:t>
      </w:r>
    </w:p>
    <w:p w:rsidR="00183DC3" w:rsidRDefault="00183DC3" w:rsidP="00161A5C">
      <w:pPr>
        <w:pStyle w:val="NumberListExclusion"/>
      </w:pPr>
      <w:r>
        <w:t>History of allergic reaction to any GLP-1 receptor agonists in the past or to metacre</w:t>
      </w:r>
      <w:r w:rsidR="004F377F">
        <w:t>sol</w:t>
      </w:r>
      <w:r w:rsidR="00237A55">
        <w:t>.</w:t>
      </w:r>
    </w:p>
    <w:p w:rsidR="00740018" w:rsidRPr="00295496" w:rsidRDefault="00740018" w:rsidP="00EB7462">
      <w:pPr>
        <w:pStyle w:val="Heading3"/>
        <w:rPr>
          <w:rStyle w:val="ReplaceText"/>
          <w:color w:val="000000"/>
        </w:rPr>
      </w:pPr>
      <w:bookmarkStart w:id="242" w:name="_Toc382298075"/>
      <w:bookmarkStart w:id="243" w:name="_Toc443035842"/>
      <w:r w:rsidRPr="00295496">
        <w:rPr>
          <w:rStyle w:val="ReplaceText"/>
          <w:color w:val="000000"/>
        </w:rPr>
        <w:t>Additional exclusion criteria during or</w:t>
      </w:r>
      <w:r w:rsidR="00BD36D5" w:rsidRPr="00295496">
        <w:rPr>
          <w:rStyle w:val="ReplaceText"/>
          <w:color w:val="000000"/>
        </w:rPr>
        <w:t xml:space="preserve"> at the end of screening </w:t>
      </w:r>
      <w:r w:rsidRPr="00295496">
        <w:rPr>
          <w:rStyle w:val="ReplaceText"/>
          <w:color w:val="000000"/>
        </w:rPr>
        <w:t>phase before randomization</w:t>
      </w:r>
      <w:bookmarkEnd w:id="242"/>
      <w:bookmarkEnd w:id="243"/>
    </w:p>
    <w:p w:rsidR="00A73BB8" w:rsidRPr="00295496" w:rsidRDefault="00A73BB8" w:rsidP="00A027A1">
      <w:pPr>
        <w:pStyle w:val="NumberListExclusion"/>
      </w:pPr>
      <w:r w:rsidRPr="00295496">
        <w:t xml:space="preserve">Patient who </w:t>
      </w:r>
      <w:r w:rsidR="00740018" w:rsidRPr="00295496">
        <w:t xml:space="preserve">has </w:t>
      </w:r>
      <w:r w:rsidRPr="00295496">
        <w:t>withdr</w:t>
      </w:r>
      <w:r w:rsidR="00740018" w:rsidRPr="00295496">
        <w:t>a</w:t>
      </w:r>
      <w:r w:rsidRPr="00295496">
        <w:t>w</w:t>
      </w:r>
      <w:r w:rsidR="00740018" w:rsidRPr="00295496">
        <w:t>n</w:t>
      </w:r>
      <w:r w:rsidRPr="00295496">
        <w:t xml:space="preserve"> consent before </w:t>
      </w:r>
      <w:r w:rsidR="00740018" w:rsidRPr="00295496">
        <w:t>enrollment/randomization</w:t>
      </w:r>
      <w:r w:rsidRPr="00295496">
        <w:t xml:space="preserve"> (starting from signed informed consent form)</w:t>
      </w:r>
      <w:r w:rsidR="009E56D2">
        <w:t>;</w:t>
      </w:r>
    </w:p>
    <w:p w:rsidR="00A11A20" w:rsidRPr="00295496" w:rsidRDefault="00F72F23" w:rsidP="00A027A1">
      <w:pPr>
        <w:pStyle w:val="NumberListExclusion"/>
        <w:rPr>
          <w:rFonts w:eastAsia="宋体"/>
          <w:lang w:val="en-GB" w:eastAsia="zh-CN"/>
        </w:rPr>
      </w:pPr>
      <w:r w:rsidRPr="00295496">
        <w:rPr>
          <w:rFonts w:eastAsia="宋体"/>
          <w:lang w:val="en-GB" w:eastAsia="zh-CN"/>
        </w:rPr>
        <w:t>Despite screening of the patient, enrollment/randomization is stopped at the study level</w:t>
      </w:r>
      <w:r w:rsidR="009E56D2">
        <w:rPr>
          <w:rFonts w:eastAsia="宋体"/>
          <w:lang w:val="en-GB" w:eastAsia="zh-CN"/>
        </w:rPr>
        <w:t>.</w:t>
      </w:r>
    </w:p>
    <w:p w:rsidR="002F41EE" w:rsidRDefault="002F41EE">
      <w:pPr>
        <w:pStyle w:val="Heading1"/>
      </w:pPr>
      <w:bookmarkStart w:id="244" w:name="_Toc89161714"/>
      <w:bookmarkStart w:id="245" w:name="_Toc128558615"/>
      <w:bookmarkStart w:id="246" w:name="_Toc129597702"/>
      <w:bookmarkStart w:id="247" w:name="_Toc130200152"/>
      <w:bookmarkStart w:id="248" w:name="_Toc130368733"/>
      <w:bookmarkStart w:id="249" w:name="_Toc130368863"/>
      <w:bookmarkStart w:id="250" w:name="_Toc130703371"/>
      <w:bookmarkStart w:id="251" w:name="_Toc382298076"/>
      <w:bookmarkStart w:id="252" w:name="_Toc443035843"/>
      <w:r>
        <w:lastRenderedPageBreak/>
        <w:t>study Treatments</w:t>
      </w:r>
      <w:bookmarkEnd w:id="244"/>
      <w:bookmarkEnd w:id="245"/>
      <w:bookmarkEnd w:id="246"/>
      <w:bookmarkEnd w:id="247"/>
      <w:bookmarkEnd w:id="248"/>
      <w:bookmarkEnd w:id="249"/>
      <w:bookmarkEnd w:id="250"/>
      <w:bookmarkEnd w:id="251"/>
      <w:bookmarkEnd w:id="252"/>
    </w:p>
    <w:p w:rsidR="002F41EE" w:rsidRDefault="002F41EE">
      <w:pPr>
        <w:pStyle w:val="Heading2"/>
      </w:pPr>
      <w:bookmarkStart w:id="253" w:name="_Toc89161715"/>
      <w:bookmarkStart w:id="254" w:name="_Toc128558616"/>
      <w:bookmarkStart w:id="255" w:name="_Toc129597703"/>
      <w:bookmarkStart w:id="256" w:name="_Toc130200153"/>
      <w:bookmarkStart w:id="257" w:name="_Toc130368734"/>
      <w:bookmarkStart w:id="258" w:name="_Toc130368864"/>
      <w:bookmarkStart w:id="259" w:name="_Toc130703372"/>
      <w:bookmarkStart w:id="260" w:name="_Toc382298077"/>
      <w:bookmarkStart w:id="261" w:name="_Toc443035844"/>
      <w:r>
        <w:t>Investigational medicinal Product</w:t>
      </w:r>
      <w:bookmarkEnd w:id="253"/>
      <w:bookmarkEnd w:id="254"/>
      <w:bookmarkEnd w:id="255"/>
      <w:bookmarkEnd w:id="256"/>
      <w:bookmarkEnd w:id="257"/>
      <w:bookmarkEnd w:id="258"/>
      <w:bookmarkEnd w:id="259"/>
      <w:r>
        <w:t>(s)</w:t>
      </w:r>
      <w:bookmarkEnd w:id="260"/>
      <w:bookmarkEnd w:id="261"/>
    </w:p>
    <w:p w:rsidR="00350D35" w:rsidRDefault="00A31C44" w:rsidP="00350D35">
      <w:r w:rsidRPr="00295496">
        <w:t>FRC</w:t>
      </w:r>
      <w:r>
        <w:t xml:space="preserve"> </w:t>
      </w:r>
      <w:r w:rsidR="00350D35" w:rsidRPr="00350D35">
        <w:t>and GLP-1 RA (</w:t>
      </w:r>
      <w:r w:rsidR="00350D35">
        <w:t>l</w:t>
      </w:r>
      <w:r w:rsidR="00350D35" w:rsidRPr="00350D35">
        <w:t xml:space="preserve">iraglutide (Victoza®), </w:t>
      </w:r>
      <w:r w:rsidR="002A39AC">
        <w:t>e</w:t>
      </w:r>
      <w:r w:rsidR="006D43AD">
        <w:t>xenatide [Byetta®], exenatide extended-release [</w:t>
      </w:r>
      <w:r w:rsidR="00350D35" w:rsidRPr="00295496">
        <w:t>Bydureon®</w:t>
      </w:r>
      <w:r w:rsidR="006D43AD">
        <w:t>]</w:t>
      </w:r>
      <w:r w:rsidR="00350D35" w:rsidRPr="00295496">
        <w:t xml:space="preserve">, albiglutide </w:t>
      </w:r>
      <w:r w:rsidR="006D43AD">
        <w:t>[</w:t>
      </w:r>
      <w:r w:rsidR="00350D35" w:rsidRPr="00295496">
        <w:t>Tanzeum®/Eperzan®</w:t>
      </w:r>
      <w:r w:rsidR="006D43AD">
        <w:t>]</w:t>
      </w:r>
      <w:r w:rsidR="00350D35" w:rsidRPr="00295496">
        <w:t xml:space="preserve">, or dulaglutide </w:t>
      </w:r>
      <w:r w:rsidR="006D43AD">
        <w:t>[</w:t>
      </w:r>
      <w:r w:rsidR="00350D35" w:rsidRPr="00295496">
        <w:t>Trulicity®</w:t>
      </w:r>
      <w:r w:rsidR="006D43AD">
        <w:t>]</w:t>
      </w:r>
      <w:r w:rsidR="00350D35" w:rsidRPr="00350D35">
        <w:t>) are considered as investigational medicinal products (</w:t>
      </w:r>
      <w:r w:rsidR="00350D35" w:rsidRPr="0005688E">
        <w:t>IMPs</w:t>
      </w:r>
      <w:r w:rsidR="00350D35" w:rsidRPr="00350D35">
        <w:t>).</w:t>
      </w:r>
    </w:p>
    <w:p w:rsidR="00350D35" w:rsidRDefault="00350D35" w:rsidP="00350D35">
      <w:pPr>
        <w:pStyle w:val="Heading3"/>
      </w:pPr>
      <w:bookmarkStart w:id="262" w:name="_Toc443035845"/>
      <w:r>
        <w:t>Formulations</w:t>
      </w:r>
      <w:bookmarkEnd w:id="262"/>
    </w:p>
    <w:p w:rsidR="00976C6E" w:rsidRPr="00976C6E" w:rsidRDefault="00976C6E" w:rsidP="00976C6E">
      <w:pPr>
        <w:rPr>
          <w:b/>
        </w:rPr>
      </w:pPr>
      <w:r w:rsidRPr="00976C6E">
        <w:rPr>
          <w:b/>
        </w:rPr>
        <w:t>Insulin glargine/lixisenatide fixed ratio combination</w:t>
      </w:r>
      <w:r w:rsidR="00A31C44">
        <w:rPr>
          <w:b/>
        </w:rPr>
        <w:t xml:space="preserve"> </w:t>
      </w:r>
      <w:r w:rsidR="00A31C44" w:rsidRPr="00295496">
        <w:rPr>
          <w:b/>
        </w:rPr>
        <w:t>(FRC)</w:t>
      </w:r>
    </w:p>
    <w:p w:rsidR="00976C6E" w:rsidRDefault="00A31C44" w:rsidP="00976C6E">
      <w:r w:rsidRPr="00295496">
        <w:t>FRC</w:t>
      </w:r>
      <w:r>
        <w:t xml:space="preserve"> </w:t>
      </w:r>
      <w:r w:rsidR="00976C6E">
        <w:t>is supplied as a sterile aqueous solution for subcutaneous (SC) injection in a pre-filled disposable SoloStar® pen injector (100 U/mL insulin glargine with 33 or 50 µg/mL lixisenatide depending on the pen).</w:t>
      </w:r>
    </w:p>
    <w:p w:rsidR="00976C6E" w:rsidRPr="00976C6E" w:rsidRDefault="00976C6E" w:rsidP="00976C6E">
      <w:pPr>
        <w:rPr>
          <w:b/>
        </w:rPr>
      </w:pPr>
      <w:r w:rsidRPr="00976C6E">
        <w:rPr>
          <w:b/>
        </w:rPr>
        <w:t>Control drugs</w:t>
      </w:r>
    </w:p>
    <w:p w:rsidR="00976C6E" w:rsidRDefault="00976C6E" w:rsidP="00976C6E">
      <w:r w:rsidRPr="00976C6E">
        <w:rPr>
          <w:b/>
        </w:rPr>
        <w:t>Liraglutide (Victoza®)</w:t>
      </w:r>
      <w:r w:rsidR="009C0BF4">
        <w:rPr>
          <w:b/>
        </w:rPr>
        <w:t>*</w:t>
      </w:r>
      <w:r>
        <w:t xml:space="preserve"> is supplied as a pre-filled, multi-dose pen that delivers doses of 0.6 mg, 1.2 mg, or 1.8 mg. Each pen is pre-filled with 3 mL of a clear </w:t>
      </w:r>
      <w:r w:rsidR="009E56D2">
        <w:t>colorless solution containing 6 </w:t>
      </w:r>
      <w:r>
        <w:t>mg/mL of liragluitde (free-base, anhydrous) and the following inactive ingredients: disodium phosphate dihydrate, 1.42 mg; propylene glycol, 14 mg; phenol, 5.5 mg; and water for injection</w:t>
      </w:r>
      <w:r w:rsidR="009E56D2">
        <w:t> </w:t>
      </w:r>
      <w:r w:rsidR="004F6ABD">
        <w:t>(</w:t>
      </w:r>
      <w:r w:rsidR="004F6ABD" w:rsidRPr="004F6ABD">
        <w:rPr>
          <w:color w:val="0000FF"/>
        </w:rPr>
        <w:fldChar w:fldCharType="begin"/>
      </w:r>
      <w:r w:rsidR="004F6ABD" w:rsidRPr="004F6ABD">
        <w:rPr>
          <w:color w:val="0000FF"/>
        </w:rPr>
        <w:instrText xml:space="preserve"> REF  TARGET_REFBIB0005 \h  \* MERGEFORMAT </w:instrText>
      </w:r>
      <w:r w:rsidR="004F6ABD" w:rsidRPr="004F6ABD">
        <w:rPr>
          <w:color w:val="0000FF"/>
        </w:rPr>
      </w:r>
      <w:r w:rsidR="004F6ABD" w:rsidRPr="004F6ABD">
        <w:rPr>
          <w:color w:val="0000FF"/>
        </w:rPr>
        <w:fldChar w:fldCharType="separate"/>
      </w:r>
      <w:r w:rsidR="005A26F6" w:rsidRPr="005A26F6">
        <w:rPr>
          <w:color w:val="0000FF"/>
        </w:rPr>
        <w:t>5</w:t>
      </w:r>
      <w:r w:rsidR="004F6ABD" w:rsidRPr="004F6ABD">
        <w:rPr>
          <w:color w:val="0000FF"/>
        </w:rPr>
        <w:fldChar w:fldCharType="end"/>
      </w:r>
      <w:r w:rsidR="009E56D2">
        <w:rPr>
          <w:color w:val="0000FF"/>
        </w:rPr>
        <w:t xml:space="preserve">, </w:t>
      </w:r>
      <w:r w:rsidR="004F6ABD" w:rsidRPr="004F6ABD">
        <w:rPr>
          <w:color w:val="0000FF"/>
        </w:rPr>
        <w:fldChar w:fldCharType="begin"/>
      </w:r>
      <w:r w:rsidR="004F6ABD" w:rsidRPr="004F6ABD">
        <w:rPr>
          <w:color w:val="0000FF"/>
        </w:rPr>
        <w:instrText xml:space="preserve"> REF  TARGET_REFBIB0006 \h  \* MERGEFORMAT </w:instrText>
      </w:r>
      <w:r w:rsidR="004F6ABD" w:rsidRPr="004F6ABD">
        <w:rPr>
          <w:color w:val="0000FF"/>
        </w:rPr>
      </w:r>
      <w:r w:rsidR="004F6ABD" w:rsidRPr="004F6ABD">
        <w:rPr>
          <w:color w:val="0000FF"/>
        </w:rPr>
        <w:fldChar w:fldCharType="separate"/>
      </w:r>
      <w:r w:rsidR="005A26F6" w:rsidRPr="005A26F6">
        <w:rPr>
          <w:color w:val="0000FF"/>
        </w:rPr>
        <w:t>6</w:t>
      </w:r>
      <w:r w:rsidR="004F6ABD" w:rsidRPr="004F6ABD">
        <w:rPr>
          <w:color w:val="0000FF"/>
        </w:rPr>
        <w:fldChar w:fldCharType="end"/>
      </w:r>
      <w:r w:rsidR="004F6ABD">
        <w:t>)</w:t>
      </w:r>
      <w:r>
        <w:t xml:space="preserve">. </w:t>
      </w:r>
    </w:p>
    <w:p w:rsidR="00350D35" w:rsidRDefault="00976C6E" w:rsidP="00976C6E">
      <w:r w:rsidRPr="00976C6E">
        <w:rPr>
          <w:b/>
        </w:rPr>
        <w:t>Exenatide (Byetta®)</w:t>
      </w:r>
      <w:r w:rsidR="009C0BF4">
        <w:rPr>
          <w:b/>
        </w:rPr>
        <w:t>*</w:t>
      </w:r>
      <w:r>
        <w:t xml:space="preserve"> is supplied for subcutaneous (SC) injection as a sterile, preserved isotonic solution in a glass cartridge that has been assembled in a pen-injector (prefilled pen). Each milliliter (mL) contains 250 micrograms (μg) synthetic exenatide, metacresol, mannitol, and glacial acetic acid and sodium acetate trihydrate in water for injection. Two prefilled pens are available to deliver unit doses of 5 μg (1.2 mL prefilled pen) or 10 μg (2.4 mL prefilled pen). Each prefilled pen will deliver 60 doses to provide 30 days of twice daily administration (</w:t>
      </w:r>
      <w:r w:rsidRPr="00020867">
        <w:t>BID</w:t>
      </w:r>
      <w:r>
        <w:t>)</w:t>
      </w:r>
      <w:r w:rsidR="004F6ABD">
        <w:t xml:space="preserve"> (</w:t>
      </w:r>
      <w:r w:rsidR="004F6ABD" w:rsidRPr="004F6ABD">
        <w:rPr>
          <w:color w:val="0000FF"/>
        </w:rPr>
        <w:fldChar w:fldCharType="begin"/>
      </w:r>
      <w:r w:rsidR="004F6ABD" w:rsidRPr="004F6ABD">
        <w:rPr>
          <w:color w:val="0000FF"/>
        </w:rPr>
        <w:instrText xml:space="preserve"> REF  TARGET_REFBIB0007 \h  \* MERGEFORMAT </w:instrText>
      </w:r>
      <w:r w:rsidR="004F6ABD" w:rsidRPr="004F6ABD">
        <w:rPr>
          <w:color w:val="0000FF"/>
        </w:rPr>
      </w:r>
      <w:r w:rsidR="004F6ABD" w:rsidRPr="004F6ABD">
        <w:rPr>
          <w:color w:val="0000FF"/>
        </w:rPr>
        <w:fldChar w:fldCharType="separate"/>
      </w:r>
      <w:r w:rsidR="005A26F6" w:rsidRPr="005A26F6">
        <w:rPr>
          <w:color w:val="0000FF"/>
        </w:rPr>
        <w:t>7</w:t>
      </w:r>
      <w:r w:rsidR="004F6ABD" w:rsidRPr="004F6ABD">
        <w:rPr>
          <w:color w:val="0000FF"/>
        </w:rPr>
        <w:fldChar w:fldCharType="end"/>
      </w:r>
      <w:r w:rsidR="009E56D2">
        <w:rPr>
          <w:color w:val="0000FF"/>
        </w:rPr>
        <w:t xml:space="preserve">, </w:t>
      </w:r>
      <w:r w:rsidR="004F6ABD" w:rsidRPr="004F6ABD">
        <w:rPr>
          <w:color w:val="0000FF"/>
        </w:rPr>
        <w:fldChar w:fldCharType="begin"/>
      </w:r>
      <w:r w:rsidR="004F6ABD" w:rsidRPr="004F6ABD">
        <w:rPr>
          <w:color w:val="0000FF"/>
        </w:rPr>
        <w:instrText xml:space="preserve"> REF  TARGET_REFBIB0008 \h  \* MERGEFORMAT </w:instrText>
      </w:r>
      <w:r w:rsidR="004F6ABD" w:rsidRPr="004F6ABD">
        <w:rPr>
          <w:color w:val="0000FF"/>
        </w:rPr>
      </w:r>
      <w:r w:rsidR="004F6ABD" w:rsidRPr="004F6ABD">
        <w:rPr>
          <w:color w:val="0000FF"/>
        </w:rPr>
        <w:fldChar w:fldCharType="separate"/>
      </w:r>
      <w:r w:rsidR="005A26F6" w:rsidRPr="005A26F6">
        <w:rPr>
          <w:color w:val="0000FF"/>
        </w:rPr>
        <w:t>8</w:t>
      </w:r>
      <w:r w:rsidR="004F6ABD" w:rsidRPr="004F6ABD">
        <w:rPr>
          <w:color w:val="0000FF"/>
        </w:rPr>
        <w:fldChar w:fldCharType="end"/>
      </w:r>
      <w:r w:rsidR="004F6ABD">
        <w:t>)</w:t>
      </w:r>
      <w:r>
        <w:t>.</w:t>
      </w:r>
    </w:p>
    <w:p w:rsidR="00020867" w:rsidRPr="00295496" w:rsidRDefault="00020867" w:rsidP="00020867">
      <w:r w:rsidRPr="00295496">
        <w:rPr>
          <w:b/>
        </w:rPr>
        <w:t>Exenatide extended-release (Bydureon®)</w:t>
      </w:r>
      <w:r w:rsidR="009C0BF4">
        <w:rPr>
          <w:b/>
        </w:rPr>
        <w:t>*</w:t>
      </w:r>
      <w:r w:rsidRPr="00295496">
        <w:t xml:space="preserve"> is supplied as a sterile powder (to be suspended in diluent if in vials and already diluted if in pens) and administered by subcutaneous injection.  Each vial or a prefilled pen contains 2</w:t>
      </w:r>
      <w:r w:rsidR="004F6ABD">
        <w:t xml:space="preserve"> </w:t>
      </w:r>
      <w:r w:rsidRPr="00295496">
        <w:t>mg exenatide, polylactide-co-glycolide, sucrose, carboxymethylcellulose sodium, polysorbate 20, sodium phosphate monobasic monohydrate, sodium phosphate dibasic heptahydrate, sodium chloride, water for infection (sodium hydroxide may be added during manufacture of pens for ph adjustment). Each pen/vial is a single dose of 2</w:t>
      </w:r>
      <w:r w:rsidR="007F5600">
        <w:t> </w:t>
      </w:r>
      <w:r w:rsidRPr="00295496">
        <w:t>mg to be injected once a week</w:t>
      </w:r>
      <w:r w:rsidR="004F6ABD">
        <w:t xml:space="preserve"> (</w:t>
      </w:r>
      <w:r w:rsidR="004F6ABD" w:rsidRPr="004F6ABD">
        <w:rPr>
          <w:color w:val="0000FF"/>
        </w:rPr>
        <w:fldChar w:fldCharType="begin"/>
      </w:r>
      <w:r w:rsidR="004F6ABD" w:rsidRPr="004F6ABD">
        <w:rPr>
          <w:color w:val="0000FF"/>
        </w:rPr>
        <w:instrText xml:space="preserve"> REF  TARGET_REFBIB0009 \h  \* MERGEFORMAT </w:instrText>
      </w:r>
      <w:r w:rsidR="004F6ABD" w:rsidRPr="004F6ABD">
        <w:rPr>
          <w:color w:val="0000FF"/>
        </w:rPr>
      </w:r>
      <w:r w:rsidR="004F6ABD" w:rsidRPr="004F6ABD">
        <w:rPr>
          <w:color w:val="0000FF"/>
        </w:rPr>
        <w:fldChar w:fldCharType="separate"/>
      </w:r>
      <w:r w:rsidR="005A26F6" w:rsidRPr="005A26F6">
        <w:rPr>
          <w:color w:val="0000FF"/>
        </w:rPr>
        <w:t>9</w:t>
      </w:r>
      <w:r w:rsidR="004F6ABD" w:rsidRPr="004F6ABD">
        <w:rPr>
          <w:color w:val="0000FF"/>
        </w:rPr>
        <w:fldChar w:fldCharType="end"/>
      </w:r>
      <w:r w:rsidR="009E56D2">
        <w:rPr>
          <w:color w:val="0000FF"/>
        </w:rPr>
        <w:t xml:space="preserve">, </w:t>
      </w:r>
      <w:r w:rsidR="004F6ABD" w:rsidRPr="004F6ABD">
        <w:rPr>
          <w:color w:val="0000FF"/>
        </w:rPr>
        <w:fldChar w:fldCharType="begin"/>
      </w:r>
      <w:r w:rsidR="004F6ABD" w:rsidRPr="004F6ABD">
        <w:rPr>
          <w:color w:val="0000FF"/>
        </w:rPr>
        <w:instrText xml:space="preserve"> REF  TARGET_REFBIB0010 \h  \* MERGEFORMAT </w:instrText>
      </w:r>
      <w:r w:rsidR="004F6ABD" w:rsidRPr="004F6ABD">
        <w:rPr>
          <w:color w:val="0000FF"/>
        </w:rPr>
      </w:r>
      <w:r w:rsidR="004F6ABD" w:rsidRPr="004F6ABD">
        <w:rPr>
          <w:color w:val="0000FF"/>
        </w:rPr>
        <w:fldChar w:fldCharType="separate"/>
      </w:r>
      <w:r w:rsidR="005A26F6" w:rsidRPr="005A26F6">
        <w:rPr>
          <w:color w:val="0000FF"/>
        </w:rPr>
        <w:t>10</w:t>
      </w:r>
      <w:r w:rsidR="004F6ABD" w:rsidRPr="004F6ABD">
        <w:rPr>
          <w:color w:val="0000FF"/>
        </w:rPr>
        <w:fldChar w:fldCharType="end"/>
      </w:r>
      <w:r w:rsidR="004F6ABD">
        <w:t>)</w:t>
      </w:r>
      <w:r w:rsidRPr="00295496">
        <w:t>.</w:t>
      </w:r>
    </w:p>
    <w:p w:rsidR="00020867" w:rsidRPr="00295496" w:rsidRDefault="00020867" w:rsidP="00020867">
      <w:r w:rsidRPr="00295496">
        <w:rPr>
          <w:b/>
        </w:rPr>
        <w:t>Albiglutide (Tanzeum®,</w:t>
      </w:r>
      <w:r w:rsidR="00FE54B1" w:rsidRPr="00295496">
        <w:rPr>
          <w:b/>
        </w:rPr>
        <w:t xml:space="preserve"> </w:t>
      </w:r>
      <w:r w:rsidRPr="00295496">
        <w:rPr>
          <w:b/>
        </w:rPr>
        <w:t>Eperzan®)</w:t>
      </w:r>
      <w:r w:rsidR="009C0BF4">
        <w:rPr>
          <w:b/>
        </w:rPr>
        <w:t>*</w:t>
      </w:r>
      <w:r w:rsidRPr="00295496">
        <w:t xml:space="preserve"> is supplied as a sterile powder diluted in pens and administered by subcutaneous injection.  30-mg Pen for injection (for subcutaneous use) contains 40.3 mg lyophilized albiglutide and 0.65 mL Water for Injection diluent designed to deliver a dose of 30 mg in a volume of 0.5 mL after reconstitution. 50-mg Pen for injection (for subcutaneous use) contains 67 mg lyophilized albiglutide and 0.65 mL Water for Injection diluent </w:t>
      </w:r>
      <w:r w:rsidRPr="00295496">
        <w:lastRenderedPageBreak/>
        <w:t>designed to deliver a dose of 50 mg in a volume of 0.5 mL after reconstitution. Inactive ingredients include 153 mM mannitol, 0.01% (w/w) polysorbate 80, 10 mM sodium phosphate, and 117 mM trehalose dihydrate for Tanzeum® and  monosodic monohydrated phosphate,  disodic anhydrous phosphate, dihydrated trehalose,  Mannitol (E421), polysorbate 80 for Eperzan®. Each pen is a single dose of 30mg or 50mg to be injected once a week</w:t>
      </w:r>
      <w:r w:rsidR="004F6ABD">
        <w:t xml:space="preserve"> (</w:t>
      </w:r>
      <w:r w:rsidR="004F6ABD" w:rsidRPr="004F6ABD">
        <w:rPr>
          <w:color w:val="0000FF"/>
        </w:rPr>
        <w:fldChar w:fldCharType="begin"/>
      </w:r>
      <w:r w:rsidR="004F6ABD" w:rsidRPr="004F6ABD">
        <w:rPr>
          <w:color w:val="0000FF"/>
        </w:rPr>
        <w:instrText xml:space="preserve"> REF  TARGET_REFBIB0011 \h  \* MERGEFORMAT </w:instrText>
      </w:r>
      <w:r w:rsidR="004F6ABD" w:rsidRPr="004F6ABD">
        <w:rPr>
          <w:color w:val="0000FF"/>
        </w:rPr>
      </w:r>
      <w:r w:rsidR="004F6ABD" w:rsidRPr="004F6ABD">
        <w:rPr>
          <w:color w:val="0000FF"/>
        </w:rPr>
        <w:fldChar w:fldCharType="separate"/>
      </w:r>
      <w:r w:rsidR="005A26F6" w:rsidRPr="005A26F6">
        <w:rPr>
          <w:color w:val="0000FF"/>
        </w:rPr>
        <w:t>11</w:t>
      </w:r>
      <w:r w:rsidR="004F6ABD" w:rsidRPr="004F6ABD">
        <w:rPr>
          <w:color w:val="0000FF"/>
        </w:rPr>
        <w:fldChar w:fldCharType="end"/>
      </w:r>
      <w:r w:rsidR="009E56D2">
        <w:rPr>
          <w:color w:val="0000FF"/>
        </w:rPr>
        <w:t xml:space="preserve">, </w:t>
      </w:r>
      <w:r w:rsidR="004F6ABD" w:rsidRPr="004F6ABD">
        <w:rPr>
          <w:color w:val="0000FF"/>
        </w:rPr>
        <w:fldChar w:fldCharType="begin"/>
      </w:r>
      <w:r w:rsidR="004F6ABD" w:rsidRPr="004F6ABD">
        <w:rPr>
          <w:color w:val="0000FF"/>
        </w:rPr>
        <w:instrText xml:space="preserve"> REF  TARGET_REFBIB0012 \h  \* MERGEFORMAT </w:instrText>
      </w:r>
      <w:r w:rsidR="004F6ABD" w:rsidRPr="004F6ABD">
        <w:rPr>
          <w:color w:val="0000FF"/>
        </w:rPr>
      </w:r>
      <w:r w:rsidR="004F6ABD" w:rsidRPr="004F6ABD">
        <w:rPr>
          <w:color w:val="0000FF"/>
        </w:rPr>
        <w:fldChar w:fldCharType="separate"/>
      </w:r>
      <w:r w:rsidR="005A26F6" w:rsidRPr="005A26F6">
        <w:rPr>
          <w:color w:val="0000FF"/>
        </w:rPr>
        <w:t>12</w:t>
      </w:r>
      <w:r w:rsidR="004F6ABD" w:rsidRPr="004F6ABD">
        <w:rPr>
          <w:color w:val="0000FF"/>
        </w:rPr>
        <w:fldChar w:fldCharType="end"/>
      </w:r>
      <w:r w:rsidR="004F6ABD">
        <w:t>)</w:t>
      </w:r>
      <w:r w:rsidRPr="00295496">
        <w:t>.</w:t>
      </w:r>
    </w:p>
    <w:p w:rsidR="00976C6E" w:rsidRDefault="00020867" w:rsidP="00020867">
      <w:r w:rsidRPr="00295496">
        <w:rPr>
          <w:b/>
        </w:rPr>
        <w:t>Dulaglutide (Trulicity®)</w:t>
      </w:r>
      <w:r w:rsidR="009C0BF4">
        <w:rPr>
          <w:b/>
        </w:rPr>
        <w:t>*</w:t>
      </w:r>
      <w:r w:rsidRPr="00295496">
        <w:t xml:space="preserve"> is supplied as a sterile solution in pens or syringes and administered by subcutaneous injection. Each single dose pen</w:t>
      </w:r>
      <w:r w:rsidR="004F6ABD">
        <w:t xml:space="preserve"> or syringe contains  0.75 mg du</w:t>
      </w:r>
      <w:r w:rsidRPr="00295496">
        <w:t>laglut</w:t>
      </w:r>
      <w:r w:rsidR="004F6ABD">
        <w:t>ide/0.5 mL solution or 1.5 mg du</w:t>
      </w:r>
      <w:r w:rsidRPr="00295496">
        <w:t>laglutide/0.5 mL solution with following excipients: citric acid anhydrous (0.07 mg), mannitol (23.2 mg), polysorbate 80 (0.10 mg), trisodium citrate dihydrate (1.37 mg), water for injection. Each pen/syringe is a single dose of 0.75mg or 1.5mg to be injected once a week</w:t>
      </w:r>
      <w:r w:rsidR="004F6ABD">
        <w:t xml:space="preserve"> (</w:t>
      </w:r>
      <w:r w:rsidR="004F6ABD" w:rsidRPr="004F6ABD">
        <w:rPr>
          <w:color w:val="0000FF"/>
        </w:rPr>
        <w:fldChar w:fldCharType="begin"/>
      </w:r>
      <w:r w:rsidR="004F6ABD" w:rsidRPr="004F6ABD">
        <w:rPr>
          <w:color w:val="0000FF"/>
        </w:rPr>
        <w:instrText xml:space="preserve"> REF  TARGET_REFBIB0013 \h  \* MERGEFORMAT </w:instrText>
      </w:r>
      <w:r w:rsidR="004F6ABD" w:rsidRPr="004F6ABD">
        <w:rPr>
          <w:color w:val="0000FF"/>
        </w:rPr>
      </w:r>
      <w:r w:rsidR="004F6ABD" w:rsidRPr="004F6ABD">
        <w:rPr>
          <w:color w:val="0000FF"/>
        </w:rPr>
        <w:fldChar w:fldCharType="separate"/>
      </w:r>
      <w:r w:rsidR="005A26F6" w:rsidRPr="005A26F6">
        <w:rPr>
          <w:color w:val="0000FF"/>
        </w:rPr>
        <w:t>13</w:t>
      </w:r>
      <w:r w:rsidR="004F6ABD" w:rsidRPr="004F6ABD">
        <w:rPr>
          <w:color w:val="0000FF"/>
        </w:rPr>
        <w:fldChar w:fldCharType="end"/>
      </w:r>
      <w:r w:rsidR="009E56D2">
        <w:t xml:space="preserve">, </w:t>
      </w:r>
      <w:r w:rsidR="004F6ABD" w:rsidRPr="004F6ABD">
        <w:rPr>
          <w:color w:val="0000FF"/>
        </w:rPr>
        <w:fldChar w:fldCharType="begin"/>
      </w:r>
      <w:r w:rsidR="004F6ABD" w:rsidRPr="004F6ABD">
        <w:rPr>
          <w:color w:val="0000FF"/>
        </w:rPr>
        <w:instrText xml:space="preserve"> REF  TARGET_REFBIB0014 \h  \* MERGEFORMAT </w:instrText>
      </w:r>
      <w:r w:rsidR="004F6ABD" w:rsidRPr="004F6ABD">
        <w:rPr>
          <w:color w:val="0000FF"/>
        </w:rPr>
      </w:r>
      <w:r w:rsidR="004F6ABD" w:rsidRPr="004F6ABD">
        <w:rPr>
          <w:color w:val="0000FF"/>
        </w:rPr>
        <w:fldChar w:fldCharType="separate"/>
      </w:r>
      <w:r w:rsidR="005A26F6" w:rsidRPr="005A26F6">
        <w:rPr>
          <w:color w:val="0000FF"/>
        </w:rPr>
        <w:t>14</w:t>
      </w:r>
      <w:r w:rsidR="004F6ABD" w:rsidRPr="004F6ABD">
        <w:rPr>
          <w:color w:val="0000FF"/>
        </w:rPr>
        <w:fldChar w:fldCharType="end"/>
      </w:r>
      <w:r w:rsidR="004F6ABD">
        <w:t>)</w:t>
      </w:r>
      <w:r w:rsidRPr="00295496">
        <w:t>.</w:t>
      </w:r>
    </w:p>
    <w:p w:rsidR="009C0BF4" w:rsidRDefault="009C0BF4" w:rsidP="00020867">
      <w:r>
        <w:t>*If available at country level</w:t>
      </w:r>
    </w:p>
    <w:p w:rsidR="00020867" w:rsidRDefault="00020867" w:rsidP="00020867">
      <w:pPr>
        <w:pStyle w:val="Heading3"/>
      </w:pPr>
      <w:bookmarkStart w:id="263" w:name="_Toc443035846"/>
      <w:r>
        <w:t>Injection devices and training for insulin glargine/</w:t>
      </w:r>
      <w:r w:rsidR="00536E61">
        <w:t xml:space="preserve">lixisenatide </w:t>
      </w:r>
      <w:r>
        <w:t>fixed ratio combination</w:t>
      </w:r>
      <w:bookmarkEnd w:id="263"/>
    </w:p>
    <w:p w:rsidR="00020867" w:rsidRDefault="00020867" w:rsidP="00020867">
      <w:pPr>
        <w:pStyle w:val="Heading4"/>
      </w:pPr>
      <w:bookmarkStart w:id="264" w:name="_Toc443035847"/>
      <w:r>
        <w:t>Pen-Injector devices</w:t>
      </w:r>
      <w:bookmarkEnd w:id="264"/>
    </w:p>
    <w:p w:rsidR="00020867" w:rsidRDefault="00020867" w:rsidP="00020867">
      <w:r>
        <w:t xml:space="preserve">The </w:t>
      </w:r>
      <w:r w:rsidR="00536E61" w:rsidRPr="00295496">
        <w:t>FRC</w:t>
      </w:r>
      <w:r w:rsidR="00536E61">
        <w:t xml:space="preserve"> </w:t>
      </w:r>
      <w:r>
        <w:t>product will be self-administered with a pre-filled disposable SoloStar® pen-injector</w:t>
      </w:r>
      <w:r w:rsidR="004F6ABD">
        <w:t>.</w:t>
      </w:r>
    </w:p>
    <w:p w:rsidR="00020867" w:rsidRDefault="00020867" w:rsidP="00020867">
      <w:r>
        <w:t xml:space="preserve">The dose of the </w:t>
      </w:r>
      <w:r w:rsidR="00536E61" w:rsidRPr="00295496">
        <w:t>FRC</w:t>
      </w:r>
      <w:r w:rsidR="00536E61">
        <w:t xml:space="preserve"> </w:t>
      </w:r>
      <w:r>
        <w:t>is titrated according to the patient’s need for insulin glargine, while respecting the minimum and maximum lixisenatide dose of 5 to 20 µg/day. Note that only the dose of insulin glargine appears in the pen dosing window. The dose (µg) of lixisenatide does not appear in the dose window even though lixisenatide is pre-mixed in the cartridge. The lixisenatide dose is increased or decreased along with the insulin glargine dose changes, and the amount of change depends on which Pen (peach yellow or olive green) is used.</w:t>
      </w:r>
    </w:p>
    <w:p w:rsidR="00020867" w:rsidRDefault="00020867" w:rsidP="00020867">
      <w:r>
        <w:t xml:space="preserve">There are two pens (peach and olive) with different insulin glargine/lixisenatide fixed ratios which allow insulin glargine titration from 10 to 60 U while limiting lixisenatide dose to a maximum of 20 µg/day: </w:t>
      </w:r>
    </w:p>
    <w:p w:rsidR="00020867" w:rsidRDefault="00164D9E" w:rsidP="00CC67B4">
      <w:pPr>
        <w:pStyle w:val="ListBulletLevel1"/>
        <w:numPr>
          <w:ilvl w:val="0"/>
          <w:numId w:val="53"/>
        </w:numPr>
      </w:pPr>
      <w:r w:rsidRPr="00295496">
        <w:rPr>
          <w:b/>
        </w:rPr>
        <w:t>Peach Pen</w:t>
      </w:r>
      <w:r w:rsidR="00020867" w:rsidRPr="00C64C39">
        <w:rPr>
          <w:b/>
        </w:rPr>
        <w:t>:</w:t>
      </w:r>
      <w:r w:rsidR="00020867">
        <w:t xml:space="preserve"> pre-filled disposable SoloStar® pen injector containing 3 mL of sterile solution of 100 U/mL insulin glargine and 50 µg/mL lixisenatide in a ratio of 2:1 (2 units of insulin glargine per 1 µg </w:t>
      </w:r>
      <w:r w:rsidR="00C64C39">
        <w:t xml:space="preserve">lixisenatide, </w:t>
      </w:r>
      <w:r w:rsidR="00C64C39" w:rsidRPr="00295496">
        <w:t>glycerol (85%), methionine, meta-cresol, zinc chloride, HCl/NaOH and water for injection</w:t>
      </w:r>
      <w:r w:rsidR="00020867">
        <w:t xml:space="preserve">). This pen allows administration of daily combination doses between 10 U/5 µg and 40 U/20 µg in increments of 1 unit; the </w:t>
      </w:r>
      <w:r w:rsidR="00AC1090" w:rsidRPr="00295496">
        <w:t>P</w:t>
      </w:r>
      <w:r w:rsidR="00020867">
        <w:t xml:space="preserve">each </w:t>
      </w:r>
      <w:r w:rsidR="00AC1090" w:rsidRPr="00295496">
        <w:t>P</w:t>
      </w:r>
      <w:r w:rsidR="00020867">
        <w:t>en will be the pen used for starting the combination treatment.</w:t>
      </w:r>
    </w:p>
    <w:p w:rsidR="00020867" w:rsidRDefault="00020867" w:rsidP="00020867">
      <w:r>
        <w:t xml:space="preserve">It is theoretically possible to dial less than 10 </w:t>
      </w:r>
      <w:r w:rsidR="00E72BCB" w:rsidRPr="00295496">
        <w:t xml:space="preserve">U </w:t>
      </w:r>
      <w:r w:rsidR="00AC1090" w:rsidRPr="00295496">
        <w:t>(corresponding to less than 10</w:t>
      </w:r>
      <w:r w:rsidR="00AC1090">
        <w:t xml:space="preserve"> </w:t>
      </w:r>
      <w:r>
        <w:t>U insulin glargine</w:t>
      </w:r>
      <w:r w:rsidR="00AC1090" w:rsidRPr="00295496">
        <w:t>)</w:t>
      </w:r>
      <w:r w:rsidR="00AC1090">
        <w:t>,</w:t>
      </w:r>
      <w:r>
        <w:t xml:space="preserve"> or to deliver more than 40 </w:t>
      </w:r>
      <w:r w:rsidR="00AC1090" w:rsidRPr="00E72BCB">
        <w:t>U</w:t>
      </w:r>
      <w:r w:rsidR="00AC1090" w:rsidRPr="00295496">
        <w:t xml:space="preserve"> (corresponding to more than 40 </w:t>
      </w:r>
      <w:r w:rsidRPr="00295496">
        <w:t xml:space="preserve">U </w:t>
      </w:r>
      <w:r w:rsidR="00AC1090" w:rsidRPr="00295496">
        <w:t>of insulin glargine)</w:t>
      </w:r>
      <w:r w:rsidR="00AC1090">
        <w:t xml:space="preserve"> </w:t>
      </w:r>
      <w:r>
        <w:t xml:space="preserve">by splitting the dose into 2 separate injections (e.g. giving 2 sequential injections of 25 </w:t>
      </w:r>
      <w:r w:rsidRPr="00E72BCB">
        <w:t>U</w:t>
      </w:r>
      <w:r>
        <w:t xml:space="preserve"> each). With the </w:t>
      </w:r>
      <w:r w:rsidR="00815955" w:rsidRPr="00295496">
        <w:t>P</w:t>
      </w:r>
      <w:r>
        <w:t xml:space="preserve">each </w:t>
      </w:r>
      <w:r w:rsidR="00815955" w:rsidRPr="00295496">
        <w:t>P</w:t>
      </w:r>
      <w:r>
        <w:t xml:space="preserve">en, no doses below 10 </w:t>
      </w:r>
      <w:r w:rsidRPr="00E72BCB">
        <w:t>U</w:t>
      </w:r>
      <w:r>
        <w:t xml:space="preserve"> or above 40 </w:t>
      </w:r>
      <w:r w:rsidRPr="00E72BCB">
        <w:t>U</w:t>
      </w:r>
      <w:r>
        <w:t xml:space="preserve"> should be given. All doses should be given as 1 single injection and never split into more than 1 injection per day.</w:t>
      </w:r>
    </w:p>
    <w:p w:rsidR="00295496" w:rsidRDefault="00020867" w:rsidP="00020867">
      <w:r>
        <w:lastRenderedPageBreak/>
        <w:t xml:space="preserve">Each </w:t>
      </w:r>
      <w:r w:rsidR="00E72BCB" w:rsidRPr="00295496">
        <w:t>Peach</w:t>
      </w:r>
      <w:r w:rsidR="00E72BCB">
        <w:t xml:space="preserve"> P</w:t>
      </w:r>
      <w:r>
        <w:t>en is specifically labeled for use in the study and contains in total 300 units of insulin glargine and 150 μg of lixisenatide in 3 mL.</w:t>
      </w:r>
    </w:p>
    <w:p w:rsidR="00020867" w:rsidRDefault="00020867" w:rsidP="00CC67B4">
      <w:pPr>
        <w:pStyle w:val="ListBulletLevel1"/>
        <w:numPr>
          <w:ilvl w:val="0"/>
          <w:numId w:val="54"/>
        </w:numPr>
      </w:pPr>
      <w:r w:rsidRPr="00BC56B4">
        <w:rPr>
          <w:b/>
        </w:rPr>
        <w:t xml:space="preserve">Olive </w:t>
      </w:r>
      <w:r w:rsidR="00E72BCB" w:rsidRPr="00BC56B4">
        <w:rPr>
          <w:b/>
        </w:rPr>
        <w:t>Pen</w:t>
      </w:r>
      <w:r w:rsidRPr="00C64C39">
        <w:rPr>
          <w:b/>
        </w:rPr>
        <w:t>:</w:t>
      </w:r>
      <w:r>
        <w:t xml:space="preserve"> pre-filled disposable SoloStar® pen injector containing 3 mL of sterile solution of 100 U/mL insulin glargine and 33 µg/mL lixisenatide in ratio of 3:1 (3 units of insulin glargine per 1 µg </w:t>
      </w:r>
      <w:r w:rsidR="00C64C39">
        <w:t xml:space="preserve">lixisenatide, </w:t>
      </w:r>
      <w:r w:rsidR="00C64C39" w:rsidRPr="00BC56B4">
        <w:t>glycerol (85%), methionine, meta-cresol, zinc chloride, HCl/NaOH and water for injection</w:t>
      </w:r>
      <w:r>
        <w:t>). This pen allows administration of daily combination doses between 30 U/10 µg and 60 U/20 µg in increments of 1 unit</w:t>
      </w:r>
      <w:r w:rsidR="00317C8D">
        <w:t xml:space="preserve"> </w:t>
      </w:r>
      <w:r w:rsidR="00317C8D" w:rsidRPr="00BC56B4">
        <w:t>(dose step)</w:t>
      </w:r>
      <w:r>
        <w:t>.</w:t>
      </w:r>
    </w:p>
    <w:p w:rsidR="00020867" w:rsidRDefault="00020867" w:rsidP="00020867">
      <w:r>
        <w:t xml:space="preserve">It is theoretically </w:t>
      </w:r>
      <w:r w:rsidR="00317C8D">
        <w:t>possible to dial less than 30</w:t>
      </w:r>
      <w:r w:rsidR="00E72BCB">
        <w:t xml:space="preserve"> U</w:t>
      </w:r>
      <w:r w:rsidR="00317C8D">
        <w:t xml:space="preserve"> </w:t>
      </w:r>
      <w:r w:rsidR="00317C8D" w:rsidRPr="00BC56B4">
        <w:t>(corresponding to less than 30</w:t>
      </w:r>
      <w:r w:rsidR="00317C8D">
        <w:t xml:space="preserve"> U </w:t>
      </w:r>
      <w:r>
        <w:t>insulin glargine</w:t>
      </w:r>
      <w:r w:rsidR="00317C8D" w:rsidRPr="00BC56B4">
        <w:t>),</w:t>
      </w:r>
      <w:r>
        <w:t xml:space="preserve"> or to deliver more than 60 </w:t>
      </w:r>
      <w:r w:rsidRPr="00E72BCB">
        <w:t xml:space="preserve">U </w:t>
      </w:r>
      <w:r w:rsidR="00317C8D" w:rsidRPr="00BC56B4">
        <w:t>(corresponding to more than 60 U insulin glargine)</w:t>
      </w:r>
      <w:r w:rsidR="00317C8D">
        <w:t xml:space="preserve"> </w:t>
      </w:r>
      <w:r>
        <w:t xml:space="preserve">by splitting the dose into 2 separate injections (e.g. giving 2 sequential injections of 35 </w:t>
      </w:r>
      <w:r w:rsidRPr="00580DE2">
        <w:t>U</w:t>
      </w:r>
      <w:r>
        <w:t xml:space="preserve"> each). With the </w:t>
      </w:r>
      <w:r w:rsidR="00317C8D" w:rsidRPr="00BC56B4">
        <w:t>O</w:t>
      </w:r>
      <w:r>
        <w:t xml:space="preserve">live </w:t>
      </w:r>
      <w:r w:rsidR="00317C8D" w:rsidRPr="00BC56B4">
        <w:t>P</w:t>
      </w:r>
      <w:r>
        <w:t xml:space="preserve">en, no doses below 30 </w:t>
      </w:r>
      <w:r w:rsidRPr="00580DE2">
        <w:t>U</w:t>
      </w:r>
      <w:r>
        <w:t xml:space="preserve"> or above 60 </w:t>
      </w:r>
      <w:r w:rsidRPr="00580DE2">
        <w:t>U</w:t>
      </w:r>
      <w:r>
        <w:t xml:space="preserve"> should be given. All doses should be given as 1 single injection and never split into more than 1 injection per day.</w:t>
      </w:r>
    </w:p>
    <w:p w:rsidR="00020867" w:rsidRDefault="00020867" w:rsidP="00020867">
      <w:r>
        <w:t xml:space="preserve">Each </w:t>
      </w:r>
      <w:r w:rsidR="00580DE2" w:rsidRPr="00BC56B4">
        <w:t>Olive</w:t>
      </w:r>
      <w:r w:rsidR="00580DE2">
        <w:t xml:space="preserve"> P</w:t>
      </w:r>
      <w:r>
        <w:t>en is specifically labeled for use in the study and contains in total 300 units of insulin glargine and 99 μg of lixisenatide in 3 mL.</w:t>
      </w:r>
    </w:p>
    <w:p w:rsidR="00020867" w:rsidRDefault="00020867" w:rsidP="00020867">
      <w:r>
        <w:t>The lixisenatide dose is increased or decreased along with insulin glargine dose and also depends on which pen (</w:t>
      </w:r>
      <w:r w:rsidR="00317C8D" w:rsidRPr="00BC56B4">
        <w:t>P</w:t>
      </w:r>
      <w:r>
        <w:t xml:space="preserve">each </w:t>
      </w:r>
      <w:r w:rsidR="00317C8D" w:rsidRPr="00BC56B4">
        <w:t>P</w:t>
      </w:r>
      <w:r>
        <w:t xml:space="preserve">en or </w:t>
      </w:r>
      <w:r w:rsidR="00317C8D" w:rsidRPr="00BC56B4">
        <w:t>O</w:t>
      </w:r>
      <w:r>
        <w:t xml:space="preserve">live </w:t>
      </w:r>
      <w:r w:rsidR="00317C8D" w:rsidRPr="00BC56B4">
        <w:t>P</w:t>
      </w:r>
      <w:r>
        <w:t xml:space="preserve">en) is used. For example, when the dose window in the </w:t>
      </w:r>
      <w:r w:rsidR="00317C8D" w:rsidRPr="00BC56B4">
        <w:t>P</w:t>
      </w:r>
      <w:r>
        <w:t xml:space="preserve">each </w:t>
      </w:r>
      <w:r w:rsidR="00317C8D" w:rsidRPr="00BC56B4">
        <w:t>P</w:t>
      </w:r>
      <w:r>
        <w:t xml:space="preserve">en (ratio of 2:1) shows 30 </w:t>
      </w:r>
      <w:r w:rsidRPr="00580DE2">
        <w:t>U</w:t>
      </w:r>
      <w:r>
        <w:t xml:space="preserve">, this is a dose of 30 U of insulin glargine and 15 μg of lixisenatide, while for the </w:t>
      </w:r>
      <w:r w:rsidR="00317C8D" w:rsidRPr="00BC56B4">
        <w:t>O</w:t>
      </w:r>
      <w:r>
        <w:t xml:space="preserve">live </w:t>
      </w:r>
      <w:r w:rsidR="00317C8D" w:rsidRPr="00BC56B4">
        <w:t>P</w:t>
      </w:r>
      <w:r>
        <w:t xml:space="preserve">en (ratio of 3:1) when the dose window shows 30 </w:t>
      </w:r>
      <w:r w:rsidRPr="00580DE2">
        <w:t>U</w:t>
      </w:r>
      <w:r>
        <w:t xml:space="preserve">, this is a dose of 30 U of insulin glargine and 10 μg of lixisenatide. </w:t>
      </w:r>
    </w:p>
    <w:p w:rsidR="00020867" w:rsidRDefault="00020867" w:rsidP="00020867">
      <w:r>
        <w:t xml:space="preserve">Detailed doses for </w:t>
      </w:r>
      <w:r w:rsidR="00317C8D" w:rsidRPr="00BC56B4">
        <w:t>P</w:t>
      </w:r>
      <w:r>
        <w:t xml:space="preserve">each </w:t>
      </w:r>
      <w:r w:rsidR="00317C8D" w:rsidRPr="00BC56B4">
        <w:t>P</w:t>
      </w:r>
      <w:r>
        <w:t xml:space="preserve">en and </w:t>
      </w:r>
      <w:r w:rsidR="00317C8D" w:rsidRPr="00BC56B4">
        <w:t>O</w:t>
      </w:r>
      <w:r>
        <w:t xml:space="preserve">live </w:t>
      </w:r>
      <w:r w:rsidR="00317C8D" w:rsidRPr="00BC56B4">
        <w:t>P</w:t>
      </w:r>
      <w:r>
        <w:t>en are shown in the picture below:</w:t>
      </w:r>
    </w:p>
    <w:p w:rsidR="00020867" w:rsidRDefault="0043198B" w:rsidP="00020867">
      <w:pPr>
        <w:spacing w:before="0"/>
        <w:jc w:val="center"/>
        <w:rPr>
          <w:noProof/>
          <w:color w:val="FF00FF"/>
        </w:rPr>
      </w:pPr>
      <w:r>
        <w:rPr>
          <w:noProof/>
          <w:color w:val="FF00FF"/>
          <w:lang w:eastAsia="zh-CN"/>
        </w:rPr>
        <w:lastRenderedPageBreak/>
        <w:drawing>
          <wp:inline distT="0" distB="0" distL="0" distR="0">
            <wp:extent cx="3794125" cy="4858385"/>
            <wp:effectExtent l="0" t="0" r="0" b="0"/>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4125" cy="4858385"/>
                    </a:xfrm>
                    <a:prstGeom prst="rect">
                      <a:avLst/>
                    </a:prstGeom>
                    <a:noFill/>
                    <a:ln>
                      <a:noFill/>
                    </a:ln>
                  </pic:spPr>
                </pic:pic>
              </a:graphicData>
            </a:graphic>
          </wp:inline>
        </w:drawing>
      </w:r>
    </w:p>
    <w:p w:rsidR="00020867" w:rsidRDefault="00A36659" w:rsidP="00A36659">
      <w:pPr>
        <w:pStyle w:val="Heading4"/>
      </w:pPr>
      <w:bookmarkStart w:id="265" w:name="_Ref433986085"/>
      <w:bookmarkStart w:id="266" w:name="_Ref433986100"/>
      <w:bookmarkStart w:id="267" w:name="_Toc443035848"/>
      <w:r>
        <w:t>Training for injection devices</w:t>
      </w:r>
      <w:bookmarkEnd w:id="265"/>
      <w:bookmarkEnd w:id="266"/>
      <w:bookmarkEnd w:id="267"/>
    </w:p>
    <w:p w:rsidR="00A36659" w:rsidRDefault="00A36659" w:rsidP="00A36659">
      <w:r>
        <w:t>An instruction leaflet will be provided which explains how to use the disposable pen-injectors. All patients will be trained by study staff on how to use the pen correctly, how to store it and how to change the needle for both the following pen-injector devices:</w:t>
      </w:r>
    </w:p>
    <w:p w:rsidR="00A36659" w:rsidRDefault="00A36659" w:rsidP="00A36659">
      <w:r>
        <w:t xml:space="preserve">At V3, the patients randomized in the </w:t>
      </w:r>
      <w:r w:rsidR="0020265D" w:rsidRPr="00BC56B4">
        <w:t>FRC</w:t>
      </w:r>
      <w:r w:rsidR="0020265D">
        <w:t xml:space="preserve"> </w:t>
      </w:r>
      <w:r>
        <w:t>treatment group will be trained on using both fixed ratio combination pens (peach pen and olive pen).</w:t>
      </w:r>
    </w:p>
    <w:p w:rsidR="00A36659" w:rsidRDefault="00A36659" w:rsidP="00A36659">
      <w:r>
        <w:t>Training will be repeated as often as deemed necessary by study site staff during the treatment period.</w:t>
      </w:r>
    </w:p>
    <w:p w:rsidR="00A36659" w:rsidRDefault="00A36659" w:rsidP="00A36659">
      <w:r>
        <w:t xml:space="preserve">The pens and leaflet that the patient will need to use during the treatment period will be dispensed according to the visit. Each patient is supplied with the appropriate number of pen-injectors according to the dispensing scheme indicated in the study flowchart (see </w:t>
      </w:r>
      <w:hyperlink w:anchor="_Ref442689224" w:history="1">
        <w:r w:rsidR="00C522CD" w:rsidRPr="00C522CD">
          <w:rPr>
            <w:rStyle w:val="Hyperlink"/>
            <w:u w:val="none"/>
          </w:rPr>
          <w:t>Section</w:t>
        </w:r>
      </w:hyperlink>
      <w:r w:rsidR="00C522CD">
        <w:t xml:space="preserve"> </w:t>
      </w:r>
      <w:r w:rsidR="00C522CD">
        <w:fldChar w:fldCharType="begin"/>
      </w:r>
      <w:r w:rsidR="00C522CD">
        <w:instrText xml:space="preserve"> REF _Ref442689224 \r \h </w:instrText>
      </w:r>
      <w:r w:rsidR="00C522CD">
        <w:fldChar w:fldCharType="separate"/>
      </w:r>
      <w:r w:rsidR="005A26F6">
        <w:t>1.2</w:t>
      </w:r>
      <w:r w:rsidR="00C522CD">
        <w:fldChar w:fldCharType="end"/>
      </w:r>
      <w:r>
        <w:t>).</w:t>
      </w:r>
    </w:p>
    <w:p w:rsidR="00A36659" w:rsidRPr="00A36659" w:rsidRDefault="00A36659" w:rsidP="00A36659">
      <w:r>
        <w:t>The following commercial pen needles will be provided for use with the d</w:t>
      </w:r>
      <w:r w:rsidR="00BC56B4">
        <w:t>isposable injection pen devices: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70"/>
        <w:gridCol w:w="4616"/>
      </w:tblGrid>
      <w:tr w:rsidR="00A36659" w:rsidRPr="00512504" w:rsidTr="0007161F">
        <w:trPr>
          <w:trHeight w:val="1218"/>
        </w:trPr>
        <w:tc>
          <w:tcPr>
            <w:tcW w:w="2617" w:type="pct"/>
            <w:shd w:val="clear" w:color="auto" w:fill="auto"/>
          </w:tcPr>
          <w:p w:rsidR="00A36659" w:rsidRPr="00161A5C" w:rsidRDefault="00A36659" w:rsidP="00237A55">
            <w:pPr>
              <w:spacing w:before="120" w:after="120"/>
              <w:rPr>
                <w:rFonts w:eastAsia="Times New Roman"/>
                <w:lang w:eastAsia="fr-FR"/>
              </w:rPr>
            </w:pPr>
            <w:r w:rsidRPr="00161A5C">
              <w:rPr>
                <w:rFonts w:eastAsia="Times New Roman"/>
                <w:lang w:eastAsia="fr-FR"/>
              </w:rPr>
              <w:lastRenderedPageBreak/>
              <w:t>Becton, Dickinson and Company 31 G x 8 mm</w:t>
            </w:r>
          </w:p>
        </w:tc>
        <w:tc>
          <w:tcPr>
            <w:tcW w:w="2383" w:type="pct"/>
            <w:shd w:val="clear" w:color="auto" w:fill="auto"/>
          </w:tcPr>
          <w:p w:rsidR="00A36659" w:rsidRPr="00161A5C" w:rsidRDefault="00A36659" w:rsidP="00237A55">
            <w:pPr>
              <w:spacing w:before="120" w:after="120"/>
              <w:rPr>
                <w:rFonts w:eastAsia="Times New Roman"/>
                <w:lang w:eastAsia="fr-FR"/>
              </w:rPr>
            </w:pPr>
            <w:r w:rsidRPr="00161A5C">
              <w:rPr>
                <w:rFonts w:eastAsia="Times New Roman"/>
                <w:lang w:eastAsia="fr-FR"/>
              </w:rPr>
              <w:t xml:space="preserve">Fixed-ratio combination </w:t>
            </w:r>
            <w:r w:rsidR="001534FA" w:rsidRPr="00BC56B4">
              <w:rPr>
                <w:rFonts w:eastAsia="Times New Roman"/>
                <w:lang w:eastAsia="fr-FR"/>
              </w:rPr>
              <w:t>P</w:t>
            </w:r>
            <w:r w:rsidRPr="00161A5C">
              <w:rPr>
                <w:rFonts w:eastAsia="Times New Roman"/>
                <w:lang w:eastAsia="fr-FR"/>
              </w:rPr>
              <w:t xml:space="preserve">each </w:t>
            </w:r>
            <w:r w:rsidR="001534FA" w:rsidRPr="00BC56B4">
              <w:rPr>
                <w:rFonts w:eastAsia="Times New Roman"/>
                <w:lang w:eastAsia="fr-FR"/>
              </w:rPr>
              <w:t>P</w:t>
            </w:r>
            <w:r w:rsidRPr="00161A5C">
              <w:rPr>
                <w:rFonts w:eastAsia="Times New Roman"/>
                <w:lang w:eastAsia="fr-FR"/>
              </w:rPr>
              <w:t>en</w:t>
            </w:r>
          </w:p>
          <w:p w:rsidR="00A36659" w:rsidRPr="00161A5C" w:rsidRDefault="00A36659" w:rsidP="00237A55">
            <w:pPr>
              <w:spacing w:before="120" w:after="120"/>
              <w:rPr>
                <w:rFonts w:eastAsia="Times New Roman"/>
                <w:lang w:eastAsia="fr-FR"/>
              </w:rPr>
            </w:pPr>
            <w:r w:rsidRPr="00161A5C">
              <w:rPr>
                <w:rFonts w:eastAsia="Times New Roman"/>
                <w:lang w:eastAsia="fr-FR"/>
              </w:rPr>
              <w:t xml:space="preserve">Fixed-ratio combination </w:t>
            </w:r>
            <w:r w:rsidR="001534FA" w:rsidRPr="00BC56B4">
              <w:rPr>
                <w:rFonts w:eastAsia="Times New Roman"/>
                <w:lang w:eastAsia="fr-FR"/>
              </w:rPr>
              <w:t>O</w:t>
            </w:r>
            <w:r w:rsidRPr="00161A5C">
              <w:rPr>
                <w:rFonts w:eastAsia="Times New Roman"/>
                <w:lang w:eastAsia="fr-FR"/>
              </w:rPr>
              <w:t xml:space="preserve">live </w:t>
            </w:r>
            <w:r w:rsidR="001534FA" w:rsidRPr="00BC56B4">
              <w:rPr>
                <w:rFonts w:eastAsia="Times New Roman"/>
                <w:lang w:eastAsia="fr-FR"/>
              </w:rPr>
              <w:t>P</w:t>
            </w:r>
            <w:r w:rsidRPr="00161A5C">
              <w:rPr>
                <w:rFonts w:eastAsia="Times New Roman"/>
                <w:lang w:eastAsia="fr-FR"/>
              </w:rPr>
              <w:t>en</w:t>
            </w:r>
          </w:p>
          <w:p w:rsidR="00A36659" w:rsidRPr="00161A5C" w:rsidRDefault="00A36659" w:rsidP="00237A55">
            <w:pPr>
              <w:spacing w:before="120" w:after="120"/>
              <w:rPr>
                <w:rFonts w:eastAsia="Times New Roman"/>
                <w:lang w:eastAsia="fr-FR"/>
              </w:rPr>
            </w:pPr>
            <w:r w:rsidRPr="00161A5C">
              <w:rPr>
                <w:rFonts w:eastAsia="Times New Roman"/>
                <w:b/>
                <w:bCs/>
                <w:lang w:eastAsia="fr-FR"/>
              </w:rPr>
              <w:t>Byetta</w:t>
            </w:r>
            <w:r w:rsidRPr="00161A5C">
              <w:rPr>
                <w:rFonts w:eastAsia="Times New Roman"/>
                <w:lang w:eastAsia="fr-FR"/>
              </w:rPr>
              <w:t>®</w:t>
            </w:r>
          </w:p>
        </w:tc>
      </w:tr>
      <w:tr w:rsidR="00A36659" w:rsidRPr="00512504" w:rsidTr="0007161F">
        <w:tc>
          <w:tcPr>
            <w:tcW w:w="2617" w:type="pct"/>
            <w:shd w:val="clear" w:color="auto" w:fill="auto"/>
          </w:tcPr>
          <w:p w:rsidR="00A36659" w:rsidRPr="00161A5C" w:rsidRDefault="00A36659" w:rsidP="00237A55">
            <w:pPr>
              <w:spacing w:before="120" w:after="120"/>
              <w:rPr>
                <w:rFonts w:eastAsia="Times New Roman"/>
                <w:lang w:eastAsia="fr-FR"/>
              </w:rPr>
            </w:pPr>
            <w:r w:rsidRPr="00161A5C">
              <w:rPr>
                <w:rFonts w:eastAsia="Times New Roman"/>
                <w:lang w:eastAsia="fr-FR"/>
              </w:rPr>
              <w:t>NovoFine or NovoTwist of at maximum 8 mm</w:t>
            </w:r>
          </w:p>
        </w:tc>
        <w:tc>
          <w:tcPr>
            <w:tcW w:w="2383" w:type="pct"/>
            <w:shd w:val="clear" w:color="auto" w:fill="auto"/>
          </w:tcPr>
          <w:p w:rsidR="00A36659" w:rsidRPr="00161A5C" w:rsidRDefault="00A36659" w:rsidP="00237A55">
            <w:pPr>
              <w:spacing w:before="120" w:after="120"/>
              <w:rPr>
                <w:rFonts w:eastAsia="Times New Roman"/>
                <w:lang w:eastAsia="fr-FR"/>
              </w:rPr>
            </w:pPr>
            <w:r w:rsidRPr="00161A5C">
              <w:rPr>
                <w:rFonts w:eastAsia="Times New Roman"/>
                <w:b/>
                <w:bCs/>
                <w:lang w:eastAsia="fr-FR"/>
              </w:rPr>
              <w:t>Victoza</w:t>
            </w:r>
            <w:r w:rsidRPr="00161A5C">
              <w:rPr>
                <w:rFonts w:eastAsia="Times New Roman"/>
                <w:lang w:eastAsia="fr-FR"/>
              </w:rPr>
              <w:t>®</w:t>
            </w:r>
          </w:p>
        </w:tc>
      </w:tr>
    </w:tbl>
    <w:p w:rsidR="00D512DB" w:rsidRDefault="00D512DB" w:rsidP="00A36659">
      <w:r w:rsidRPr="00BC56B4">
        <w:t>For Bydureon® and Tanzeum®/Eperzan®, the needles are included in the treatment box. For Trulicity®, the needle is included in the pen device.</w:t>
      </w:r>
    </w:p>
    <w:p w:rsidR="00A36659" w:rsidRPr="00A36659" w:rsidRDefault="00AB3773" w:rsidP="00A36659">
      <w:r w:rsidRPr="00AB3773">
        <w:t>A Pen-Related Event Questionnaire (</w:t>
      </w:r>
      <w:r w:rsidRPr="0005688E">
        <w:t>PREQ</w:t>
      </w:r>
      <w:r w:rsidR="0005688E">
        <w:fldChar w:fldCharType="begin"/>
      </w:r>
      <w:r w:rsidR="0005688E">
        <w:instrText xml:space="preserve"> XE "</w:instrText>
      </w:r>
      <w:r w:rsidR="0005688E" w:rsidRPr="0005688E">
        <w:instrText xml:space="preserve"> PREQ</w:instrText>
      </w:r>
      <w:r w:rsidR="009A6873">
        <w:instrText xml:space="preserve"> " \f Abbreviation \t "p</w:instrText>
      </w:r>
      <w:r w:rsidR="0005688E">
        <w:instrText xml:space="preserve">en-related event questionnaire" </w:instrText>
      </w:r>
      <w:r w:rsidR="0005688E">
        <w:fldChar w:fldCharType="end"/>
      </w:r>
      <w:r w:rsidRPr="00AB3773">
        <w:t xml:space="preserve">) in the </w:t>
      </w:r>
      <w:r>
        <w:t>electronic case report form (</w:t>
      </w:r>
      <w:r w:rsidRPr="0005688E">
        <w:t>e-CRF</w:t>
      </w:r>
      <w:r>
        <w:t>)</w:t>
      </w:r>
      <w:r w:rsidRPr="00AB3773">
        <w:t xml:space="preserve"> should be completed if a Pen-Related Event (</w:t>
      </w:r>
      <w:r w:rsidRPr="0005688E">
        <w:t>PRE</w:t>
      </w:r>
      <w:r w:rsidRPr="00AB3773">
        <w:t>) occurs. For Pen Related Events that are not resolved by further guidance/review of instructions or troubleshooting with the pen during the visit (on site visit or phone visit), a Product Technical Complaint (</w:t>
      </w:r>
      <w:r w:rsidRPr="0005688E">
        <w:t>PTC</w:t>
      </w:r>
      <w:r w:rsidR="0005688E">
        <w:fldChar w:fldCharType="begin"/>
      </w:r>
      <w:r w:rsidR="0005688E">
        <w:instrText xml:space="preserve"> XE "</w:instrText>
      </w:r>
      <w:r w:rsidR="0005688E" w:rsidRPr="0005688E">
        <w:instrText xml:space="preserve"> PTC</w:instrText>
      </w:r>
      <w:r w:rsidR="0005688E">
        <w:instrText xml:space="preserve"> " \f Abbreviation \t "</w:instrText>
      </w:r>
      <w:r w:rsidR="009A6873">
        <w:instrText>p</w:instrText>
      </w:r>
      <w:r w:rsidR="0005688E">
        <w:instrText xml:space="preserve">roduct technical complaint" </w:instrText>
      </w:r>
      <w:r w:rsidR="0005688E">
        <w:fldChar w:fldCharType="end"/>
      </w:r>
      <w:r w:rsidRPr="00AB3773">
        <w:t xml:space="preserve">) form which is described in a separate manual must be completed, the pen associated with the event should be retrieved and both should be sent to the manufacturing site for technical investigation (Please see details in </w:t>
      </w:r>
      <w:hyperlink w:anchor="_Ref434492583" w:history="1">
        <w:r w:rsidR="00C522CD" w:rsidRPr="00C522CD">
          <w:rPr>
            <w:rStyle w:val="Hyperlink"/>
            <w:u w:val="none"/>
          </w:rPr>
          <w:t>Section</w:t>
        </w:r>
      </w:hyperlink>
      <w:r w:rsidR="00C522CD">
        <w:t xml:space="preserve"> </w:t>
      </w:r>
      <w:r w:rsidR="00C522CD">
        <w:fldChar w:fldCharType="begin"/>
      </w:r>
      <w:r w:rsidR="00C522CD">
        <w:instrText xml:space="preserve"> REF _Ref434492583 \r \h </w:instrText>
      </w:r>
      <w:r w:rsidR="00C522CD">
        <w:fldChar w:fldCharType="separate"/>
      </w:r>
      <w:r w:rsidR="005A26F6">
        <w:t>10.6.8</w:t>
      </w:r>
      <w:r w:rsidR="00C522CD">
        <w:fldChar w:fldCharType="end"/>
      </w:r>
      <w:r w:rsidRPr="00AB3773">
        <w:t>).</w:t>
      </w:r>
    </w:p>
    <w:p w:rsidR="00A36659" w:rsidRDefault="00071DFB" w:rsidP="00071DFB">
      <w:pPr>
        <w:pStyle w:val="Heading3"/>
      </w:pPr>
      <w:bookmarkStart w:id="268" w:name="_Ref440281282"/>
      <w:bookmarkStart w:id="269" w:name="_Toc443035849"/>
      <w:r>
        <w:t>Dose schedule</w:t>
      </w:r>
      <w:bookmarkEnd w:id="268"/>
      <w:bookmarkEnd w:id="269"/>
    </w:p>
    <w:p w:rsidR="00682117" w:rsidRPr="00682117" w:rsidRDefault="00682117" w:rsidP="00682117">
      <w:pPr>
        <w:rPr>
          <w:b/>
        </w:rPr>
      </w:pPr>
      <w:r w:rsidRPr="00682117">
        <w:rPr>
          <w:b/>
        </w:rPr>
        <w:t>Insulin glargine/lixisenatide fixed ratio combination</w:t>
      </w:r>
      <w:r w:rsidR="00EF0911">
        <w:rPr>
          <w:b/>
        </w:rPr>
        <w:t xml:space="preserve"> </w:t>
      </w:r>
      <w:r w:rsidR="00EF0911" w:rsidRPr="00BC56B4">
        <w:rPr>
          <w:b/>
        </w:rPr>
        <w:t>(FRC)</w:t>
      </w:r>
    </w:p>
    <w:p w:rsidR="00682117" w:rsidRDefault="00682117" w:rsidP="00682117">
      <w:r>
        <w:t xml:space="preserve">The </w:t>
      </w:r>
      <w:r w:rsidR="00EF0911" w:rsidRPr="00BC56B4">
        <w:t>FRC</w:t>
      </w:r>
      <w:r w:rsidR="00EF0911">
        <w:t xml:space="preserve"> </w:t>
      </w:r>
      <w:r>
        <w:t xml:space="preserve">should be self-administered once daily in the morning in the hour (0 to 60 minutes) before breakfast, using </w:t>
      </w:r>
      <w:r w:rsidR="001534FA" w:rsidRPr="00BC56B4">
        <w:t>P</w:t>
      </w:r>
      <w:r>
        <w:t xml:space="preserve">each </w:t>
      </w:r>
      <w:r w:rsidR="001534FA" w:rsidRPr="00BC56B4">
        <w:t>P</w:t>
      </w:r>
      <w:r>
        <w:t xml:space="preserve">en or </w:t>
      </w:r>
      <w:r w:rsidR="001534FA" w:rsidRPr="00BC56B4">
        <w:t>O</w:t>
      </w:r>
      <w:r>
        <w:t xml:space="preserve">live </w:t>
      </w:r>
      <w:r w:rsidR="001534FA" w:rsidRPr="00BC56B4">
        <w:t>P</w:t>
      </w:r>
      <w:r>
        <w:t>en depending on the daily dose of insulin glargine.</w:t>
      </w:r>
    </w:p>
    <w:p w:rsidR="00682117" w:rsidRPr="00682117" w:rsidRDefault="00682117" w:rsidP="00682117">
      <w:pPr>
        <w:rPr>
          <w:b/>
        </w:rPr>
      </w:pPr>
      <w:r w:rsidRPr="00682117">
        <w:rPr>
          <w:b/>
        </w:rPr>
        <w:t>Victoza®</w:t>
      </w:r>
    </w:p>
    <w:p w:rsidR="00682117" w:rsidRDefault="00682117" w:rsidP="00682117">
      <w:r>
        <w:t xml:space="preserve">Liraglutide (Victoza®) will be administrated as per local labelling (such as </w:t>
      </w:r>
      <w:r w:rsidR="00B71840">
        <w:t>SmPC</w:t>
      </w:r>
      <w:r>
        <w:t xml:space="preserve"> in the European Union or </w:t>
      </w:r>
      <w:r w:rsidR="00B71840">
        <w:t>PI</w:t>
      </w:r>
      <w:r>
        <w:t xml:space="preserve"> in the US), continuing the same dose schedule as before randomization.</w:t>
      </w:r>
      <w:r w:rsidR="0019767C">
        <w:t xml:space="preserve"> </w:t>
      </w:r>
      <w:r w:rsidR="0019767C" w:rsidRPr="0019767C">
        <w:t>Victoza® can be administered once daily at any time of day, independently of meals.</w:t>
      </w:r>
    </w:p>
    <w:p w:rsidR="00682117" w:rsidRPr="00682117" w:rsidRDefault="00682117" w:rsidP="00682117">
      <w:pPr>
        <w:rPr>
          <w:b/>
        </w:rPr>
      </w:pPr>
      <w:r w:rsidRPr="00682117">
        <w:rPr>
          <w:b/>
        </w:rPr>
        <w:t>Byetta®</w:t>
      </w:r>
    </w:p>
    <w:p w:rsidR="00682117" w:rsidRDefault="00682117" w:rsidP="003801AC">
      <w:r>
        <w:t xml:space="preserve">Exenatide BID (Byetta®) will be administrated as per local labelling (such as </w:t>
      </w:r>
      <w:r w:rsidR="00B71840">
        <w:t>SmPC</w:t>
      </w:r>
      <w:r>
        <w:t xml:space="preserve"> in the European Union or PI in the US), continuing the same dose schedule as before randomization.</w:t>
      </w:r>
      <w:r w:rsidR="003801AC">
        <w:t xml:space="preserve"> Byetta® can be administrated twice daily at any time within the 60 minute period before the morning and evening meal (or two main meals of the day, approximately 6 hours or more apart). Byetta® should not be administered after a meal.</w:t>
      </w:r>
    </w:p>
    <w:p w:rsidR="00071DFB" w:rsidRDefault="00682117" w:rsidP="00682117">
      <w:r>
        <w:t>At days of on-site visits, the IMP which is to be administered before breakfast should be self-administered at the investigational site under the observation of site staff.</w:t>
      </w:r>
    </w:p>
    <w:p w:rsidR="00B71840" w:rsidRPr="00BC56B4" w:rsidRDefault="00B71840" w:rsidP="00E37F9A">
      <w:pPr>
        <w:keepNext/>
        <w:rPr>
          <w:b/>
        </w:rPr>
      </w:pPr>
      <w:r w:rsidRPr="00BC56B4">
        <w:rPr>
          <w:b/>
        </w:rPr>
        <w:t>Bydureon®</w:t>
      </w:r>
    </w:p>
    <w:p w:rsidR="00B71840" w:rsidRPr="00BC56B4" w:rsidRDefault="00B71840" w:rsidP="00B71840">
      <w:r w:rsidRPr="00BC56B4">
        <w:t xml:space="preserve">Exenatide extended-release (Bydureon®) will be administrated as per local labelling (such as SmPC in the European Union or PI in the US), continuing the same dose schedule as before </w:t>
      </w:r>
      <w:r w:rsidRPr="00BC56B4">
        <w:lastRenderedPageBreak/>
        <w:t>randomization.</w:t>
      </w:r>
      <w:r w:rsidR="003801AC">
        <w:t xml:space="preserve"> Bydureon® </w:t>
      </w:r>
      <w:r w:rsidR="003801AC" w:rsidRPr="003801AC">
        <w:t>can be administered once a week at any time of day, independently of meals</w:t>
      </w:r>
      <w:r w:rsidR="003801AC">
        <w:t>.</w:t>
      </w:r>
    </w:p>
    <w:p w:rsidR="00B71840" w:rsidRPr="00BC56B4" w:rsidRDefault="00B71840" w:rsidP="00B71840">
      <w:pPr>
        <w:rPr>
          <w:b/>
        </w:rPr>
      </w:pPr>
      <w:r w:rsidRPr="00BC56B4">
        <w:rPr>
          <w:b/>
        </w:rPr>
        <w:t>Tanzeum®/Eperzan®</w:t>
      </w:r>
    </w:p>
    <w:p w:rsidR="00B71840" w:rsidRPr="00BC56B4" w:rsidRDefault="00946F48" w:rsidP="00B71840">
      <w:r w:rsidRPr="00BC56B4">
        <w:t>Albiglutide</w:t>
      </w:r>
      <w:r w:rsidR="00B71840" w:rsidRPr="00BC56B4">
        <w:t xml:space="preserve"> (</w:t>
      </w:r>
      <w:r w:rsidRPr="00BC56B4">
        <w:t>Tanzeum</w:t>
      </w:r>
      <w:r w:rsidRPr="00BC56B4">
        <w:rPr>
          <w:b/>
        </w:rPr>
        <w:t>®/</w:t>
      </w:r>
      <w:r w:rsidRPr="00BC56B4">
        <w:t>Eperzan</w:t>
      </w:r>
      <w:r w:rsidR="00B71840" w:rsidRPr="00BC56B4">
        <w:t>®) will be administrated as per local labelling (such as SmPC in the European Union or PI in the US), continuing the same dose schedule as before randomization.</w:t>
      </w:r>
      <w:r w:rsidR="003801AC">
        <w:t xml:space="preserve"> Tanzeum® /Eperzan® </w:t>
      </w:r>
      <w:r w:rsidR="003801AC" w:rsidRPr="003801AC">
        <w:t>can be administered once a week at any time of day, independently of meals</w:t>
      </w:r>
      <w:r w:rsidR="003801AC">
        <w:t>.</w:t>
      </w:r>
    </w:p>
    <w:p w:rsidR="00946F48" w:rsidRPr="00BC56B4" w:rsidRDefault="00946F48" w:rsidP="00946F48">
      <w:pPr>
        <w:rPr>
          <w:b/>
        </w:rPr>
      </w:pPr>
      <w:r w:rsidRPr="00BC56B4">
        <w:rPr>
          <w:b/>
        </w:rPr>
        <w:t>Trulicity®</w:t>
      </w:r>
    </w:p>
    <w:p w:rsidR="00946F48" w:rsidRDefault="00946F48" w:rsidP="00946F48">
      <w:r w:rsidRPr="00BC56B4">
        <w:t>Dulaglutide (Trulicity®) will be administrated as per local labelling (such as SmPC in the European Union or PI in the US), continuing the same dose schedule as before randomization.</w:t>
      </w:r>
      <w:r w:rsidR="003801AC">
        <w:t xml:space="preserve"> </w:t>
      </w:r>
      <w:r w:rsidR="003801AC" w:rsidRPr="003801AC">
        <w:t>Trulicity® can be administered once a week at any time of day, independently of meals</w:t>
      </w:r>
      <w:r w:rsidR="003801AC">
        <w:t>.</w:t>
      </w:r>
    </w:p>
    <w:p w:rsidR="00946F48" w:rsidRPr="00946F48" w:rsidRDefault="00946F48" w:rsidP="00946F48">
      <w:pPr>
        <w:rPr>
          <w:b/>
        </w:rPr>
      </w:pPr>
      <w:r w:rsidRPr="00946F48">
        <w:rPr>
          <w:b/>
        </w:rPr>
        <w:t>Injection site</w:t>
      </w:r>
    </w:p>
    <w:p w:rsidR="00B71840" w:rsidRDefault="00946F48" w:rsidP="00946F48">
      <w:r>
        <w:t>The IMP should be administered by deep subcutaneous injection, alternating between the left and right anterolateral and left and right posterolateral abdominal wall or thighs or upper arms. Within a given area, location should be changed (rotated) at each time to prevent injection site skin reactions</w:t>
      </w:r>
    </w:p>
    <w:p w:rsidR="00946F48" w:rsidRDefault="000B2DDB" w:rsidP="000B2DDB">
      <w:pPr>
        <w:pStyle w:val="Heading3"/>
      </w:pPr>
      <w:bookmarkStart w:id="270" w:name="_Ref433978151"/>
      <w:bookmarkStart w:id="271" w:name="_Ref433986147"/>
      <w:bookmarkStart w:id="272" w:name="_Toc443035850"/>
      <w:r>
        <w:t>Starting dose and dose adjustment</w:t>
      </w:r>
      <w:bookmarkEnd w:id="270"/>
      <w:bookmarkEnd w:id="271"/>
      <w:bookmarkEnd w:id="272"/>
    </w:p>
    <w:p w:rsidR="000B2DDB" w:rsidRDefault="000B2DDB" w:rsidP="000B2DDB">
      <w:pPr>
        <w:pStyle w:val="Heading4"/>
      </w:pPr>
      <w:bookmarkStart w:id="273" w:name="_Ref434174781"/>
      <w:bookmarkStart w:id="274" w:name="_Toc443035851"/>
      <w:r>
        <w:t xml:space="preserve">Insulin glargine/lixisenatide fixed ratio combination </w:t>
      </w:r>
      <w:r w:rsidR="0093088E" w:rsidRPr="007638FB">
        <w:t>(FRC)</w:t>
      </w:r>
      <w:r w:rsidR="0093088E">
        <w:t xml:space="preserve"> </w:t>
      </w:r>
      <w:r>
        <w:t>group</w:t>
      </w:r>
      <w:bookmarkEnd w:id="273"/>
      <w:bookmarkEnd w:id="274"/>
    </w:p>
    <w:p w:rsidR="000B2DDB" w:rsidRPr="000B2DDB" w:rsidRDefault="000B2DDB" w:rsidP="000B2DDB">
      <w:pPr>
        <w:rPr>
          <w:b/>
        </w:rPr>
      </w:pPr>
      <w:r w:rsidRPr="000B2DDB">
        <w:rPr>
          <w:b/>
        </w:rPr>
        <w:t>Starting dose</w:t>
      </w:r>
    </w:p>
    <w:p w:rsidR="000B2DDB" w:rsidRDefault="000B2DDB" w:rsidP="000B2DDB">
      <w:r>
        <w:t xml:space="preserve">Treatment will be initiated with the </w:t>
      </w:r>
      <w:r w:rsidR="00F15696" w:rsidRPr="007638FB">
        <w:t>P</w:t>
      </w:r>
      <w:r>
        <w:t xml:space="preserve">each </w:t>
      </w:r>
      <w:r w:rsidR="00F15696" w:rsidRPr="007638FB">
        <w:t>P</w:t>
      </w:r>
      <w:r>
        <w:t xml:space="preserve">en. The initial daily dose of </w:t>
      </w:r>
      <w:r w:rsidR="007F0B0A" w:rsidRPr="007638FB">
        <w:t>FRC</w:t>
      </w:r>
      <w:r w:rsidR="007F0B0A">
        <w:t xml:space="preserve"> </w:t>
      </w:r>
      <w:r>
        <w:t xml:space="preserve">to be administered will be 10 </w:t>
      </w:r>
      <w:r w:rsidRPr="003D1FD0">
        <w:t>U</w:t>
      </w:r>
      <w:r>
        <w:t xml:space="preserve">: this corresponds to an initial associated dose of </w:t>
      </w:r>
      <w:r w:rsidR="00F15696" w:rsidRPr="001B4D37">
        <w:t>10 U of insulin glargine and</w:t>
      </w:r>
      <w:r w:rsidR="00F15696">
        <w:t xml:space="preserve"> </w:t>
      </w:r>
      <w:r>
        <w:t xml:space="preserve">5 μg </w:t>
      </w:r>
      <w:r w:rsidR="00F15696" w:rsidRPr="001B4D37">
        <w:t>of lixisenatide</w:t>
      </w:r>
      <w:r w:rsidR="00F15696">
        <w:t xml:space="preserve"> </w:t>
      </w:r>
      <w:r>
        <w:t xml:space="preserve">according to the 2 U/1 μg fixed ratio used in the </w:t>
      </w:r>
      <w:r w:rsidR="00F15696" w:rsidRPr="001B4D37">
        <w:t>P</w:t>
      </w:r>
      <w:r>
        <w:t xml:space="preserve">each </w:t>
      </w:r>
      <w:r w:rsidR="00F15696" w:rsidRPr="001B4D37">
        <w:t>P</w:t>
      </w:r>
      <w:r>
        <w:t>en.</w:t>
      </w:r>
    </w:p>
    <w:p w:rsidR="000B2DDB" w:rsidRDefault="00024716" w:rsidP="000B2DDB">
      <w:r w:rsidRPr="001B4D37">
        <w:t xml:space="preserve">Patients who are randomized from once weekly formulations of GLP-1 RA to the </w:t>
      </w:r>
      <w:r w:rsidR="006D33B2" w:rsidRPr="001B4D37">
        <w:t xml:space="preserve">FRC </w:t>
      </w:r>
      <w:r w:rsidRPr="001B4D37">
        <w:t xml:space="preserve">group must not administer the first dose of </w:t>
      </w:r>
      <w:r w:rsidR="006D33B2" w:rsidRPr="001B4D37">
        <w:t xml:space="preserve">FRC </w:t>
      </w:r>
      <w:r w:rsidRPr="001B4D37">
        <w:t>until at least 1 week after the</w:t>
      </w:r>
      <w:r w:rsidR="000A1619" w:rsidRPr="001B4D37">
        <w:t>ir</w:t>
      </w:r>
      <w:r w:rsidRPr="001B4D37">
        <w:t xml:space="preserve"> </w:t>
      </w:r>
      <w:r w:rsidR="000A1619" w:rsidRPr="001B4D37">
        <w:t>last dose of once weekly GLP-1 RA.</w:t>
      </w:r>
      <w:r>
        <w:t xml:space="preserve"> </w:t>
      </w:r>
    </w:p>
    <w:p w:rsidR="000A1619" w:rsidRPr="000A1619" w:rsidRDefault="000A1619" w:rsidP="000A1619">
      <w:pPr>
        <w:rPr>
          <w:b/>
        </w:rPr>
      </w:pPr>
      <w:r w:rsidRPr="000A1619">
        <w:rPr>
          <w:b/>
        </w:rPr>
        <w:t>Dose adjustment</w:t>
      </w:r>
    </w:p>
    <w:p w:rsidR="000A1619" w:rsidRDefault="000A1619" w:rsidP="000A1619">
      <w:r>
        <w:t xml:space="preserve">During the first 8 weeks of treatment, from V3 (week 0) to V19 (week 8), the dose will be titrated twice a week as far as possible (see algorithm in </w:t>
      </w:r>
      <w:r w:rsidR="004A4C2C" w:rsidRPr="004A4C2C">
        <w:rPr>
          <w:color w:val="0000FF"/>
        </w:rPr>
        <w:fldChar w:fldCharType="begin"/>
      </w:r>
      <w:r w:rsidR="004A4C2C" w:rsidRPr="004A4C2C">
        <w:rPr>
          <w:color w:val="0000FF"/>
        </w:rPr>
        <w:instrText xml:space="preserve"> REF _Ref434492584 \h  \* MERGEFORMAT </w:instrText>
      </w:r>
      <w:r w:rsidR="004A4C2C" w:rsidRPr="004A4C2C">
        <w:rPr>
          <w:color w:val="0000FF"/>
        </w:rPr>
      </w:r>
      <w:r w:rsidR="004A4C2C" w:rsidRPr="004A4C2C">
        <w:rPr>
          <w:color w:val="0000FF"/>
        </w:rPr>
        <w:fldChar w:fldCharType="separate"/>
      </w:r>
      <w:r w:rsidR="005A26F6" w:rsidRPr="005A26F6">
        <w:rPr>
          <w:color w:val="0000FF"/>
        </w:rPr>
        <w:t>Table 1</w:t>
      </w:r>
      <w:r w:rsidR="004A4C2C" w:rsidRPr="004A4C2C">
        <w:rPr>
          <w:color w:val="0000FF"/>
        </w:rPr>
        <w:fldChar w:fldCharType="end"/>
      </w:r>
      <w:r>
        <w:t xml:space="preserve"> below) based on the insulin glargine dose, until the patient reaches a target fasting SMPG of 80 to 100 mg/dL (4.4 to 5.6 mmol/L) while avoiding hypoglycemia episodes. Titration will be done at the scheduled weekly visits (V5, V7, V9, V11, V13, V15, V17, V19) plus at one additional weekly titration phone call visit to be scheduled between the weekly visits (V4, V6, V8, V10, V12, V14, V16, V18). The additional titration phone call visit should be scheduled to allow for at least two days in between successive visits (example: weekly visits to occur on Mondays and titration phone calls to occur on </w:t>
      </w:r>
      <w:r>
        <w:lastRenderedPageBreak/>
        <w:t>Thursdays or Fridays). In case the additional phone call is missed during the week, the titration should continue as per the originally planned schedule. Thereafter, from V19 (week 8</w:t>
      </w:r>
      <w:r w:rsidR="0007161F">
        <w:t>) until V28 (W</w:t>
      </w:r>
      <w:r>
        <w:t>eek 26), the dose will be adjusted as necessary to maintain this fasting SMPG target, with recommendation to evaluate the dose at least once a week.</w:t>
      </w:r>
    </w:p>
    <w:p w:rsidR="000A1619" w:rsidRDefault="000A1619" w:rsidP="000A1619">
      <w:r>
        <w:t>Dose changes are based on the lowest fasting SMPG value from the last 3 measurements, which may include the value measured on the day of titration, measured by the patient using glucometers and accessories supplied by the sponsor.</w:t>
      </w:r>
    </w:p>
    <w:p w:rsidR="000A1619" w:rsidRDefault="000A1619" w:rsidP="000A1619">
      <w:r>
        <w:t>Sound clinical judgment is to be exercised during titration. Investigators may adjust or stop titration, or temporarily reduce dose if they believe further titration would be hazardous at that time.</w:t>
      </w:r>
    </w:p>
    <w:p w:rsidR="000A1619" w:rsidRDefault="000A1619" w:rsidP="000A1619">
      <w:r>
        <w:t xml:space="preserve">The total daily dose will be capped at 60 </w:t>
      </w:r>
      <w:r w:rsidRPr="003D1FD0">
        <w:t>U</w:t>
      </w:r>
      <w:r>
        <w:t xml:space="preserve">. In case a dose &gt;60 </w:t>
      </w:r>
      <w:r w:rsidRPr="003D1FD0">
        <w:t>U</w:t>
      </w:r>
      <w:r>
        <w:t xml:space="preserve"> is needed to maintain glucose parameters below </w:t>
      </w:r>
      <w:r w:rsidR="006475A0">
        <w:t xml:space="preserve">the </w:t>
      </w:r>
      <w:r>
        <w:t xml:space="preserve">threshold value defined for rescue therapy, the dose should be kept at 60 </w:t>
      </w:r>
      <w:r w:rsidRPr="003D1FD0">
        <w:t>U</w:t>
      </w:r>
      <w:r>
        <w:t xml:space="preserve"> and a rescue therapy should be introduced (see </w:t>
      </w:r>
      <w:hyperlink w:anchor="_Ref434492049" w:history="1">
        <w:r w:rsidR="00C522CD" w:rsidRPr="00C522CD">
          <w:rPr>
            <w:rStyle w:val="Hyperlink"/>
            <w:u w:val="none"/>
          </w:rPr>
          <w:t>Section</w:t>
        </w:r>
      </w:hyperlink>
      <w:r w:rsidR="00C522CD">
        <w:t xml:space="preserve"> </w:t>
      </w:r>
      <w:r w:rsidR="00C522CD">
        <w:fldChar w:fldCharType="begin"/>
      </w:r>
      <w:r w:rsidR="00C522CD">
        <w:instrText xml:space="preserve"> REF _Ref434492049 \r \h </w:instrText>
      </w:r>
      <w:r w:rsidR="00C522CD">
        <w:fldChar w:fldCharType="separate"/>
      </w:r>
      <w:r w:rsidR="005A26F6">
        <w:t>8.2.3</w:t>
      </w:r>
      <w:r w:rsidR="00C522CD">
        <w:fldChar w:fldCharType="end"/>
      </w:r>
      <w:r>
        <w:t xml:space="preserve"> on rescue therapy).</w:t>
      </w:r>
    </w:p>
    <w:p w:rsidR="000A1619" w:rsidRDefault="000A1619" w:rsidP="000A1619">
      <w:r>
        <w:t>All assessments planned at the end of treatment visit (V28) are to be performed before initiating rescue therapy.</w:t>
      </w:r>
    </w:p>
    <w:p w:rsidR="000A1619" w:rsidRDefault="000A1619" w:rsidP="000A1619">
      <w:pPr>
        <w:pStyle w:val="Caption"/>
      </w:pPr>
      <w:bookmarkStart w:id="275" w:name="_Toc442096328"/>
      <w:bookmarkStart w:id="276" w:name="_Ref434492584"/>
      <w:bookmarkStart w:id="277" w:name="_Toc443035981"/>
      <w:r>
        <w:t>Table </w:t>
      </w:r>
      <w:r>
        <w:fldChar w:fldCharType="begin"/>
      </w:r>
      <w:r>
        <w:instrText xml:space="preserve"> SEQ Table \* ARABIC </w:instrText>
      </w:r>
      <w:r>
        <w:fldChar w:fldCharType="separate"/>
      </w:r>
      <w:r w:rsidR="005A26F6">
        <w:rPr>
          <w:noProof/>
        </w:rPr>
        <w:t>1</w:t>
      </w:r>
      <w:r>
        <w:fldChar w:fldCharType="end"/>
      </w:r>
      <w:bookmarkEnd w:id="276"/>
      <w:r w:rsidR="009B4C7A">
        <w:t xml:space="preserve"> -</w:t>
      </w:r>
      <w:r>
        <w:t xml:space="preserve"> Dose adjustment algorithm</w:t>
      </w:r>
      <w:r w:rsidR="00E47FFE">
        <w:t xml:space="preserve"> for insulin glargine/lixisenatide fixed ratio combination</w:t>
      </w:r>
      <w:bookmarkEnd w:id="275"/>
      <w:bookmarkEnd w:id="277"/>
    </w:p>
    <w:tbl>
      <w:tblPr>
        <w:tblW w:w="5000" w:type="pct"/>
        <w:tblCellMar>
          <w:left w:w="0" w:type="dxa"/>
          <w:right w:w="0" w:type="dxa"/>
        </w:tblCellMar>
        <w:tblLook w:val="04A0" w:firstRow="1" w:lastRow="0" w:firstColumn="1" w:lastColumn="0" w:noHBand="0" w:noVBand="1"/>
      </w:tblPr>
      <w:tblGrid>
        <w:gridCol w:w="5982"/>
        <w:gridCol w:w="3704"/>
      </w:tblGrid>
      <w:tr w:rsidR="000A1619" w:rsidRPr="003A67D6" w:rsidTr="00E37F9A">
        <w:trPr>
          <w:trHeight w:val="603"/>
          <w:tblHeader/>
        </w:trPr>
        <w:tc>
          <w:tcPr>
            <w:tcW w:w="3088"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A1619" w:rsidRPr="00512504" w:rsidRDefault="000A1619" w:rsidP="00161A5C">
            <w:pPr>
              <w:pStyle w:val="TblHeadingCenter"/>
              <w:keepNext/>
              <w:keepLines/>
              <w:rPr>
                <w:lang w:val="en-US"/>
              </w:rPr>
            </w:pPr>
            <w:r w:rsidRPr="000F0536">
              <w:rPr>
                <w:lang w:val="en-US"/>
              </w:rPr>
              <w:t>The lowest</w:t>
            </w:r>
            <w:r w:rsidRPr="00512504">
              <w:rPr>
                <w:lang w:val="en-US"/>
              </w:rPr>
              <w:t xml:space="preserve"> fasting SMPG value from </w:t>
            </w:r>
            <w:r>
              <w:rPr>
                <w:lang w:val="en-US"/>
              </w:rPr>
              <w:t>the last 3 measurements, which may include the value measured on the day of titration</w:t>
            </w:r>
          </w:p>
        </w:tc>
        <w:tc>
          <w:tcPr>
            <w:tcW w:w="1912"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A1619" w:rsidRPr="003A67D6" w:rsidRDefault="001912EA" w:rsidP="003D1FD0">
            <w:pPr>
              <w:pStyle w:val="TblHeadingCenter"/>
              <w:keepNext/>
              <w:keepLines/>
              <w:rPr>
                <w:lang w:val="en-US"/>
              </w:rPr>
            </w:pPr>
            <w:r w:rsidRPr="001B4D37">
              <w:rPr>
                <w:lang w:val="en-US"/>
              </w:rPr>
              <w:t>FRC</w:t>
            </w:r>
            <w:r>
              <w:rPr>
                <w:lang w:val="en-US"/>
              </w:rPr>
              <w:t xml:space="preserve"> </w:t>
            </w:r>
            <w:r w:rsidR="000A1619" w:rsidRPr="00512504">
              <w:rPr>
                <w:lang w:val="en-US"/>
              </w:rPr>
              <w:t>dose adjustments (</w:t>
            </w:r>
            <w:r w:rsidR="000A1619" w:rsidRPr="003D1FD0">
              <w:rPr>
                <w:lang w:val="en-US"/>
              </w:rPr>
              <w:t>U</w:t>
            </w:r>
            <w:r w:rsidR="000A1619" w:rsidRPr="00512504">
              <w:rPr>
                <w:lang w:val="en-US"/>
              </w:rPr>
              <w:t>/day)</w:t>
            </w:r>
          </w:p>
        </w:tc>
      </w:tr>
      <w:tr w:rsidR="000A1619" w:rsidRPr="003A67D6" w:rsidTr="00E37F9A">
        <w:trPr>
          <w:trHeight w:val="394"/>
        </w:trPr>
        <w:tc>
          <w:tcPr>
            <w:tcW w:w="30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rsidRPr="003A67D6">
              <w:t>&gt;140 mg/dL (&gt;7.8 mmol/L)</w:t>
            </w:r>
          </w:p>
        </w:tc>
        <w:tc>
          <w:tcPr>
            <w:tcW w:w="1912" w:type="pct"/>
            <w:tcBorders>
              <w:top w:val="nil"/>
              <w:left w:val="nil"/>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t>+</w:t>
            </w:r>
            <w:r w:rsidRPr="003A67D6">
              <w:t>4</w:t>
            </w:r>
          </w:p>
        </w:tc>
      </w:tr>
      <w:tr w:rsidR="000A1619" w:rsidRPr="003A67D6" w:rsidTr="00E37F9A">
        <w:trPr>
          <w:trHeight w:val="400"/>
        </w:trPr>
        <w:tc>
          <w:tcPr>
            <w:tcW w:w="30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rsidRPr="003A67D6">
              <w:t>&gt;</w:t>
            </w:r>
            <w:r w:rsidR="005A26F6">
              <w:t>100 and ≤</w:t>
            </w:r>
            <w:r>
              <w:t>1</w:t>
            </w:r>
            <w:r w:rsidRPr="003A67D6">
              <w:t>40 mg/dL (&gt;5.6 and ≤7.8 mmol/L)</w:t>
            </w:r>
          </w:p>
        </w:tc>
        <w:tc>
          <w:tcPr>
            <w:tcW w:w="1912" w:type="pct"/>
            <w:tcBorders>
              <w:top w:val="nil"/>
              <w:left w:val="nil"/>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t>+</w:t>
            </w:r>
            <w:r w:rsidRPr="003A67D6">
              <w:t>2</w:t>
            </w:r>
          </w:p>
        </w:tc>
      </w:tr>
      <w:tr w:rsidR="000A1619" w:rsidRPr="003A67D6" w:rsidTr="00E37F9A">
        <w:trPr>
          <w:trHeight w:val="406"/>
        </w:trPr>
        <w:tc>
          <w:tcPr>
            <w:tcW w:w="30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rsidRPr="003A67D6">
              <w:rPr>
                <w:b/>
                <w:bCs/>
              </w:rPr>
              <w:t>Glycemic target:</w:t>
            </w:r>
            <w:r>
              <w:t xml:space="preserve"> 80 to 100 mg/dL (4.4 and 5.6</w:t>
            </w:r>
            <w:r w:rsidRPr="003A67D6">
              <w:t xml:space="preserve"> mmol/L), inclusive</w:t>
            </w:r>
          </w:p>
        </w:tc>
        <w:tc>
          <w:tcPr>
            <w:tcW w:w="1912" w:type="pct"/>
            <w:tcBorders>
              <w:top w:val="nil"/>
              <w:left w:val="nil"/>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rsidRPr="003A67D6">
              <w:t>No change</w:t>
            </w:r>
          </w:p>
        </w:tc>
      </w:tr>
      <w:tr w:rsidR="000A1619" w:rsidRPr="003A67D6" w:rsidTr="00E37F9A">
        <w:trPr>
          <w:trHeight w:val="271"/>
        </w:trPr>
        <w:tc>
          <w:tcPr>
            <w:tcW w:w="30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rsidRPr="003A67D6">
              <w:t>≥60 and &lt;80 mg/dL (≥3.3 and &lt;4.4 mmol/L)</w:t>
            </w:r>
          </w:p>
        </w:tc>
        <w:tc>
          <w:tcPr>
            <w:tcW w:w="1912" w:type="pct"/>
            <w:tcBorders>
              <w:top w:val="nil"/>
              <w:left w:val="nil"/>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t>-</w:t>
            </w:r>
            <w:r w:rsidRPr="003A67D6">
              <w:t>2</w:t>
            </w:r>
          </w:p>
        </w:tc>
      </w:tr>
      <w:tr w:rsidR="000A1619" w:rsidRPr="003A67D6" w:rsidTr="00E37F9A">
        <w:trPr>
          <w:trHeight w:val="743"/>
        </w:trPr>
        <w:tc>
          <w:tcPr>
            <w:tcW w:w="3088"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rsidRPr="003A67D6">
              <w:t>&lt;60 mg/dL (&lt;3.3 mmol/L) or occurrence of 2 (or more) symptomatic hypoglycemic episodes or one severe hypoglycemic episode (requiring assistance) documented in the preceding week.</w:t>
            </w:r>
          </w:p>
        </w:tc>
        <w:tc>
          <w:tcPr>
            <w:tcW w:w="1912" w:type="pct"/>
            <w:tcBorders>
              <w:top w:val="nil"/>
              <w:left w:val="nil"/>
              <w:bottom w:val="single" w:sz="8" w:space="0" w:color="auto"/>
              <w:right w:val="single" w:sz="8" w:space="0" w:color="auto"/>
            </w:tcBorders>
            <w:tcMar>
              <w:top w:w="0" w:type="dxa"/>
              <w:left w:w="108" w:type="dxa"/>
              <w:bottom w:w="0" w:type="dxa"/>
              <w:right w:w="108" w:type="dxa"/>
            </w:tcMar>
            <w:hideMark/>
          </w:tcPr>
          <w:p w:rsidR="000A1619" w:rsidRPr="003A67D6" w:rsidRDefault="000A1619" w:rsidP="00161A5C">
            <w:pPr>
              <w:pStyle w:val="TblTextCenter"/>
              <w:keepNext/>
              <w:keepLines/>
            </w:pPr>
            <w:r>
              <w:t>-</w:t>
            </w:r>
            <w:r w:rsidRPr="003A67D6">
              <w:t xml:space="preserve">2 to </w:t>
            </w:r>
            <w:r>
              <w:t>-4 or at the discretion of the I</w:t>
            </w:r>
            <w:r w:rsidRPr="003A67D6">
              <w:t>nvestigator or medically qualified designee</w:t>
            </w:r>
          </w:p>
        </w:tc>
      </w:tr>
    </w:tbl>
    <w:p w:rsidR="000A1619" w:rsidRPr="000A1619" w:rsidRDefault="000A1619" w:rsidP="000A1619">
      <w:pPr>
        <w:rPr>
          <w:b/>
        </w:rPr>
      </w:pPr>
      <w:r w:rsidRPr="000A1619">
        <w:rPr>
          <w:b/>
        </w:rPr>
        <w:t xml:space="preserve">In the insulin glargine fixed ratio combination group: choice of </w:t>
      </w:r>
      <w:r w:rsidR="00860488" w:rsidRPr="00471251">
        <w:rPr>
          <w:b/>
        </w:rPr>
        <w:t>P</w:t>
      </w:r>
      <w:r w:rsidRPr="000A1619">
        <w:rPr>
          <w:b/>
        </w:rPr>
        <w:t xml:space="preserve">each </w:t>
      </w:r>
      <w:r w:rsidR="00860488" w:rsidRPr="00471251">
        <w:rPr>
          <w:b/>
        </w:rPr>
        <w:t>P</w:t>
      </w:r>
      <w:r w:rsidRPr="000A1619">
        <w:rPr>
          <w:b/>
        </w:rPr>
        <w:t xml:space="preserve">en or </w:t>
      </w:r>
      <w:r w:rsidR="00860488" w:rsidRPr="00471251">
        <w:rPr>
          <w:b/>
        </w:rPr>
        <w:t>O</w:t>
      </w:r>
      <w:r w:rsidRPr="000A1619">
        <w:rPr>
          <w:b/>
        </w:rPr>
        <w:t xml:space="preserve">live </w:t>
      </w:r>
      <w:r w:rsidR="00860488" w:rsidRPr="00471251">
        <w:rPr>
          <w:b/>
        </w:rPr>
        <w:t>P</w:t>
      </w:r>
      <w:r w:rsidRPr="000A1619">
        <w:rPr>
          <w:b/>
        </w:rPr>
        <w:t xml:space="preserve">en </w:t>
      </w:r>
    </w:p>
    <w:p w:rsidR="000A1619" w:rsidRDefault="000A1619" w:rsidP="000A1619">
      <w:r>
        <w:t xml:space="preserve">The choice of </w:t>
      </w:r>
      <w:r w:rsidR="00860488" w:rsidRPr="00471251">
        <w:t>P</w:t>
      </w:r>
      <w:r>
        <w:t xml:space="preserve">each </w:t>
      </w:r>
      <w:r w:rsidR="00860488" w:rsidRPr="00471251">
        <w:t>P</w:t>
      </w:r>
      <w:r>
        <w:t xml:space="preserve">en or </w:t>
      </w:r>
      <w:r w:rsidR="00860488" w:rsidRPr="00471251">
        <w:t>O</w:t>
      </w:r>
      <w:r>
        <w:t xml:space="preserve">live </w:t>
      </w:r>
      <w:r w:rsidR="00860488" w:rsidRPr="00471251">
        <w:t>P</w:t>
      </w:r>
      <w:r>
        <w:t>en for use during the randomized treatment period is driven by 2 general rules:</w:t>
      </w:r>
    </w:p>
    <w:p w:rsidR="00937397" w:rsidRPr="00471251" w:rsidRDefault="00937397" w:rsidP="00CC67B4">
      <w:pPr>
        <w:pStyle w:val="ListBulletLevel1"/>
        <w:numPr>
          <w:ilvl w:val="0"/>
          <w:numId w:val="55"/>
        </w:numPr>
      </w:pPr>
      <w:r w:rsidRPr="00471251">
        <w:t xml:space="preserve">The FRC 10 to 40 Peach Pen has a fixed ratio of 2 units insulin glargine to 1 μg lixisenatide. The FRC 10 to 40 pen allows administration of daily combination doses between 10 </w:t>
      </w:r>
      <w:r w:rsidR="007261A8" w:rsidRPr="00471251">
        <w:t>U</w:t>
      </w:r>
      <w:r w:rsidRPr="00471251">
        <w:t xml:space="preserve"> of FRC (10 units of insulin glargine/5 μg lixisenatide) and 40 </w:t>
      </w:r>
      <w:r w:rsidR="007261A8" w:rsidRPr="00471251">
        <w:t>U</w:t>
      </w:r>
      <w:r w:rsidR="00E37F9A">
        <w:t xml:space="preserve"> of FRC (40 </w:t>
      </w:r>
      <w:r w:rsidRPr="00471251">
        <w:t xml:space="preserve">units of insulin glargine/20 μg lixisenatide). </w:t>
      </w:r>
    </w:p>
    <w:p w:rsidR="00937397" w:rsidRPr="00471251" w:rsidRDefault="00937397" w:rsidP="00CC67B4">
      <w:pPr>
        <w:pStyle w:val="ListBulletLevel1"/>
        <w:numPr>
          <w:ilvl w:val="0"/>
          <w:numId w:val="55"/>
        </w:numPr>
      </w:pPr>
      <w:r w:rsidRPr="00471251">
        <w:t xml:space="preserve">The FRC 30 to 60 Olive Pen has a fixed ratio of 3 units insulin glargine to 1 μg lixisenatide. The FRC 30 to 60 pen allows administration of daily combination doses between 30 </w:t>
      </w:r>
      <w:r w:rsidR="007261A8" w:rsidRPr="00471251">
        <w:t>U</w:t>
      </w:r>
      <w:r w:rsidRPr="00471251">
        <w:t xml:space="preserve"> of FRC (30 units insulin glargine/10 μg lixisenatide) and 60 </w:t>
      </w:r>
      <w:r w:rsidR="007261A8" w:rsidRPr="00471251">
        <w:t>U</w:t>
      </w:r>
      <w:r w:rsidR="00E37F9A">
        <w:t xml:space="preserve"> of FRC (60 </w:t>
      </w:r>
      <w:r w:rsidRPr="00471251">
        <w:t>units insulin glargine/20 μg lixisenatide).</w:t>
      </w:r>
    </w:p>
    <w:p w:rsidR="000A1619" w:rsidRPr="00471251" w:rsidRDefault="007261A8" w:rsidP="00CC67B4">
      <w:pPr>
        <w:pStyle w:val="ListBulletLevel1"/>
        <w:numPr>
          <w:ilvl w:val="0"/>
          <w:numId w:val="55"/>
        </w:numPr>
      </w:pPr>
      <w:r w:rsidRPr="00471251">
        <w:lastRenderedPageBreak/>
        <w:t>If the patient needs a dose of 10 to 40 U, use the Peach Pen (insulin glargine/lixisenatide 2:1). If the patient needs a dose of 41 to 60 U, use the Olive Pen only (insulin glargine/lixisenatide 3:1). For doses between 30-40 units where it is possible to use either the Peach (2:1) or Olive (3:1) Pen, use the Peach Pen (2:1) as long as it is well tolerated, as this pen provides a higher dose of lixisenatide at the same dose of insulin glargine. For patients not tolerating the Peach (2:1) Pen (eg, experiencing persistent nausea and/or vomiting), then use the Olive (3:1) Pen.</w:t>
      </w:r>
    </w:p>
    <w:p w:rsidR="00937397" w:rsidRPr="00471251" w:rsidRDefault="007261A8" w:rsidP="00CC67B4">
      <w:pPr>
        <w:pStyle w:val="ListBulletLevel1"/>
        <w:numPr>
          <w:ilvl w:val="0"/>
          <w:numId w:val="56"/>
        </w:numPr>
      </w:pPr>
      <w:r w:rsidRPr="00471251">
        <w:t>Dose</w:t>
      </w:r>
      <w:r w:rsidR="00937397" w:rsidRPr="00471251">
        <w:t xml:space="preserve">s of FRC higher than 60 </w:t>
      </w:r>
      <w:r w:rsidRPr="00471251">
        <w:t xml:space="preserve">U </w:t>
      </w:r>
      <w:r w:rsidR="00937397" w:rsidRPr="00471251">
        <w:t>must not be administrated.</w:t>
      </w:r>
    </w:p>
    <w:p w:rsidR="000A1619" w:rsidRDefault="000A1619" w:rsidP="000A1619">
      <w:r>
        <w:t>The total daily dose will be capped at 60 U</w:t>
      </w:r>
      <w:r w:rsidR="00860488">
        <w:t xml:space="preserve"> </w:t>
      </w:r>
      <w:r w:rsidR="00860488" w:rsidRPr="00471251">
        <w:t xml:space="preserve">(corresponding to 60 </w:t>
      </w:r>
      <w:r w:rsidR="00186520" w:rsidRPr="00471251">
        <w:t>U</w:t>
      </w:r>
      <w:r w:rsidR="00860488" w:rsidRPr="00471251">
        <w:t xml:space="preserve"> in the Olive Pen)</w:t>
      </w:r>
      <w:r w:rsidRPr="00471251">
        <w:t>.</w:t>
      </w:r>
      <w:r>
        <w:t xml:space="preserve"> In case </w:t>
      </w:r>
      <w:r w:rsidR="00164D9E" w:rsidRPr="00471251">
        <w:t xml:space="preserve">additional therapy (eg, </w:t>
      </w:r>
      <w:r w:rsidRPr="00860488">
        <w:t>a dose</w:t>
      </w:r>
      <w:r>
        <w:t xml:space="preserve"> &gt;60 U</w:t>
      </w:r>
      <w:r w:rsidR="00164D9E" w:rsidRPr="00471251">
        <w:t>)</w:t>
      </w:r>
      <w:r>
        <w:t xml:space="preserve"> is needed to maintain HbA</w:t>
      </w:r>
      <w:r w:rsidRPr="00950DEA">
        <w:rPr>
          <w:vertAlign w:val="subscript"/>
        </w:rPr>
        <w:t>1c</w:t>
      </w:r>
      <w:r>
        <w:t xml:space="preserve"> below the predefined threshold value (8% </w:t>
      </w:r>
      <w:r w:rsidR="00186520">
        <w:t>at</w:t>
      </w:r>
      <w:r>
        <w:t xml:space="preserve"> 12 weeks treatment), the dose should be kept at 60 U and a rescue therapy should be introduced (see </w:t>
      </w:r>
      <w:hyperlink w:anchor="_Ref434492049" w:history="1">
        <w:r w:rsidR="00C522CD" w:rsidRPr="00C522CD">
          <w:rPr>
            <w:rStyle w:val="Hyperlink"/>
            <w:u w:val="none"/>
          </w:rPr>
          <w:t>Section</w:t>
        </w:r>
      </w:hyperlink>
      <w:r w:rsidR="00C522CD">
        <w:t xml:space="preserve"> </w:t>
      </w:r>
      <w:r w:rsidR="00C522CD">
        <w:fldChar w:fldCharType="begin"/>
      </w:r>
      <w:r w:rsidR="00C522CD">
        <w:instrText xml:space="preserve"> REF _Ref434492049 \r \h </w:instrText>
      </w:r>
      <w:r w:rsidR="00C522CD">
        <w:fldChar w:fldCharType="separate"/>
      </w:r>
      <w:r w:rsidR="005A26F6">
        <w:t>8.2.3</w:t>
      </w:r>
      <w:r w:rsidR="00C522CD">
        <w:fldChar w:fldCharType="end"/>
      </w:r>
      <w:r>
        <w:t>). All assessments planned at the end of treatment visit (V28) are to be performed before initiating rescue therapy.</w:t>
      </w:r>
    </w:p>
    <w:p w:rsidR="000A1619" w:rsidRDefault="000A1619" w:rsidP="000A1619">
      <w:r>
        <w:t xml:space="preserve">Patients will be educated regarding the titration schedule so that they will be able to monitor the titration with the assistance of the Investigator or medically qualified designee. Patients will be allowed to increase the dose by themselves if necessary (ie, if the lowest fasting SMPG value from the preceding 3 measurements, which may include the value measured on the day of titration, is &gt;100 mg/dL), but not more than a maximum dose increase of +2 </w:t>
      </w:r>
      <w:r w:rsidRPr="009525F5">
        <w:t>U</w:t>
      </w:r>
      <w:r>
        <w:t xml:space="preserve"> and not more often than twice a week. All other dose increases must be discussed between the patient and appropriate site personnel. All discussions must be properly documented in the patient’s record. If needed, additional contacts will be made available for patients to discuss dose adjustments in between the scheduled visits. It is at the discretion of the Investigator to allow well-trained patients to make their IMP insulin dose adjustments in between the scheduled visits without prior consultation of the site personnel.</w:t>
      </w:r>
    </w:p>
    <w:p w:rsidR="000A1619" w:rsidRDefault="000A1619" w:rsidP="000A1619">
      <w:r>
        <w:t>Doses may be reduced or modified at any time for hypoglycemia. Patients who experienced mild to moderate hypoglycemia as a result of a missed meal, unusual exercise or alcohol use will be counseled on the correction of those behaviors and will not necessarily have their insulin dose decreased (decision to be based on Investigator's clinical judgment).</w:t>
      </w:r>
    </w:p>
    <w:p w:rsidR="0089421C" w:rsidRPr="00471251" w:rsidRDefault="0089421C" w:rsidP="0089421C">
      <w:pPr>
        <w:rPr>
          <w:b/>
        </w:rPr>
      </w:pPr>
      <w:r w:rsidRPr="00471251">
        <w:rPr>
          <w:b/>
        </w:rPr>
        <w:t xml:space="preserve">FRC titration monitoring </w:t>
      </w:r>
    </w:p>
    <w:p w:rsidR="0089421C" w:rsidRPr="000B2DDB" w:rsidRDefault="0089421C" w:rsidP="0089421C">
      <w:r w:rsidRPr="00471251">
        <w:t xml:space="preserve">Data relevant for the FRC dose titration (eg, fasting SMPG, daily </w:t>
      </w:r>
      <w:r w:rsidRPr="00E47FFE">
        <w:t>insulin</w:t>
      </w:r>
      <w:r w:rsidRPr="00471251">
        <w:t xml:space="preserve"> dose, hypoglycemia occurrence) will be reviewed by dedicated persons regularly to identify patients whose FRC dose was not titrated according to the recommended dose adjustment algorithm. If needed, re-training of site staff (including investigator) on titration will be performed. The details on FRC titration monitoring will be provided in separate documents.</w:t>
      </w:r>
    </w:p>
    <w:p w:rsidR="002F41EE" w:rsidRDefault="002F41EE">
      <w:pPr>
        <w:pStyle w:val="Heading2"/>
      </w:pPr>
      <w:bookmarkStart w:id="278" w:name="_Toc128558617"/>
      <w:bookmarkStart w:id="279" w:name="_Toc129597704"/>
      <w:bookmarkStart w:id="280" w:name="_Toc130200154"/>
      <w:bookmarkStart w:id="281" w:name="_Toc130368735"/>
      <w:bookmarkStart w:id="282" w:name="_Toc130368865"/>
      <w:bookmarkStart w:id="283" w:name="_Toc130703373"/>
      <w:bookmarkStart w:id="284" w:name="_Toc382298078"/>
      <w:bookmarkStart w:id="285" w:name="_Ref433977100"/>
      <w:bookmarkStart w:id="286" w:name="_Ref434492985"/>
      <w:bookmarkStart w:id="287" w:name="_Ref442275600"/>
      <w:bookmarkStart w:id="288" w:name="_Ref442278037"/>
      <w:bookmarkStart w:id="289" w:name="_Ref442689380"/>
      <w:bookmarkStart w:id="290" w:name="_Ref442689610"/>
      <w:bookmarkStart w:id="291" w:name="_Toc443035852"/>
      <w:r>
        <w:t>NonINVEStigational Medicinal Product(s</w:t>
      </w:r>
      <w:bookmarkEnd w:id="278"/>
      <w:bookmarkEnd w:id="279"/>
      <w:bookmarkEnd w:id="280"/>
      <w:bookmarkEnd w:id="281"/>
      <w:bookmarkEnd w:id="282"/>
      <w:bookmarkEnd w:id="283"/>
      <w:r>
        <w:t>)</w:t>
      </w:r>
      <w:bookmarkEnd w:id="284"/>
      <w:bookmarkEnd w:id="285"/>
      <w:bookmarkEnd w:id="286"/>
      <w:bookmarkEnd w:id="287"/>
      <w:bookmarkEnd w:id="288"/>
      <w:bookmarkEnd w:id="289"/>
      <w:bookmarkEnd w:id="290"/>
      <w:bookmarkEnd w:id="291"/>
    </w:p>
    <w:p w:rsidR="00772454" w:rsidRPr="00772454" w:rsidRDefault="00772454" w:rsidP="00772454">
      <w:pPr>
        <w:pStyle w:val="Heading3"/>
      </w:pPr>
      <w:bookmarkStart w:id="292" w:name="_Toc443035853"/>
      <w:r>
        <w:t>Background therapy</w:t>
      </w:r>
      <w:bookmarkEnd w:id="292"/>
    </w:p>
    <w:p w:rsidR="00AA309D" w:rsidRDefault="00AA309D" w:rsidP="00AA309D">
      <w:r>
        <w:t xml:space="preserve">Background treatment metformin and pioglitazone are considered as non-investigational medicinal products (NIMPs). </w:t>
      </w:r>
    </w:p>
    <w:p w:rsidR="00AA309D" w:rsidRDefault="00AA309D" w:rsidP="00AA309D">
      <w:r>
        <w:lastRenderedPageBreak/>
        <w:t>Patients are enrolled with a background therapy consisting of metformin alone or metformin and pioglitazone. Metformin ± pioglitazone should be administered orally according to local product labeling. For metformin, it should be at a stable dose of at least 1500 mg/day or maximal tolerated dose for at least 3 months prior to screening (V1). The dose of pioglitazone should also be stable for at least 3 months prior screening visit (V1). The doses or metformin and pioglitazone (if applicable) should be continued and should remain stable throughout the study unless there is a specific safety issue related to this treatment.</w:t>
      </w:r>
    </w:p>
    <w:p w:rsidR="00AA309D" w:rsidRDefault="00AA309D" w:rsidP="00AA309D">
      <w:r>
        <w:t xml:space="preserve">The rescue therapy is also a NIMP and its introduction is described in </w:t>
      </w:r>
      <w:hyperlink w:anchor="_Ref434492049" w:history="1">
        <w:r w:rsidR="00C522CD" w:rsidRPr="00C522CD">
          <w:rPr>
            <w:rStyle w:val="Hyperlink"/>
            <w:u w:val="none"/>
          </w:rPr>
          <w:t>Section</w:t>
        </w:r>
      </w:hyperlink>
      <w:r w:rsidR="00C522CD">
        <w:t xml:space="preserve"> </w:t>
      </w:r>
      <w:r w:rsidR="00C522CD">
        <w:fldChar w:fldCharType="begin"/>
      </w:r>
      <w:r w:rsidR="00C522CD">
        <w:instrText xml:space="preserve"> REF _Ref434492049 \r \h </w:instrText>
      </w:r>
      <w:r w:rsidR="00C522CD">
        <w:fldChar w:fldCharType="separate"/>
      </w:r>
      <w:r w:rsidR="005A26F6">
        <w:t>8.2.3</w:t>
      </w:r>
      <w:r w:rsidR="00C522CD">
        <w:fldChar w:fldCharType="end"/>
      </w:r>
      <w:r>
        <w:t>. As per rescue therapy criteria rapid acting insulin is recommended (insulin glulisine when available).</w:t>
      </w:r>
    </w:p>
    <w:p w:rsidR="00AA309D" w:rsidRDefault="00AA309D" w:rsidP="00AA309D">
      <w:r>
        <w:t>Background therapy or rescue therapy are to be reported in the</w:t>
      </w:r>
      <w:r w:rsidR="00E37F9A">
        <w:t xml:space="preserve"> electronic case report form (e</w:t>
      </w:r>
      <w:r w:rsidR="00E37F9A">
        <w:noBreakHyphen/>
      </w:r>
      <w:r>
        <w:t>CRF).</w:t>
      </w:r>
    </w:p>
    <w:p w:rsidR="000A1619" w:rsidRDefault="00AA309D" w:rsidP="00AA309D">
      <w:r>
        <w:t>The cost of the background treatment (metformin or pioglitazone) and rescue therapy (rapid acting insulin, insulin glulisine when available), if not covered by health insurance, will be reimbursed where permitted by local regulations.</w:t>
      </w:r>
    </w:p>
    <w:p w:rsidR="00772454" w:rsidRDefault="00772454" w:rsidP="00772454">
      <w:pPr>
        <w:pStyle w:val="Heading3"/>
      </w:pPr>
      <w:bookmarkStart w:id="293" w:name="_Ref433977865"/>
      <w:bookmarkStart w:id="294" w:name="_Toc443035854"/>
      <w:r>
        <w:t>Diet and Exercise</w:t>
      </w:r>
      <w:bookmarkEnd w:id="293"/>
      <w:bookmarkEnd w:id="294"/>
    </w:p>
    <w:p w:rsidR="00772454" w:rsidRDefault="00772454" w:rsidP="00772454">
      <w:r>
        <w:t>Lifestyle and diet therapy provided before the time of screening is to be continued during the study. Dietary and lifestyle counseling will be given by a healthcare professional at V2 or V3, which should be consistent with international or local guidelines for type 2 diabetic patients (with regard to the distribution of calories among carbohydrates, proteins, and fats, exercise, etc).</w:t>
      </w:r>
    </w:p>
    <w:p w:rsidR="00772454" w:rsidRPr="001C37E6" w:rsidRDefault="00772454" w:rsidP="00772454">
      <w:r>
        <w:t xml:space="preserve">Compliance with the diet and lifestyle counseling will be assessed in case of insufficient glucose control (please refer to </w:t>
      </w:r>
      <w:hyperlink w:anchor="_Ref433977865" w:history="1">
        <w:r w:rsidR="00C522CD" w:rsidRPr="00C522CD">
          <w:rPr>
            <w:rStyle w:val="Hyperlink"/>
            <w:u w:val="none"/>
          </w:rPr>
          <w:t>Section</w:t>
        </w:r>
      </w:hyperlink>
      <w:r w:rsidR="00C522CD">
        <w:t xml:space="preserve"> </w:t>
      </w:r>
      <w:r w:rsidR="00C522CD">
        <w:fldChar w:fldCharType="begin"/>
      </w:r>
      <w:r w:rsidR="00C522CD">
        <w:instrText xml:space="preserve"> REF _Ref433977865 \r \h </w:instrText>
      </w:r>
      <w:r w:rsidR="00C522CD">
        <w:fldChar w:fldCharType="separate"/>
      </w:r>
      <w:r w:rsidR="005A26F6">
        <w:t>8.2.2</w:t>
      </w:r>
      <w:r w:rsidR="00C522CD">
        <w:fldChar w:fldCharType="end"/>
      </w:r>
      <w:r>
        <w:t>).</w:t>
      </w:r>
    </w:p>
    <w:p w:rsidR="00AA309D" w:rsidRDefault="00AA309D" w:rsidP="00772454">
      <w:pPr>
        <w:pStyle w:val="Heading3"/>
      </w:pPr>
      <w:bookmarkStart w:id="295" w:name="_Ref434492049"/>
      <w:bookmarkStart w:id="296" w:name="_Toc443035855"/>
      <w:r>
        <w:t>Rescue Therapy</w:t>
      </w:r>
      <w:bookmarkEnd w:id="295"/>
      <w:bookmarkEnd w:id="296"/>
    </w:p>
    <w:p w:rsidR="00AA309D" w:rsidRDefault="00AA309D" w:rsidP="00AA309D">
      <w:r>
        <w:t>Central laboratory alerts on HbA</w:t>
      </w:r>
      <w:r w:rsidRPr="00950DEA">
        <w:rPr>
          <w:vertAlign w:val="subscript"/>
        </w:rPr>
        <w:t>1c</w:t>
      </w:r>
      <w:r>
        <w:t xml:space="preserve"> are set-up to ensure that glycemic parameter results remain within predefined thresholds. </w:t>
      </w:r>
    </w:p>
    <w:p w:rsidR="00AA309D" w:rsidRDefault="00AA309D" w:rsidP="00AA309D">
      <w:r>
        <w:t xml:space="preserve">In the event that </w:t>
      </w:r>
      <w:r w:rsidRPr="00AA309D">
        <w:rPr>
          <w:b/>
        </w:rPr>
        <w:t>HbA</w:t>
      </w:r>
      <w:r w:rsidRPr="00950DEA">
        <w:rPr>
          <w:b/>
          <w:vertAlign w:val="subscript"/>
        </w:rPr>
        <w:t>1c</w:t>
      </w:r>
      <w:r w:rsidRPr="00AA309D">
        <w:rPr>
          <w:b/>
        </w:rPr>
        <w:t xml:space="preserve"> is more than 8% at or after visit V21 (</w:t>
      </w:r>
      <w:r w:rsidR="0007161F">
        <w:rPr>
          <w:b/>
        </w:rPr>
        <w:t xml:space="preserve">Week </w:t>
      </w:r>
      <w:r w:rsidRPr="00AA309D">
        <w:rPr>
          <w:b/>
        </w:rPr>
        <w:t>12)</w:t>
      </w:r>
      <w:r>
        <w:t xml:space="preserve">, if no reason can be found for insufficient glucose control, rescue therapy should be considered according to the Investigator’s judgment. In the </w:t>
      </w:r>
      <w:r w:rsidR="00B455A0" w:rsidRPr="00471251">
        <w:t>FRC</w:t>
      </w:r>
      <w:r w:rsidR="00B455A0">
        <w:t xml:space="preserve"> </w:t>
      </w:r>
      <w:r>
        <w:t xml:space="preserve">arm(s), rescue therapy is recommended only if further dose titration is not possible, ie, the patient is already at the maximum daily dose of 60 </w:t>
      </w:r>
      <w:r w:rsidR="00404199" w:rsidRPr="00471251">
        <w:t>U</w:t>
      </w:r>
      <w:r w:rsidR="00860488" w:rsidRPr="00471251">
        <w:t xml:space="preserve"> (ie, 60</w:t>
      </w:r>
      <w:r w:rsidR="00860488">
        <w:t xml:space="preserve"> </w:t>
      </w:r>
      <w:r>
        <w:t>units of insulin glargine</w:t>
      </w:r>
      <w:r w:rsidR="00860488" w:rsidRPr="00471251">
        <w:t>)</w:t>
      </w:r>
      <w:r>
        <w:t xml:space="preserve">. </w:t>
      </w:r>
    </w:p>
    <w:p w:rsidR="00AA309D" w:rsidRDefault="00AA309D" w:rsidP="00AA309D">
      <w:r>
        <w:t>One single rescue therapy for both randomized arms is proposed</w:t>
      </w:r>
      <w:r w:rsidR="004058DE">
        <w:t>: rapid acting insulin (insulin</w:t>
      </w:r>
      <w:r>
        <w:t xml:space="preserve"> glulisine when available); this rescue therapy should be started as a single daily administration to be given as follows:</w:t>
      </w:r>
    </w:p>
    <w:p w:rsidR="00AA309D" w:rsidRDefault="00AA309D" w:rsidP="00CC67B4">
      <w:pPr>
        <w:pStyle w:val="ListBulletLevel1"/>
        <w:numPr>
          <w:ilvl w:val="0"/>
          <w:numId w:val="58"/>
        </w:numPr>
      </w:pPr>
      <w:r>
        <w:t xml:space="preserve">In the </w:t>
      </w:r>
      <w:r w:rsidR="00B455A0" w:rsidRPr="00471251">
        <w:t>FRC</w:t>
      </w:r>
      <w:r w:rsidR="00B455A0">
        <w:t xml:space="preserve"> </w:t>
      </w:r>
      <w:r w:rsidR="000650AD">
        <w:t>arm</w:t>
      </w:r>
      <w:r>
        <w:t>: at the main meal of the day (excluding breakfast);</w:t>
      </w:r>
    </w:p>
    <w:p w:rsidR="00AA309D" w:rsidRDefault="00AA309D" w:rsidP="00CC67B4">
      <w:pPr>
        <w:pStyle w:val="ListBulletLevel1"/>
        <w:numPr>
          <w:ilvl w:val="0"/>
          <w:numId w:val="59"/>
        </w:numPr>
      </w:pPr>
      <w:r>
        <w:t>In the GLP-1 RA arm:</w:t>
      </w:r>
    </w:p>
    <w:p w:rsidR="004058DE" w:rsidRDefault="004058DE" w:rsidP="00CC67B4">
      <w:pPr>
        <w:pStyle w:val="ListBulletLevel2"/>
        <w:numPr>
          <w:ilvl w:val="0"/>
          <w:numId w:val="60"/>
        </w:numPr>
      </w:pPr>
      <w:r>
        <w:t>In Byetta® treated patients at the meal where Byetta® is not given;</w:t>
      </w:r>
    </w:p>
    <w:p w:rsidR="004058DE" w:rsidRDefault="004058DE" w:rsidP="00CC67B4">
      <w:pPr>
        <w:pStyle w:val="ListBulletLevel2"/>
        <w:numPr>
          <w:ilvl w:val="0"/>
          <w:numId w:val="61"/>
        </w:numPr>
      </w:pPr>
      <w:r>
        <w:lastRenderedPageBreak/>
        <w:t xml:space="preserve">In Victoza®, </w:t>
      </w:r>
      <w:r w:rsidRPr="00471251">
        <w:t>Bydureon®, Tanzeum®/Eperzan®, and Trulicity®</w:t>
      </w:r>
      <w:r>
        <w:t xml:space="preserve"> treated patients at the main meal of the day.</w:t>
      </w:r>
    </w:p>
    <w:p w:rsidR="004058DE" w:rsidRDefault="004058DE" w:rsidP="004058DE">
      <w:r>
        <w:t>In all treatment groups basal insulin is not allowed as a rescue therapy.</w:t>
      </w:r>
    </w:p>
    <w:p w:rsidR="004058DE" w:rsidRPr="00AA309D" w:rsidRDefault="004058DE" w:rsidP="004058DE">
      <w:r>
        <w:t>All assessments planned at the end of treatment visit (V28) are to be performed before initiating rescue therapy. After these assessments are completed and rescue therapy initiated, the patient will remain in the study and continue to administer the study treatment (including background therapy). The planned visits and assessments should be performed until the last scheduled visit.</w:t>
      </w:r>
    </w:p>
    <w:p w:rsidR="002F41EE" w:rsidRDefault="00D7749C">
      <w:pPr>
        <w:pStyle w:val="Heading2"/>
      </w:pPr>
      <w:bookmarkStart w:id="297" w:name="_Toc230747447"/>
      <w:bookmarkStart w:id="298" w:name="_Toc230747622"/>
      <w:bookmarkStart w:id="299" w:name="_Toc230748354"/>
      <w:bookmarkStart w:id="300" w:name="_Toc230750368"/>
      <w:bookmarkStart w:id="301" w:name="_Toc443035856"/>
      <w:bookmarkEnd w:id="297"/>
      <w:bookmarkEnd w:id="298"/>
      <w:bookmarkEnd w:id="299"/>
      <w:bookmarkEnd w:id="300"/>
      <w:r>
        <w:t>BLINDING PROCEDURES</w:t>
      </w:r>
      <w:bookmarkEnd w:id="301"/>
    </w:p>
    <w:p w:rsidR="002F41EE" w:rsidRDefault="002F41EE">
      <w:pPr>
        <w:pStyle w:val="Heading3"/>
      </w:pPr>
      <w:bookmarkStart w:id="302" w:name="_Ref287806939"/>
      <w:bookmarkStart w:id="303" w:name="_Toc382298080"/>
      <w:bookmarkStart w:id="304" w:name="_Toc443035857"/>
      <w:r>
        <w:t>Methods of blinding</w:t>
      </w:r>
      <w:bookmarkEnd w:id="302"/>
      <w:bookmarkEnd w:id="303"/>
      <w:bookmarkEnd w:id="304"/>
    </w:p>
    <w:p w:rsidR="005E5360" w:rsidRDefault="005E5360" w:rsidP="005E5360">
      <w:r>
        <w:t>This study is an open-label design.</w:t>
      </w:r>
    </w:p>
    <w:p w:rsidR="005E5360" w:rsidRDefault="005E5360" w:rsidP="005E5360">
      <w:r>
        <w:t>Compensation for lack of blinding:</w:t>
      </w:r>
    </w:p>
    <w:p w:rsidR="005E5360" w:rsidRDefault="005E5360" w:rsidP="005E5360">
      <w:r>
        <w:t>The Investigator and the Sponsor will not have access to the data of the primary efficacy endpoint (ie, HbA</w:t>
      </w:r>
      <w:r w:rsidRPr="00950DEA">
        <w:rPr>
          <w:vertAlign w:val="subscript"/>
        </w:rPr>
        <w:t>1c</w:t>
      </w:r>
      <w:r>
        <w:t>) nor to the data of the standardized meal test endpoints obtained after baseline visit until the end of the study. However, the study team may review the data for the primary efficacy parameter in descriptive statistics with the name of the IMP treatment masked during data review meetings.</w:t>
      </w:r>
    </w:p>
    <w:p w:rsidR="005E5360" w:rsidRDefault="005E5360" w:rsidP="005E5360">
      <w:r>
        <w:t xml:space="preserve">ARAC, and PSAC members will review and adjudicate events in a blinded manner (please also refer to </w:t>
      </w:r>
      <w:hyperlink w:anchor="_Ref442689321" w:history="1">
        <w:r w:rsidR="00C522CD" w:rsidRPr="00C522CD">
          <w:rPr>
            <w:rStyle w:val="Hyperlink"/>
            <w:u w:val="none"/>
          </w:rPr>
          <w:t>Section</w:t>
        </w:r>
      </w:hyperlink>
      <w:r w:rsidR="00C522CD">
        <w:t xml:space="preserve"> </w:t>
      </w:r>
      <w:r w:rsidR="00C522CD">
        <w:fldChar w:fldCharType="begin"/>
      </w:r>
      <w:r w:rsidR="00C522CD">
        <w:instrText xml:space="preserve"> REF _Ref442689321 \r \h </w:instrText>
      </w:r>
      <w:r w:rsidR="00C522CD">
        <w:fldChar w:fldCharType="separate"/>
      </w:r>
      <w:r w:rsidR="005A26F6">
        <w:t>6.4</w:t>
      </w:r>
      <w:r w:rsidR="00C522CD">
        <w:fldChar w:fldCharType="end"/>
      </w:r>
      <w:r>
        <w:t>).</w:t>
      </w:r>
    </w:p>
    <w:p w:rsidR="002F41EE" w:rsidRDefault="002F41EE" w:rsidP="005E5360">
      <w:pPr>
        <w:rPr>
          <w:rStyle w:val="ReplaceText"/>
          <w:color w:val="000000"/>
        </w:rPr>
      </w:pPr>
      <w:r>
        <w:rPr>
          <w:rStyle w:val="ReplaceText"/>
          <w:color w:val="000000"/>
        </w:rPr>
        <w:t xml:space="preserve">Refer to </w:t>
      </w:r>
      <w:hyperlink w:anchor="_Ref298692294" w:history="1">
        <w:r w:rsidR="00C522CD" w:rsidRPr="00C522CD">
          <w:rPr>
            <w:rStyle w:val="Hyperlink"/>
            <w:u w:val="none"/>
          </w:rPr>
          <w:t>Section</w:t>
        </w:r>
      </w:hyperlink>
      <w:r w:rsidR="00C522CD">
        <w:t xml:space="preserve"> </w:t>
      </w:r>
      <w:r w:rsidR="00C522CD">
        <w:fldChar w:fldCharType="begin"/>
      </w:r>
      <w:r w:rsidR="00C522CD">
        <w:instrText xml:space="preserve"> REF _Ref298692294 \r \h </w:instrText>
      </w:r>
      <w:r w:rsidR="00C522CD">
        <w:fldChar w:fldCharType="separate"/>
      </w:r>
      <w:r w:rsidR="005A26F6">
        <w:t>10.5</w:t>
      </w:r>
      <w:r w:rsidR="00C522CD">
        <w:fldChar w:fldCharType="end"/>
      </w:r>
      <w:r>
        <w:rPr>
          <w:rStyle w:val="ReplaceText"/>
          <w:color w:val="000000"/>
        </w:rPr>
        <w:t xml:space="preserve"> for </w:t>
      </w:r>
      <w:r w:rsidRPr="005E5360">
        <w:t xml:space="preserve">suspected unexpected adverse drug reaction </w:t>
      </w:r>
      <w:r>
        <w:rPr>
          <w:rStyle w:val="ReplaceText"/>
          <w:color w:val="000000"/>
        </w:rPr>
        <w:t>unblinding by the Sponsor.</w:t>
      </w:r>
    </w:p>
    <w:p w:rsidR="002F41EE" w:rsidRDefault="002F41EE">
      <w:pPr>
        <w:pStyle w:val="Heading2"/>
      </w:pPr>
      <w:bookmarkStart w:id="305" w:name="_Toc89161717"/>
      <w:bookmarkStart w:id="306" w:name="_Toc284334934"/>
      <w:bookmarkStart w:id="307" w:name="_Toc284348247"/>
      <w:bookmarkStart w:id="308" w:name="_Toc302136318"/>
      <w:bookmarkStart w:id="309" w:name="_Toc302371074"/>
      <w:bookmarkStart w:id="310" w:name="_Toc128558620"/>
      <w:bookmarkStart w:id="311" w:name="_Toc129597707"/>
      <w:bookmarkStart w:id="312" w:name="_Toc130200157"/>
      <w:bookmarkStart w:id="313" w:name="_Toc130368738"/>
      <w:bookmarkStart w:id="314" w:name="_Toc130368868"/>
      <w:bookmarkStart w:id="315" w:name="_Toc130703376"/>
      <w:bookmarkStart w:id="316" w:name="_Toc382298082"/>
      <w:bookmarkStart w:id="317" w:name="_Ref433977906"/>
      <w:bookmarkStart w:id="318" w:name="_Ref442278257"/>
      <w:bookmarkStart w:id="319" w:name="_Ref442282139"/>
      <w:bookmarkStart w:id="320" w:name="_Ref442689696"/>
      <w:bookmarkStart w:id="321" w:name="_Toc443035858"/>
      <w:bookmarkEnd w:id="306"/>
      <w:bookmarkEnd w:id="307"/>
      <w:bookmarkEnd w:id="308"/>
      <w:bookmarkEnd w:id="309"/>
      <w:r>
        <w:t>Method of assigning patients to treatment group</w:t>
      </w:r>
      <w:bookmarkEnd w:id="305"/>
      <w:bookmarkEnd w:id="310"/>
      <w:bookmarkEnd w:id="311"/>
      <w:bookmarkEnd w:id="312"/>
      <w:bookmarkEnd w:id="313"/>
      <w:bookmarkEnd w:id="314"/>
      <w:bookmarkEnd w:id="315"/>
      <w:bookmarkEnd w:id="316"/>
      <w:bookmarkEnd w:id="317"/>
      <w:bookmarkEnd w:id="318"/>
      <w:bookmarkEnd w:id="319"/>
      <w:bookmarkEnd w:id="320"/>
      <w:bookmarkEnd w:id="321"/>
    </w:p>
    <w:p w:rsidR="00C35FEC" w:rsidRDefault="00C35FEC" w:rsidP="00C35FEC">
      <w:r>
        <w:t>Patients will be randomized to one of the two following treatment arms during the 26-week open-label treatment period:</w:t>
      </w:r>
    </w:p>
    <w:p w:rsidR="00C35FEC" w:rsidRDefault="00B455A0" w:rsidP="00CC67B4">
      <w:pPr>
        <w:pStyle w:val="ListBulletLevel1"/>
        <w:numPr>
          <w:ilvl w:val="0"/>
          <w:numId w:val="62"/>
        </w:numPr>
      </w:pPr>
      <w:r w:rsidRPr="00471251">
        <w:t>FRC</w:t>
      </w:r>
      <w:r>
        <w:t xml:space="preserve"> </w:t>
      </w:r>
      <w:r w:rsidR="00C35FEC">
        <w:t>once daily, or</w:t>
      </w:r>
    </w:p>
    <w:p w:rsidR="00C35FEC" w:rsidRDefault="00C35FEC" w:rsidP="00CC67B4">
      <w:pPr>
        <w:pStyle w:val="ListBulletLevel1"/>
        <w:numPr>
          <w:ilvl w:val="0"/>
          <w:numId w:val="63"/>
        </w:numPr>
      </w:pPr>
      <w:r>
        <w:t xml:space="preserve">Victoza® once daily, Byetta® twice daily, </w:t>
      </w:r>
      <w:r w:rsidRPr="00471251">
        <w:t>Bydureon® once weekly, Tanzeum®/Eperzan® once weekly, or Trulicity® once weekly</w:t>
      </w:r>
      <w:r>
        <w:t xml:space="preserve"> (continuing whichever therapy they were taking prior to randomization).</w:t>
      </w:r>
    </w:p>
    <w:p w:rsidR="00C35FEC" w:rsidRDefault="00C35FEC" w:rsidP="00C35FEC">
      <w:r>
        <w:t>The randomization ratio is 1:1. The randomization is stratified by HbA</w:t>
      </w:r>
      <w:r w:rsidRPr="00950DEA">
        <w:rPr>
          <w:vertAlign w:val="subscript"/>
        </w:rPr>
        <w:t>1c</w:t>
      </w:r>
      <w:r>
        <w:t xml:space="preserve"> (&lt;8%, ≥8%) and </w:t>
      </w:r>
      <w:r w:rsidRPr="00471251">
        <w:t xml:space="preserve">GLP-1 receptor agonist subtype (once/twice daily formulations, once weekly formulations). </w:t>
      </w:r>
    </w:p>
    <w:p w:rsidR="00C35FEC" w:rsidRDefault="00C35FEC" w:rsidP="00C35FEC">
      <w:r>
        <w:t xml:space="preserve">The randomization and the treatment allocation are performed centrally by an Interactive Voice/Web Response System (IVRS/IWRS). The randomized treatment kit number list is generated centrally by Sanofi, and the Study Biostatistician provides the randomization scheme </w:t>
      </w:r>
      <w:r>
        <w:lastRenderedPageBreak/>
        <w:t>(including stratification) to the IVRS/IWRS. Then, the IVRS/IWRS generates the patient randomization list according to which it allocates treatment groups to the patients.</w:t>
      </w:r>
    </w:p>
    <w:p w:rsidR="00C35FEC" w:rsidRDefault="00C35FEC" w:rsidP="00C35FEC">
      <w:r>
        <w:t>The IMPs (</w:t>
      </w:r>
      <w:r w:rsidR="00EF1C23" w:rsidRPr="00471251">
        <w:t>FRC</w:t>
      </w:r>
      <w:r>
        <w:t xml:space="preserve">, or Victoza®, or Byetta®, </w:t>
      </w:r>
      <w:r w:rsidRPr="00471251">
        <w:t>or Bydureon®, or Tanzeum®/Eperzan®, or Trulicity®</w:t>
      </w:r>
      <w:r w:rsidR="006D6671">
        <w:t>)</w:t>
      </w:r>
      <w:r>
        <w:t xml:space="preserve"> will be provided starting at V3 in open-label boxes and are identified with treatment kit numbers.</w:t>
      </w:r>
    </w:p>
    <w:p w:rsidR="00C35FEC" w:rsidRDefault="00C35FEC" w:rsidP="00C35FEC">
      <w:r>
        <w:t xml:space="preserve">At the screening visit the Investigator or designee has to contact the IVRS/IWRS center to receive the patient number. The patient identification (patient number) is composed of a </w:t>
      </w:r>
      <w:r w:rsidRPr="00471251">
        <w:t>12-digit number containing the 3-digit country code, the 4-digit center code and the 5-digit patient chronological number (which is 00001 for the first patient screened in a center, 00002 for the second patient screened in the same center</w:t>
      </w:r>
      <w:r w:rsidR="00E37F9A">
        <w:t>,</w:t>
      </w:r>
      <w:r w:rsidRPr="00471251">
        <w:t xml:space="preserve"> etc).</w:t>
      </w:r>
    </w:p>
    <w:p w:rsidR="00C35FEC" w:rsidRPr="00C35FEC" w:rsidRDefault="00C35FEC" w:rsidP="00C35FEC">
      <w:r w:rsidRPr="00471251">
        <w:t>A patient cannot be randomized more than once in the study.</w:t>
      </w:r>
    </w:p>
    <w:p w:rsidR="002F41EE" w:rsidRDefault="002F41EE">
      <w:pPr>
        <w:pStyle w:val="Heading2"/>
      </w:pPr>
      <w:bookmarkStart w:id="322" w:name="_Toc230747453"/>
      <w:bookmarkStart w:id="323" w:name="_Toc230747628"/>
      <w:bookmarkStart w:id="324" w:name="_Toc230748360"/>
      <w:bookmarkStart w:id="325" w:name="_Toc230750374"/>
      <w:bookmarkStart w:id="326" w:name="_Toc230747457"/>
      <w:bookmarkStart w:id="327" w:name="_Toc230747632"/>
      <w:bookmarkStart w:id="328" w:name="_Toc230748364"/>
      <w:bookmarkStart w:id="329" w:name="_Toc230750378"/>
      <w:bookmarkStart w:id="330" w:name="_Toc230747460"/>
      <w:bookmarkStart w:id="331" w:name="_Toc230747635"/>
      <w:bookmarkStart w:id="332" w:name="_Toc230748367"/>
      <w:bookmarkStart w:id="333" w:name="_Toc230750381"/>
      <w:bookmarkStart w:id="334" w:name="_Toc89161718"/>
      <w:bookmarkStart w:id="335" w:name="_Toc128558621"/>
      <w:bookmarkStart w:id="336" w:name="_Toc129597708"/>
      <w:bookmarkStart w:id="337" w:name="_Toc130200158"/>
      <w:bookmarkStart w:id="338" w:name="_Toc130368739"/>
      <w:bookmarkStart w:id="339" w:name="_Toc130368869"/>
      <w:bookmarkStart w:id="340" w:name="_Toc130703377"/>
      <w:bookmarkStart w:id="341" w:name="_Toc382298083"/>
      <w:bookmarkStart w:id="342" w:name="_Toc443035859"/>
      <w:bookmarkEnd w:id="322"/>
      <w:bookmarkEnd w:id="323"/>
      <w:bookmarkEnd w:id="324"/>
      <w:bookmarkEnd w:id="325"/>
      <w:bookmarkEnd w:id="326"/>
      <w:bookmarkEnd w:id="327"/>
      <w:bookmarkEnd w:id="328"/>
      <w:bookmarkEnd w:id="329"/>
      <w:bookmarkEnd w:id="330"/>
      <w:bookmarkEnd w:id="331"/>
      <w:bookmarkEnd w:id="332"/>
      <w:bookmarkEnd w:id="333"/>
      <w:r>
        <w:t>Packaging and labeling</w:t>
      </w:r>
      <w:bookmarkEnd w:id="334"/>
      <w:bookmarkEnd w:id="335"/>
      <w:bookmarkEnd w:id="336"/>
      <w:bookmarkEnd w:id="337"/>
      <w:bookmarkEnd w:id="338"/>
      <w:bookmarkEnd w:id="339"/>
      <w:bookmarkEnd w:id="340"/>
      <w:bookmarkEnd w:id="341"/>
      <w:bookmarkEnd w:id="342"/>
    </w:p>
    <w:p w:rsidR="002F41EE" w:rsidRDefault="002F41EE">
      <w:r>
        <w:t>Packaging is in accordance with the administration schedule. The content of the labeling is in accordance with the local regulatory specifications and requirements.</w:t>
      </w:r>
    </w:p>
    <w:p w:rsidR="00FB33E2" w:rsidRDefault="00FB33E2" w:rsidP="00FB33E2">
      <w:r>
        <w:t xml:space="preserve">The appropriate number of kits will be dispensed to cover up to the next dispensing visit (please refer to </w:t>
      </w:r>
      <w:hyperlink w:anchor="_Ref442689342" w:history="1">
        <w:r w:rsidR="00C522CD" w:rsidRPr="00C522CD">
          <w:rPr>
            <w:rStyle w:val="Hyperlink"/>
            <w:u w:val="none"/>
          </w:rPr>
          <w:t>Section</w:t>
        </w:r>
      </w:hyperlink>
      <w:r w:rsidR="00C522CD">
        <w:t xml:space="preserve"> </w:t>
      </w:r>
      <w:r w:rsidR="00C522CD">
        <w:fldChar w:fldCharType="begin"/>
      </w:r>
      <w:r w:rsidR="00C522CD">
        <w:instrText xml:space="preserve"> REF _Ref442689342 \r \h </w:instrText>
      </w:r>
      <w:r w:rsidR="00C522CD">
        <w:fldChar w:fldCharType="separate"/>
      </w:r>
      <w:r w:rsidR="005A26F6">
        <w:t>1.2</w:t>
      </w:r>
      <w:r w:rsidR="00C522CD">
        <w:fldChar w:fldCharType="end"/>
      </w:r>
      <w:r>
        <w:t xml:space="preserve">). </w:t>
      </w:r>
    </w:p>
    <w:p w:rsidR="00335ADD" w:rsidRDefault="00335ADD" w:rsidP="00FB33E2"/>
    <w:tbl>
      <w:tblPr>
        <w:tblW w:w="0" w:type="auto"/>
        <w:tblBorders>
          <w:top w:val="single" w:sz="2"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35"/>
        <w:gridCol w:w="7229"/>
      </w:tblGrid>
      <w:tr w:rsidR="00335ADD" w:rsidRPr="00085AE5" w:rsidTr="006F1ABB">
        <w:trPr>
          <w:cantSplit/>
        </w:trPr>
        <w:tc>
          <w:tcPr>
            <w:tcW w:w="2235" w:type="dxa"/>
            <w:shd w:val="clear" w:color="auto" w:fill="auto"/>
          </w:tcPr>
          <w:p w:rsidR="00335ADD" w:rsidRPr="00982624" w:rsidRDefault="00335ADD" w:rsidP="006F1ABB">
            <w:pPr>
              <w:pStyle w:val="Tabletext"/>
              <w:rPr>
                <w:rFonts w:cs="Arial"/>
                <w:b/>
                <w:i/>
                <w:sz w:val="28"/>
                <w:szCs w:val="28"/>
                <w:lang w:val="en-GB" w:eastAsia="fr-FR"/>
              </w:rPr>
            </w:pPr>
            <w:r w:rsidRPr="00982624">
              <w:t>Kits fixed-ratio combination  2 U/1</w:t>
            </w:r>
            <w:r>
              <w:t xml:space="preserve"> </w:t>
            </w:r>
            <w:r w:rsidRPr="00816E5E">
              <w:t>µg</w:t>
            </w:r>
          </w:p>
        </w:tc>
        <w:tc>
          <w:tcPr>
            <w:tcW w:w="7229" w:type="dxa"/>
            <w:shd w:val="clear" w:color="auto" w:fill="auto"/>
          </w:tcPr>
          <w:p w:rsidR="00335ADD" w:rsidRPr="00356A75" w:rsidRDefault="00335ADD" w:rsidP="006F1ABB">
            <w:pPr>
              <w:pStyle w:val="Tabletext"/>
              <w:rPr>
                <w:b/>
                <w:i/>
                <w:sz w:val="28"/>
                <w:szCs w:val="28"/>
                <w:lang w:val="en-GB" w:eastAsia="fr-FR"/>
              </w:rPr>
            </w:pPr>
            <w:r w:rsidRPr="00356A75">
              <w:t>1 open label kit contains 3 peach pens prefilled with a solution of 100</w:t>
            </w:r>
            <w:r>
              <w:t> </w:t>
            </w:r>
            <w:r w:rsidRPr="00356A75">
              <w:t>U/mL insulin glargine and 50</w:t>
            </w:r>
            <w:r>
              <w:t> </w:t>
            </w:r>
            <w:r w:rsidRPr="00356A75">
              <w:t xml:space="preserve">μg/mL lixisenatide labelled in randomized </w:t>
            </w:r>
            <w:r w:rsidRPr="00471251">
              <w:t>conditions</w:t>
            </w:r>
            <w:r w:rsidR="00D512DB" w:rsidRPr="00471251">
              <w:t xml:space="preserve"> on the box only</w:t>
            </w:r>
            <w:r w:rsidRPr="00471251">
              <w:t>.</w:t>
            </w:r>
          </w:p>
        </w:tc>
      </w:tr>
      <w:tr w:rsidR="00335ADD" w:rsidRPr="00085AE5" w:rsidTr="006F1ABB">
        <w:trPr>
          <w:cantSplit/>
          <w:trHeight w:val="563"/>
        </w:trPr>
        <w:tc>
          <w:tcPr>
            <w:tcW w:w="2235" w:type="dxa"/>
            <w:shd w:val="clear" w:color="auto" w:fill="auto"/>
          </w:tcPr>
          <w:p w:rsidR="00335ADD" w:rsidRPr="00982624" w:rsidRDefault="00335ADD" w:rsidP="006F1ABB">
            <w:pPr>
              <w:pStyle w:val="Tabletext"/>
            </w:pPr>
            <w:r w:rsidRPr="00982624">
              <w:t>Kits fixed-ratio combination  3 U/1 </w:t>
            </w:r>
            <w:r w:rsidRPr="00816E5E">
              <w:t>µg</w:t>
            </w:r>
            <w:r w:rsidRPr="00982624">
              <w:t xml:space="preserve"> </w:t>
            </w:r>
          </w:p>
        </w:tc>
        <w:tc>
          <w:tcPr>
            <w:tcW w:w="7229" w:type="dxa"/>
            <w:shd w:val="clear" w:color="auto" w:fill="auto"/>
          </w:tcPr>
          <w:p w:rsidR="00335ADD" w:rsidRPr="00356A75" w:rsidRDefault="00335ADD" w:rsidP="006F1ABB">
            <w:pPr>
              <w:pStyle w:val="Tabletext"/>
              <w:rPr>
                <w:b/>
                <w:i/>
                <w:sz w:val="28"/>
                <w:szCs w:val="28"/>
                <w:lang w:val="en-GB" w:eastAsia="fr-FR"/>
              </w:rPr>
            </w:pPr>
            <w:r w:rsidRPr="00356A75">
              <w:t>1 open label kit contains 3 olive pens prefilled with a solution of 100</w:t>
            </w:r>
            <w:r>
              <w:t> </w:t>
            </w:r>
            <w:r w:rsidRPr="00356A75">
              <w:t>U/mL insulin glargine and 33 μg/mL lixisenatide labelled in randomized conditions</w:t>
            </w:r>
            <w:r w:rsidR="00D512DB">
              <w:t xml:space="preserve"> </w:t>
            </w:r>
            <w:r w:rsidR="00D512DB" w:rsidRPr="00471251">
              <w:t>on the box only</w:t>
            </w:r>
            <w:r w:rsidRPr="00471251">
              <w:t>.</w:t>
            </w:r>
          </w:p>
        </w:tc>
      </w:tr>
      <w:tr w:rsidR="00335ADD" w:rsidRPr="00085AE5" w:rsidTr="006F1ABB">
        <w:trPr>
          <w:cantSplit/>
        </w:trPr>
        <w:tc>
          <w:tcPr>
            <w:tcW w:w="2235" w:type="dxa"/>
            <w:shd w:val="clear" w:color="auto" w:fill="auto"/>
          </w:tcPr>
          <w:p w:rsidR="00335ADD" w:rsidRPr="00356A75" w:rsidRDefault="00335ADD" w:rsidP="006F1ABB">
            <w:pPr>
              <w:pStyle w:val="Tabletext"/>
              <w:rPr>
                <w:lang w:val="fr-FR"/>
              </w:rPr>
            </w:pPr>
            <w:r w:rsidRPr="00356A75">
              <w:rPr>
                <w:lang w:val="fr-FR"/>
              </w:rPr>
              <w:t>Kits Byetta® 5</w:t>
            </w:r>
            <w:r>
              <w:t> </w:t>
            </w:r>
            <w:r w:rsidRPr="00356A75">
              <w:rPr>
                <w:lang w:val="fr-FR"/>
              </w:rPr>
              <w:t>µg</w:t>
            </w:r>
          </w:p>
        </w:tc>
        <w:tc>
          <w:tcPr>
            <w:tcW w:w="7229" w:type="dxa"/>
            <w:shd w:val="clear" w:color="auto" w:fill="auto"/>
          </w:tcPr>
          <w:p w:rsidR="00335ADD" w:rsidRPr="00356A75" w:rsidRDefault="00335ADD" w:rsidP="006F1ABB">
            <w:pPr>
              <w:pStyle w:val="Tabletext"/>
            </w:pPr>
            <w:r w:rsidRPr="00356A75">
              <w:t>1 open label kit contains 1 pen pre- filled with 1.2</w:t>
            </w:r>
            <w:r>
              <w:t> </w:t>
            </w:r>
            <w:r w:rsidR="00D512DB">
              <w:t>mL of e</w:t>
            </w:r>
            <w:r w:rsidRPr="00356A75">
              <w:t>xenatide solution labelled in randomized conditions</w:t>
            </w:r>
            <w:r w:rsidR="00D512DB">
              <w:t xml:space="preserve"> </w:t>
            </w:r>
            <w:r w:rsidR="00D512DB" w:rsidRPr="00471251">
              <w:t>on the box only</w:t>
            </w:r>
            <w:r w:rsidRPr="00356A75">
              <w:t>.</w:t>
            </w:r>
          </w:p>
        </w:tc>
      </w:tr>
      <w:tr w:rsidR="00335ADD" w:rsidRPr="00085AE5" w:rsidTr="006F1ABB">
        <w:trPr>
          <w:cantSplit/>
        </w:trPr>
        <w:tc>
          <w:tcPr>
            <w:tcW w:w="2235" w:type="dxa"/>
            <w:shd w:val="clear" w:color="auto" w:fill="auto"/>
          </w:tcPr>
          <w:p w:rsidR="00335ADD" w:rsidRPr="00356A75" w:rsidRDefault="00335ADD" w:rsidP="006F1ABB">
            <w:pPr>
              <w:pStyle w:val="Tabletext"/>
              <w:rPr>
                <w:lang w:val="fr-FR"/>
              </w:rPr>
            </w:pPr>
            <w:r w:rsidRPr="00356A75">
              <w:rPr>
                <w:lang w:val="fr-FR"/>
              </w:rPr>
              <w:t>Kits Byetta® 10</w:t>
            </w:r>
            <w:r>
              <w:t> </w:t>
            </w:r>
            <w:r w:rsidRPr="00356A75">
              <w:rPr>
                <w:lang w:val="fr-FR"/>
              </w:rPr>
              <w:t>µg</w:t>
            </w:r>
          </w:p>
        </w:tc>
        <w:tc>
          <w:tcPr>
            <w:tcW w:w="7229" w:type="dxa"/>
            <w:shd w:val="clear" w:color="auto" w:fill="auto"/>
          </w:tcPr>
          <w:p w:rsidR="00335ADD" w:rsidRPr="00356A75" w:rsidRDefault="00335ADD" w:rsidP="006F1ABB">
            <w:pPr>
              <w:pStyle w:val="Tabletext"/>
            </w:pPr>
            <w:r w:rsidRPr="00356A75">
              <w:t>1 open label kit contains 1 pen pre- filled with 2.4</w:t>
            </w:r>
            <w:r>
              <w:t> </w:t>
            </w:r>
            <w:r w:rsidR="00D512DB">
              <w:t>mL of e</w:t>
            </w:r>
            <w:r w:rsidRPr="00356A75">
              <w:t>xenatide solution labelled in randomized conditions</w:t>
            </w:r>
            <w:r w:rsidR="00D512DB">
              <w:t xml:space="preserve"> </w:t>
            </w:r>
            <w:r w:rsidR="00D512DB" w:rsidRPr="00471251">
              <w:t>on the box only</w:t>
            </w:r>
            <w:r w:rsidRPr="00356A75">
              <w:t>.</w:t>
            </w:r>
          </w:p>
        </w:tc>
      </w:tr>
      <w:tr w:rsidR="00335ADD" w:rsidRPr="00085AE5" w:rsidTr="006F1ABB">
        <w:trPr>
          <w:cantSplit/>
        </w:trPr>
        <w:tc>
          <w:tcPr>
            <w:tcW w:w="2235" w:type="dxa"/>
            <w:shd w:val="clear" w:color="auto" w:fill="auto"/>
          </w:tcPr>
          <w:p w:rsidR="00335ADD" w:rsidRPr="00356A75" w:rsidRDefault="00335ADD" w:rsidP="006F1ABB">
            <w:pPr>
              <w:pStyle w:val="Tabletext"/>
              <w:rPr>
                <w:i/>
                <w:sz w:val="28"/>
                <w:szCs w:val="28"/>
                <w:lang w:val="en-GB" w:eastAsia="fr-FR"/>
              </w:rPr>
            </w:pPr>
            <w:r w:rsidRPr="00356A75">
              <w:t>Kits Victoza®</w:t>
            </w:r>
          </w:p>
        </w:tc>
        <w:tc>
          <w:tcPr>
            <w:tcW w:w="7229" w:type="dxa"/>
            <w:shd w:val="clear" w:color="auto" w:fill="auto"/>
          </w:tcPr>
          <w:p w:rsidR="00335ADD" w:rsidRPr="00356A75" w:rsidRDefault="00335ADD" w:rsidP="006F1ABB">
            <w:pPr>
              <w:pStyle w:val="Tabletext"/>
              <w:rPr>
                <w:b/>
                <w:i/>
                <w:sz w:val="28"/>
                <w:szCs w:val="28"/>
                <w:lang w:val="en-GB" w:eastAsia="fr-FR"/>
              </w:rPr>
            </w:pPr>
            <w:r w:rsidRPr="00356A75">
              <w:t>1 open label kit contains 2 pens prefilled with a solution of 6</w:t>
            </w:r>
            <w:r>
              <w:t> </w:t>
            </w:r>
            <w:r w:rsidRPr="00356A75">
              <w:t>mg/m</w:t>
            </w:r>
            <w:r>
              <w:t xml:space="preserve">L </w:t>
            </w:r>
            <w:r w:rsidRPr="00356A75">
              <w:t>liraglutide labelled in randomized conditions</w:t>
            </w:r>
            <w:r w:rsidR="00D512DB">
              <w:t xml:space="preserve"> </w:t>
            </w:r>
            <w:r w:rsidR="00D512DB" w:rsidRPr="00471251">
              <w:t>on the box only</w:t>
            </w:r>
            <w:r w:rsidRPr="00356A75">
              <w:t>.</w:t>
            </w:r>
          </w:p>
        </w:tc>
      </w:tr>
      <w:tr w:rsidR="00D512DB" w:rsidRPr="00085AE5" w:rsidTr="006F1ABB">
        <w:trPr>
          <w:cantSplit/>
        </w:trPr>
        <w:tc>
          <w:tcPr>
            <w:tcW w:w="2235" w:type="dxa"/>
            <w:shd w:val="clear" w:color="auto" w:fill="auto"/>
          </w:tcPr>
          <w:p w:rsidR="00772454" w:rsidRDefault="00D512DB" w:rsidP="00772454">
            <w:pPr>
              <w:pStyle w:val="Tabletext"/>
            </w:pPr>
            <w:r w:rsidRPr="00471251">
              <w:t xml:space="preserve">Kits Trulicity® </w:t>
            </w:r>
          </w:p>
          <w:p w:rsidR="00D512DB" w:rsidRPr="00471251" w:rsidRDefault="00D512DB" w:rsidP="00772454">
            <w:pPr>
              <w:pStyle w:val="Tabletext"/>
            </w:pPr>
            <w:r w:rsidRPr="00471251">
              <w:t>0.75 mg/0.5mL</w:t>
            </w:r>
          </w:p>
        </w:tc>
        <w:tc>
          <w:tcPr>
            <w:tcW w:w="7229" w:type="dxa"/>
            <w:shd w:val="clear" w:color="auto" w:fill="auto"/>
          </w:tcPr>
          <w:p w:rsidR="00D512DB" w:rsidRPr="00471251" w:rsidRDefault="00D512DB" w:rsidP="006F1ABB">
            <w:pPr>
              <w:pStyle w:val="Tabletext"/>
            </w:pPr>
            <w:r w:rsidRPr="00471251">
              <w:t>1 open label kit contains 4 single dose pens prefilled with a solution of 0.75</w:t>
            </w:r>
            <w:r w:rsidR="00772454">
              <w:t> </w:t>
            </w:r>
            <w:r w:rsidRPr="00471251">
              <w:t xml:space="preserve"> mg/0.5mL dulaglutide labelled in randomized conditions on the box only.</w:t>
            </w:r>
          </w:p>
        </w:tc>
      </w:tr>
      <w:tr w:rsidR="00D512DB" w:rsidRPr="00085AE5" w:rsidTr="006F1ABB">
        <w:trPr>
          <w:cantSplit/>
        </w:trPr>
        <w:tc>
          <w:tcPr>
            <w:tcW w:w="2235" w:type="dxa"/>
            <w:shd w:val="clear" w:color="auto" w:fill="auto"/>
          </w:tcPr>
          <w:p w:rsidR="00D512DB" w:rsidRPr="00471251" w:rsidRDefault="00D512DB" w:rsidP="00D512DB">
            <w:pPr>
              <w:pStyle w:val="Tabletext"/>
            </w:pPr>
            <w:r w:rsidRPr="00471251">
              <w:t xml:space="preserve">Kits Trulicity® </w:t>
            </w:r>
          </w:p>
          <w:p w:rsidR="00D512DB" w:rsidRPr="00471251" w:rsidRDefault="00D512DB" w:rsidP="00D512DB">
            <w:pPr>
              <w:pStyle w:val="Tabletext"/>
            </w:pPr>
            <w:r w:rsidRPr="00471251">
              <w:t>1.5 mg/0.5mL</w:t>
            </w:r>
          </w:p>
        </w:tc>
        <w:tc>
          <w:tcPr>
            <w:tcW w:w="7229" w:type="dxa"/>
            <w:shd w:val="clear" w:color="auto" w:fill="auto"/>
          </w:tcPr>
          <w:p w:rsidR="00D512DB" w:rsidRPr="00471251" w:rsidRDefault="00D512DB" w:rsidP="007F5600">
            <w:pPr>
              <w:pStyle w:val="Tabletext"/>
            </w:pPr>
            <w:r w:rsidRPr="00471251">
              <w:t>1 open label kit contains 4 single dose pens prefilled with a solution of 1.5</w:t>
            </w:r>
            <w:r w:rsidR="00772454">
              <w:t> </w:t>
            </w:r>
            <w:r w:rsidRPr="00471251">
              <w:t>mg/0.5mL dulaglutide labelled in randomized conditions on the box only.</w:t>
            </w:r>
          </w:p>
        </w:tc>
      </w:tr>
      <w:tr w:rsidR="00D512DB" w:rsidRPr="00085AE5" w:rsidTr="006F1ABB">
        <w:trPr>
          <w:cantSplit/>
        </w:trPr>
        <w:tc>
          <w:tcPr>
            <w:tcW w:w="2235" w:type="dxa"/>
            <w:shd w:val="clear" w:color="auto" w:fill="auto"/>
          </w:tcPr>
          <w:p w:rsidR="00D512DB" w:rsidRPr="00471251" w:rsidRDefault="00D512DB" w:rsidP="00D512DB">
            <w:pPr>
              <w:pStyle w:val="Tabletext"/>
            </w:pPr>
            <w:r w:rsidRPr="00471251">
              <w:t xml:space="preserve">Kits Bydureon® </w:t>
            </w:r>
          </w:p>
          <w:p w:rsidR="00D512DB" w:rsidRPr="00471251" w:rsidRDefault="00D512DB" w:rsidP="00D512DB">
            <w:pPr>
              <w:pStyle w:val="Tabletext"/>
            </w:pPr>
            <w:r w:rsidRPr="00471251">
              <w:t>2 mg</w:t>
            </w:r>
          </w:p>
        </w:tc>
        <w:tc>
          <w:tcPr>
            <w:tcW w:w="7229" w:type="dxa"/>
            <w:shd w:val="clear" w:color="auto" w:fill="auto"/>
          </w:tcPr>
          <w:p w:rsidR="00D512DB" w:rsidRPr="00471251" w:rsidRDefault="00D512DB" w:rsidP="00D512DB">
            <w:pPr>
              <w:pStyle w:val="Tabletext"/>
            </w:pPr>
            <w:r w:rsidRPr="00471251">
              <w:t xml:space="preserve">1 open label kit contains 4 blisters containing 1 single dose pens with 2 mg </w:t>
            </w:r>
            <w:r w:rsidR="00772454" w:rsidRPr="00471251">
              <w:t>of exenatide</w:t>
            </w:r>
            <w:r w:rsidRPr="00471251">
              <w:t xml:space="preserve"> extended release </w:t>
            </w:r>
            <w:r w:rsidR="00772454" w:rsidRPr="00471251">
              <w:t>and 1</w:t>
            </w:r>
            <w:r w:rsidRPr="00471251">
              <w:t xml:space="preserve"> needle. An extra needle is supply in the kit labelled in randomized conditions on the box only.</w:t>
            </w:r>
          </w:p>
        </w:tc>
      </w:tr>
      <w:tr w:rsidR="00D512DB" w:rsidRPr="00085AE5" w:rsidTr="006F1ABB">
        <w:trPr>
          <w:cantSplit/>
        </w:trPr>
        <w:tc>
          <w:tcPr>
            <w:tcW w:w="2235" w:type="dxa"/>
            <w:shd w:val="clear" w:color="auto" w:fill="auto"/>
          </w:tcPr>
          <w:p w:rsidR="00D512DB" w:rsidRPr="00471251" w:rsidRDefault="00D512DB" w:rsidP="00D512DB">
            <w:pPr>
              <w:pStyle w:val="Tabletext"/>
            </w:pPr>
            <w:r w:rsidRPr="00471251">
              <w:lastRenderedPageBreak/>
              <w:t xml:space="preserve">Kits Tanzeum®/Eperzan </w:t>
            </w:r>
          </w:p>
          <w:p w:rsidR="00D512DB" w:rsidRPr="00471251" w:rsidRDefault="00D512DB" w:rsidP="00D512DB">
            <w:pPr>
              <w:pStyle w:val="Tabletext"/>
            </w:pPr>
            <w:r w:rsidRPr="00471251">
              <w:t>30 mg</w:t>
            </w:r>
          </w:p>
        </w:tc>
        <w:tc>
          <w:tcPr>
            <w:tcW w:w="7229" w:type="dxa"/>
            <w:shd w:val="clear" w:color="auto" w:fill="auto"/>
          </w:tcPr>
          <w:p w:rsidR="00D512DB" w:rsidRPr="00471251" w:rsidRDefault="00D512DB" w:rsidP="00D512DB">
            <w:pPr>
              <w:pStyle w:val="Tabletext"/>
            </w:pPr>
            <w:r w:rsidRPr="00471251">
              <w:t>1 open label kit contains 4 single dose pens prefilled with 30 mg/ 0.5 mL of albiglutide + 4 needles. The kit is labelled in randomized conditions on the box only.</w:t>
            </w:r>
          </w:p>
        </w:tc>
      </w:tr>
      <w:tr w:rsidR="00D512DB" w:rsidRPr="00085AE5" w:rsidTr="006F1ABB">
        <w:trPr>
          <w:cantSplit/>
        </w:trPr>
        <w:tc>
          <w:tcPr>
            <w:tcW w:w="2235" w:type="dxa"/>
            <w:shd w:val="clear" w:color="auto" w:fill="auto"/>
          </w:tcPr>
          <w:p w:rsidR="00D512DB" w:rsidRPr="00471251" w:rsidRDefault="00D512DB" w:rsidP="00D512DB">
            <w:pPr>
              <w:pStyle w:val="Tabletext"/>
            </w:pPr>
            <w:r w:rsidRPr="00471251">
              <w:t xml:space="preserve">Kits Tanzeum®/Eperzan </w:t>
            </w:r>
          </w:p>
          <w:p w:rsidR="00D512DB" w:rsidRPr="00471251" w:rsidRDefault="00D512DB" w:rsidP="00D512DB">
            <w:pPr>
              <w:pStyle w:val="Tabletext"/>
            </w:pPr>
            <w:r w:rsidRPr="00471251">
              <w:t>50 mg</w:t>
            </w:r>
          </w:p>
        </w:tc>
        <w:tc>
          <w:tcPr>
            <w:tcW w:w="7229" w:type="dxa"/>
            <w:shd w:val="clear" w:color="auto" w:fill="auto"/>
          </w:tcPr>
          <w:p w:rsidR="00D512DB" w:rsidRPr="00471251" w:rsidRDefault="00D512DB" w:rsidP="00D512DB">
            <w:pPr>
              <w:pStyle w:val="Tabletext"/>
            </w:pPr>
            <w:r w:rsidRPr="00471251">
              <w:t>1 open label kit contains 4 single dose pens prefilled with 50 mg/ 0.5 mL of albiglutide + 4 needles. The kit is labelled in randomized conditions on the box only.</w:t>
            </w:r>
          </w:p>
        </w:tc>
      </w:tr>
    </w:tbl>
    <w:p w:rsidR="002F41EE" w:rsidRDefault="002F41EE">
      <w:pPr>
        <w:pStyle w:val="Heading2"/>
      </w:pPr>
      <w:bookmarkStart w:id="343" w:name="_Toc89161719"/>
      <w:bookmarkStart w:id="344" w:name="_Toc128558622"/>
      <w:bookmarkStart w:id="345" w:name="_Toc129597709"/>
      <w:bookmarkStart w:id="346" w:name="_Toc130200159"/>
      <w:bookmarkStart w:id="347" w:name="_Toc130368740"/>
      <w:bookmarkStart w:id="348" w:name="_Toc130368870"/>
      <w:bookmarkStart w:id="349" w:name="_Toc130703378"/>
      <w:bookmarkStart w:id="350" w:name="_Toc382298084"/>
      <w:bookmarkStart w:id="351" w:name="_Toc443035860"/>
      <w:r>
        <w:t>Storage conditions</w:t>
      </w:r>
      <w:bookmarkEnd w:id="343"/>
      <w:bookmarkEnd w:id="344"/>
      <w:bookmarkEnd w:id="345"/>
      <w:bookmarkEnd w:id="346"/>
      <w:bookmarkEnd w:id="347"/>
      <w:bookmarkEnd w:id="348"/>
      <w:bookmarkEnd w:id="349"/>
      <w:r>
        <w:t xml:space="preserve"> and shelf life</w:t>
      </w:r>
      <w:bookmarkEnd w:id="350"/>
      <w:bookmarkEnd w:id="351"/>
    </w:p>
    <w:p w:rsidR="00CB70A0" w:rsidRDefault="00CB70A0" w:rsidP="00CB70A0">
      <w:r>
        <w:t>Investigators or other authorized persons (eg, pharmacists) are responsible for storing IMP in a secure and safe place in accordance with local regulations, labeling specifications, policies and procedures.</w:t>
      </w:r>
    </w:p>
    <w:p w:rsidR="00CB70A0" w:rsidRDefault="00CB70A0" w:rsidP="00CB70A0">
      <w:r>
        <w:t>Control of IMP storage conditions, especially control of temperature (eg, refrigerated storage) and information on in-use stability and instructions for handling the Sanofi compound should be managed according to the rules provided by the Sponsor.</w:t>
      </w:r>
    </w:p>
    <w:p w:rsidR="00CB70A0" w:rsidRDefault="00CB70A0" w:rsidP="00CB70A0">
      <w:r>
        <w:t>The expiry date is mentioned on the IMPs labels, and storage conditions are written on the IMPs labels and in the instruction leaflet.</w:t>
      </w:r>
    </w:p>
    <w:p w:rsidR="00CB70A0" w:rsidRPr="00CB70A0" w:rsidRDefault="00CB70A0" w:rsidP="00CB70A0">
      <w:pPr>
        <w:rPr>
          <w:b/>
        </w:rPr>
      </w:pPr>
      <w:r w:rsidRPr="00CB70A0">
        <w:rPr>
          <w:b/>
        </w:rPr>
        <w:t>Insulin glargine/lixisenatide fixed ratio combination</w:t>
      </w:r>
    </w:p>
    <w:p w:rsidR="00CB70A0" w:rsidRDefault="00CB70A0" w:rsidP="00CB70A0">
      <w:r>
        <w:t xml:space="preserve">Prior to the first use, the </w:t>
      </w:r>
      <w:r w:rsidR="00EF1C23" w:rsidRPr="00471251">
        <w:t>FRC</w:t>
      </w:r>
      <w:r w:rsidR="00EF1C23">
        <w:t xml:space="preserve"> </w:t>
      </w:r>
      <w:r>
        <w:t>cartridges have to be stored between +2°C and +8°C, protected from light, and must not be frozen.</w:t>
      </w:r>
    </w:p>
    <w:p w:rsidR="00CB70A0" w:rsidRDefault="00CB70A0" w:rsidP="00CB70A0">
      <w:r>
        <w:t>In-use disposable pen-injectors have to be stored below +30°C (not refrigerated) protected from light. Each pen should be replaced if not completely used within 14 days.</w:t>
      </w:r>
    </w:p>
    <w:p w:rsidR="00CB70A0" w:rsidRPr="00471251" w:rsidRDefault="00CB70A0" w:rsidP="00CB70A0">
      <w:pPr>
        <w:rPr>
          <w:b/>
        </w:rPr>
      </w:pPr>
      <w:r w:rsidRPr="00471251">
        <w:rPr>
          <w:b/>
        </w:rPr>
        <w:t>Victoza®</w:t>
      </w:r>
    </w:p>
    <w:p w:rsidR="004D1603" w:rsidRPr="00471251" w:rsidRDefault="004D1603" w:rsidP="004D1603">
      <w:r w:rsidRPr="00471251">
        <w:t>Prior to first use, Victoza® should be stored in the refrigerator at 36°F to 46°F (2°C to 8°C). After first use, the Victoza® pen can be kept at controlled room (59°F to 86°F; 15°C to 30°C) or in a refrigerator (36°F to 46°F; 2°C to 8°C).</w:t>
      </w:r>
    </w:p>
    <w:p w:rsidR="00CB70A0" w:rsidRPr="00471251" w:rsidRDefault="004D1603" w:rsidP="00CB70A0">
      <w:r w:rsidRPr="00471251">
        <w:t xml:space="preserve">Victoza® should be protected from light, must not be frozen, and must not be used if it has been frozen. </w:t>
      </w:r>
      <w:r w:rsidR="00CB70A0" w:rsidRPr="00471251">
        <w:t>The pen should be replaced if not completely used within 30 days.</w:t>
      </w:r>
    </w:p>
    <w:p w:rsidR="00CB70A0" w:rsidRPr="00471251" w:rsidRDefault="00CB70A0" w:rsidP="00CB70A0">
      <w:pPr>
        <w:rPr>
          <w:b/>
        </w:rPr>
      </w:pPr>
      <w:r w:rsidRPr="00471251">
        <w:rPr>
          <w:b/>
        </w:rPr>
        <w:t>Byetta®</w:t>
      </w:r>
    </w:p>
    <w:p w:rsidR="00AA3F9D" w:rsidRPr="00471251" w:rsidRDefault="00CB70A0" w:rsidP="00CB70A0">
      <w:r w:rsidRPr="00471251">
        <w:t xml:space="preserve">Prior to first use, </w:t>
      </w:r>
      <w:r w:rsidR="00AB4899" w:rsidRPr="00471251">
        <w:t>Byetta</w:t>
      </w:r>
      <w:r w:rsidR="00AA3F9D" w:rsidRPr="00471251">
        <w:t>®</w:t>
      </w:r>
      <w:r w:rsidR="00AB4899" w:rsidRPr="00471251">
        <w:t xml:space="preserve"> must</w:t>
      </w:r>
      <w:r w:rsidRPr="00471251">
        <w:t xml:space="preserve"> be stored </w:t>
      </w:r>
      <w:r w:rsidR="00AB4899" w:rsidRPr="00471251">
        <w:t xml:space="preserve">in the refrigerator at 36°F to 46°F (2°C to 8°C). After first use, </w:t>
      </w:r>
      <w:r w:rsidR="004D1603" w:rsidRPr="00471251">
        <w:t xml:space="preserve">the </w:t>
      </w:r>
      <w:r w:rsidR="00AB4899" w:rsidRPr="00471251">
        <w:t>Byetta</w:t>
      </w:r>
      <w:r w:rsidR="00AA3F9D" w:rsidRPr="00471251">
        <w:t>®</w:t>
      </w:r>
      <w:r w:rsidR="00AB4899" w:rsidRPr="00471251">
        <w:t xml:space="preserve"> </w:t>
      </w:r>
      <w:r w:rsidR="004D1603" w:rsidRPr="00471251">
        <w:t xml:space="preserve">pen </w:t>
      </w:r>
      <w:r w:rsidR="00AB4899" w:rsidRPr="00471251">
        <w:t>can be kept at a temperature not to exceed 77°F (25°C).</w:t>
      </w:r>
    </w:p>
    <w:p w:rsidR="00CB70A0" w:rsidRPr="00471251" w:rsidRDefault="00AA3F9D" w:rsidP="00CB70A0">
      <w:r w:rsidRPr="00471251">
        <w:t>Byetta® should be</w:t>
      </w:r>
      <w:r w:rsidR="00CB70A0" w:rsidRPr="00471251">
        <w:t xml:space="preserve"> protected from light, must not be frozen</w:t>
      </w:r>
      <w:r w:rsidR="00AB4899" w:rsidRPr="00471251">
        <w:t>, and must not be used if it has been frozen</w:t>
      </w:r>
      <w:r w:rsidR="00CB70A0" w:rsidRPr="00471251">
        <w:t>.</w:t>
      </w:r>
      <w:r w:rsidRPr="00471251">
        <w:t xml:space="preserve"> </w:t>
      </w:r>
      <w:r w:rsidR="00CB70A0" w:rsidRPr="00471251">
        <w:t>The pen should be replaced if not completely used within 30 days.</w:t>
      </w:r>
    </w:p>
    <w:p w:rsidR="00CB70A0" w:rsidRPr="00471251" w:rsidRDefault="00CB70A0" w:rsidP="007F5600">
      <w:pPr>
        <w:keepNext/>
        <w:rPr>
          <w:b/>
        </w:rPr>
      </w:pPr>
      <w:r w:rsidRPr="00471251">
        <w:rPr>
          <w:b/>
        </w:rPr>
        <w:lastRenderedPageBreak/>
        <w:t>Bydureon®</w:t>
      </w:r>
    </w:p>
    <w:p w:rsidR="00825C32" w:rsidRPr="00471251" w:rsidRDefault="00765BF1" w:rsidP="00825C32">
      <w:r w:rsidRPr="00471251">
        <w:t>Bydureon®</w:t>
      </w:r>
      <w:r w:rsidR="00825C32" w:rsidRPr="00471251">
        <w:t xml:space="preserve"> </w:t>
      </w:r>
      <w:r w:rsidRPr="00471251">
        <w:t>should</w:t>
      </w:r>
      <w:r w:rsidR="00825C32" w:rsidRPr="00471251">
        <w:t xml:space="preserve"> be stored in the refrigerator at 36°F to 46°F (2°C to 8°C) and protected from light until prepared for use</w:t>
      </w:r>
      <w:r w:rsidRPr="00471251">
        <w:t>. It</w:t>
      </w:r>
      <w:r w:rsidR="00825C32" w:rsidRPr="00471251">
        <w:t xml:space="preserve"> must not be frozen and must not be used if it has been frozen.</w:t>
      </w:r>
    </w:p>
    <w:p w:rsidR="00CB70A0" w:rsidRPr="00471251" w:rsidRDefault="00825C32" w:rsidP="00825C32">
      <w:r w:rsidRPr="00471251">
        <w:t xml:space="preserve">If needed, </w:t>
      </w:r>
      <w:r w:rsidR="00765BF1" w:rsidRPr="00471251">
        <w:t xml:space="preserve">Bydureon® </w:t>
      </w:r>
      <w:r w:rsidRPr="00471251">
        <w:t>can be kept out of the refrigerator at 68°F to 77°F (20°C to 25°C) for up to 4 weeks</w:t>
      </w:r>
      <w:r w:rsidR="00765BF1" w:rsidRPr="00471251">
        <w:t>.</w:t>
      </w:r>
    </w:p>
    <w:p w:rsidR="007155F3" w:rsidRPr="00471251" w:rsidRDefault="007155F3" w:rsidP="00825C32">
      <w:r w:rsidRPr="00471251">
        <w:t>Bydureon® must be administered immediately after the exenatide powder is suspended in the diluent.</w:t>
      </w:r>
    </w:p>
    <w:p w:rsidR="00CB70A0" w:rsidRPr="00471251" w:rsidRDefault="00CB70A0" w:rsidP="00CB70A0">
      <w:pPr>
        <w:rPr>
          <w:b/>
        </w:rPr>
      </w:pPr>
      <w:r w:rsidRPr="00471251">
        <w:rPr>
          <w:b/>
        </w:rPr>
        <w:t>Tanzeum®/Eperzan®</w:t>
      </w:r>
    </w:p>
    <w:p w:rsidR="00E2071D" w:rsidRPr="00471251" w:rsidRDefault="00E2071D" w:rsidP="00E2071D">
      <w:r w:rsidRPr="00471251">
        <w:t>Tanzeum®/Eperzan® should be stored in the refrigerator at 36°F to 46°F (2°C to 8°C), must not be frozen, and must not be used if it has been frozen.</w:t>
      </w:r>
    </w:p>
    <w:p w:rsidR="009D0E21" w:rsidRPr="00471251" w:rsidRDefault="00E2071D" w:rsidP="00E2071D">
      <w:r w:rsidRPr="00471251">
        <w:t>If needed, Tanzeum®/Eperzan® pens can be stored in the box at room temperature below 86°F (30°C) for up to 4 weeks prior to use.</w:t>
      </w:r>
    </w:p>
    <w:p w:rsidR="009D0E21" w:rsidRPr="00471251" w:rsidRDefault="009D0E21" w:rsidP="00E2071D">
      <w:r w:rsidRPr="00471251">
        <w:t>A pen must be used within 8 hours after reconstitution.</w:t>
      </w:r>
    </w:p>
    <w:p w:rsidR="00CB70A0" w:rsidRPr="00471251" w:rsidRDefault="00CB70A0" w:rsidP="00CB70A0">
      <w:pPr>
        <w:rPr>
          <w:b/>
        </w:rPr>
      </w:pPr>
      <w:r w:rsidRPr="00471251">
        <w:rPr>
          <w:b/>
        </w:rPr>
        <w:t>Trulicity®</w:t>
      </w:r>
    </w:p>
    <w:p w:rsidR="007D3F7B" w:rsidRPr="00471251" w:rsidRDefault="007D3F7B" w:rsidP="007D3F7B">
      <w:r w:rsidRPr="00471251">
        <w:t>Trulicity® should be stored in the refrigerator at 36°F to 46°F (2°C to 8°C), protected from light, must not be frozen, and must not be used if it has been frozen.</w:t>
      </w:r>
    </w:p>
    <w:p w:rsidR="00CB70A0" w:rsidRPr="00CB70A0" w:rsidRDefault="007D3F7B" w:rsidP="007D3F7B">
      <w:r w:rsidRPr="00471251">
        <w:t>If needed, each single-dose pen or prefilled syringe can be kept at room temperature, not to exceed 86°F (30°C) for a total of 14 days.</w:t>
      </w:r>
    </w:p>
    <w:p w:rsidR="002F41EE" w:rsidRDefault="002F41EE">
      <w:pPr>
        <w:pStyle w:val="Heading2"/>
      </w:pPr>
      <w:bookmarkStart w:id="352" w:name="_Toc230747464"/>
      <w:bookmarkStart w:id="353" w:name="_Toc230747639"/>
      <w:bookmarkStart w:id="354" w:name="_Toc230748371"/>
      <w:bookmarkStart w:id="355" w:name="_Toc230750385"/>
      <w:bookmarkStart w:id="356" w:name="_Toc230747465"/>
      <w:bookmarkStart w:id="357" w:name="_Toc230747640"/>
      <w:bookmarkStart w:id="358" w:name="_Toc230748372"/>
      <w:bookmarkStart w:id="359" w:name="_Toc230750386"/>
      <w:bookmarkStart w:id="360" w:name="_Toc89161721"/>
      <w:bookmarkStart w:id="361" w:name="_Toc128558624"/>
      <w:bookmarkStart w:id="362" w:name="_Toc129597711"/>
      <w:bookmarkStart w:id="363" w:name="_Toc130200161"/>
      <w:bookmarkStart w:id="364" w:name="_Toc130368742"/>
      <w:bookmarkStart w:id="365" w:name="_Toc130368872"/>
      <w:bookmarkStart w:id="366" w:name="_Toc130703380"/>
      <w:bookmarkStart w:id="367" w:name="_Toc382298085"/>
      <w:bookmarkStart w:id="368" w:name="_Toc443035861"/>
      <w:bookmarkEnd w:id="352"/>
      <w:bookmarkEnd w:id="353"/>
      <w:bookmarkEnd w:id="354"/>
      <w:bookmarkEnd w:id="355"/>
      <w:bookmarkEnd w:id="356"/>
      <w:bookmarkEnd w:id="357"/>
      <w:bookmarkEnd w:id="358"/>
      <w:bookmarkEnd w:id="359"/>
      <w:r>
        <w:t>Responsibilities</w:t>
      </w:r>
      <w:bookmarkEnd w:id="360"/>
      <w:bookmarkEnd w:id="361"/>
      <w:bookmarkEnd w:id="362"/>
      <w:bookmarkEnd w:id="363"/>
      <w:bookmarkEnd w:id="364"/>
      <w:bookmarkEnd w:id="365"/>
      <w:bookmarkEnd w:id="366"/>
      <w:bookmarkEnd w:id="367"/>
      <w:bookmarkEnd w:id="368"/>
    </w:p>
    <w:p w:rsidR="002F41EE" w:rsidRDefault="002F41EE">
      <w:r>
        <w:t>The Investigator, the hospital pharmacist, or other personnel allowed to store and dispense the IMP will be responsible for ensuring that the IMP used in the clinical trial is securely maintained as specified by the Sponsor and in accordance with applicable regulatory requirements.</w:t>
      </w:r>
    </w:p>
    <w:p w:rsidR="002F41EE" w:rsidRDefault="002F41EE">
      <w:r>
        <w:t>All IMP will be dispensed in accordance with the Investigator's prescription and it is the Investigator's responsibility to ensure that an accurate record of IMP issued and returned is maintained.</w:t>
      </w:r>
    </w:p>
    <w:p w:rsidR="002F41EE" w:rsidRDefault="002F41EE">
      <w:r>
        <w:t>Any quality issue noticed with the receipt or use of an IMP (deficiency in condition, appearance, pertaining documentation, labeling, expiration date, etc) should be promptly notified to the Sponsor. Some deficiencies may be recorded through a complaint procedure.</w:t>
      </w:r>
    </w:p>
    <w:p w:rsidR="002F41EE" w:rsidRDefault="002F41EE">
      <w:r>
        <w:t>A potential defect in the quality of IMP may be subject to initiation of a recall procedure by the Sponsor. In this case, the Investigator will be responsible for promptly addressing any request made by the Sponsor, in order to recall IMP and eliminate potential hazards.</w:t>
      </w:r>
    </w:p>
    <w:p w:rsidR="002F41EE" w:rsidRDefault="002F41EE">
      <w:r>
        <w:lastRenderedPageBreak/>
        <w:t>Under no circumstances will the Investigator supply IMP to a third party, allow the IMP to be used other than as directed by this clinical trial protocol, or dispose of IMP in any other manner.</w:t>
      </w:r>
    </w:p>
    <w:p w:rsidR="002F41EE" w:rsidRDefault="002F41EE">
      <w:pPr>
        <w:pStyle w:val="Heading3"/>
      </w:pPr>
      <w:bookmarkStart w:id="369" w:name="_Toc382298086"/>
      <w:bookmarkStart w:id="370" w:name="_Toc443035862"/>
      <w:r>
        <w:t>Treatment accountability and compliance</w:t>
      </w:r>
      <w:bookmarkEnd w:id="369"/>
      <w:bookmarkEnd w:id="370"/>
    </w:p>
    <w:p w:rsidR="00110B37" w:rsidRDefault="00110B37" w:rsidP="00110B37">
      <w:r>
        <w:t xml:space="preserve">The Investigator checks the compliance to the study treatments based on the patient diary and by visually checking the returned </w:t>
      </w:r>
      <w:r w:rsidR="004E1242" w:rsidRPr="006E74D7">
        <w:t>FRC</w:t>
      </w:r>
      <w:r w:rsidR="004E1242">
        <w:t xml:space="preserve"> </w:t>
      </w:r>
      <w:r w:rsidR="0039026A">
        <w:t xml:space="preserve">pens, Victoza®, </w:t>
      </w:r>
      <w:r>
        <w:t>Byetta®</w:t>
      </w:r>
      <w:r w:rsidR="0039026A">
        <w:t xml:space="preserve">, </w:t>
      </w:r>
      <w:r w:rsidR="0039026A" w:rsidRPr="006E74D7">
        <w:t>Bydureon®, Tanzeum®/Eperzan®, or Trulicity®</w:t>
      </w:r>
      <w:r>
        <w:t xml:space="preserve"> pens and completes the appropriate “Treatment Log Form”. Visual check on return has to be performed by site staff. In addition he/she also records the dosing information on the appropriate pages of the e-CRF.</w:t>
      </w:r>
      <w:r w:rsidR="0039026A">
        <w:t xml:space="preserve"> </w:t>
      </w:r>
      <w:r w:rsidR="0039026A" w:rsidRPr="006E74D7">
        <w:t>The monitor in charge of the study then checks the e-CRF data by comparing them with the IMP which he/she has retrieved and treatment log forms.</w:t>
      </w:r>
    </w:p>
    <w:p w:rsidR="00110B37" w:rsidRPr="00110B37" w:rsidRDefault="00110B37" w:rsidP="00110B37">
      <w:r>
        <w:t>For NIMPs metformin and pioglitazone, name, start and end date of t</w:t>
      </w:r>
      <w:r w:rsidR="007F5600">
        <w:t>reatment, total daily dose, </w:t>
      </w:r>
      <w:r w:rsidR="00E37F9A">
        <w:t>etc</w:t>
      </w:r>
      <w:r>
        <w:t>,</w:t>
      </w:r>
      <w:r w:rsidR="007F5600">
        <w:t> </w:t>
      </w:r>
      <w:r>
        <w:t>will be documented in the source documents. Compliance to metformin with or without piogliatzone will be checked by interviewing the patient and reviewing the diary at each visit and will be documented in the source documents and in the e-CRF.</w:t>
      </w:r>
    </w:p>
    <w:p w:rsidR="002F41EE" w:rsidRDefault="002F41EE">
      <w:pPr>
        <w:pStyle w:val="Heading3"/>
      </w:pPr>
      <w:bookmarkStart w:id="371" w:name="_Toc382298087"/>
      <w:bookmarkStart w:id="372" w:name="_Toc443035863"/>
      <w:r>
        <w:t>Return and/or destruction of treatments</w:t>
      </w:r>
      <w:bookmarkEnd w:id="371"/>
      <w:bookmarkEnd w:id="372"/>
    </w:p>
    <w:p w:rsidR="00C577D8" w:rsidRDefault="00C577D8" w:rsidP="00C577D8">
      <w:r>
        <w:t xml:space="preserve">Patients have to return all the used and in-use IMP (and corresponding leaflets if appropriate) at each on-site visit. Patients should also return the unused IMP each time a re-supply is planned (see </w:t>
      </w:r>
      <w:hyperlink w:anchor="_Ref442689355" w:history="1">
        <w:r w:rsidR="00C522CD" w:rsidRPr="00C522CD">
          <w:rPr>
            <w:rStyle w:val="Hyperlink"/>
            <w:u w:val="none"/>
          </w:rPr>
          <w:t>Section</w:t>
        </w:r>
      </w:hyperlink>
      <w:r w:rsidR="00C522CD">
        <w:t xml:space="preserve"> </w:t>
      </w:r>
      <w:r w:rsidR="00C522CD">
        <w:fldChar w:fldCharType="begin"/>
      </w:r>
      <w:r w:rsidR="00C522CD">
        <w:instrText xml:space="preserve"> REF _Ref442689355 \r \h </w:instrText>
      </w:r>
      <w:r w:rsidR="00C522CD">
        <w:fldChar w:fldCharType="separate"/>
      </w:r>
      <w:r w:rsidR="005A26F6">
        <w:t>1.2</w:t>
      </w:r>
      <w:r w:rsidR="00C522CD">
        <w:fldChar w:fldCharType="end"/>
      </w:r>
      <w:r>
        <w:t>).</w:t>
      </w:r>
    </w:p>
    <w:p w:rsidR="00C577D8" w:rsidRDefault="00C577D8" w:rsidP="00C577D8">
      <w:r>
        <w:t>Patients have to return all the used, in-use and unused IMP at V28 (or final assessment on treatment visit in case of permanent premature discontinuation).</w:t>
      </w:r>
    </w:p>
    <w:p w:rsidR="00C577D8" w:rsidRDefault="00C577D8" w:rsidP="00C577D8">
      <w:r>
        <w:t>All used, partially used or unused treatments will be retrieved by the Sponsor. A detailed treatment log of the returned IMP will be established with the Investigator (or the pharmacist) and countersigned by the Investigator and the Monitoring Team.</w:t>
      </w:r>
    </w:p>
    <w:p w:rsidR="00C577D8" w:rsidRPr="00C577D8" w:rsidRDefault="00C577D8" w:rsidP="00C577D8">
      <w:r>
        <w:t>For NIMP not provided by the Sponsor, tracking and reconciliation has to be achieved by the Investigator (or pharmacist if appropriate) according to the system proposed by the Sponsor.</w:t>
      </w:r>
    </w:p>
    <w:p w:rsidR="002F41EE" w:rsidRDefault="002F41EE">
      <w:pPr>
        <w:pStyle w:val="Heading2"/>
        <w:keepLines/>
      </w:pPr>
      <w:bookmarkStart w:id="373" w:name="_Toc284334942"/>
      <w:bookmarkStart w:id="374" w:name="_Toc284348255"/>
      <w:bookmarkStart w:id="375" w:name="_Toc302136325"/>
      <w:bookmarkStart w:id="376" w:name="_Toc302371081"/>
      <w:bookmarkStart w:id="377" w:name="_Toc89161723"/>
      <w:bookmarkStart w:id="378" w:name="_Toc128558626"/>
      <w:bookmarkStart w:id="379" w:name="_Toc129597713"/>
      <w:bookmarkStart w:id="380" w:name="_Toc130200163"/>
      <w:bookmarkStart w:id="381" w:name="_Toc130368744"/>
      <w:bookmarkStart w:id="382" w:name="_Toc130368874"/>
      <w:bookmarkStart w:id="383" w:name="_Toc130703382"/>
      <w:bookmarkStart w:id="384" w:name="_Toc382298088"/>
      <w:bookmarkStart w:id="385" w:name="_Toc443035864"/>
      <w:bookmarkEnd w:id="373"/>
      <w:bookmarkEnd w:id="374"/>
      <w:bookmarkEnd w:id="375"/>
      <w:bookmarkEnd w:id="376"/>
      <w:r>
        <w:t xml:space="preserve">Concomitant </w:t>
      </w:r>
      <w:bookmarkEnd w:id="377"/>
      <w:bookmarkEnd w:id="378"/>
      <w:bookmarkEnd w:id="379"/>
      <w:bookmarkEnd w:id="380"/>
      <w:bookmarkEnd w:id="381"/>
      <w:bookmarkEnd w:id="382"/>
      <w:bookmarkEnd w:id="383"/>
      <w:r>
        <w:t>medication</w:t>
      </w:r>
      <w:bookmarkEnd w:id="384"/>
      <w:bookmarkEnd w:id="385"/>
    </w:p>
    <w:p w:rsidR="002F41EE" w:rsidRDefault="002F41EE">
      <w:pPr>
        <w:keepNext/>
        <w:keepLines/>
      </w:pPr>
      <w:r>
        <w:t>A concomitant medication is any treatment received by the patient concomitantly to any IMP(s).</w:t>
      </w:r>
    </w:p>
    <w:p w:rsidR="00845C88" w:rsidRDefault="00845C88" w:rsidP="00845C88">
      <w:pPr>
        <w:pStyle w:val="Heading3"/>
      </w:pPr>
      <w:bookmarkStart w:id="386" w:name="_Toc443035865"/>
      <w:r>
        <w:t>Allowed concomitant therapy</w:t>
      </w:r>
      <w:bookmarkEnd w:id="386"/>
    </w:p>
    <w:p w:rsidR="00845C88" w:rsidRDefault="00845C88" w:rsidP="00845C88">
      <w:r>
        <w:t>Any therapies or medications other than prohibited concomitant therapy in addition to the IMP should be kept to a minimum during the study. However, if these are considered necessary for the patient’s welfare and are unlikely to interfere with the IMP, they may be given at the discretion of the Investigator, with a stable dose (when possible).</w:t>
      </w:r>
    </w:p>
    <w:p w:rsidR="00845C88" w:rsidRDefault="00845C88" w:rsidP="00845C88">
      <w:r>
        <w:t xml:space="preserve">In the </w:t>
      </w:r>
      <w:r w:rsidR="00BB363F" w:rsidRPr="006E74D7">
        <w:t>FRC</w:t>
      </w:r>
      <w:r w:rsidR="00BB363F">
        <w:t xml:space="preserve"> </w:t>
      </w:r>
      <w:r>
        <w:t xml:space="preserve">treatment group, for oral treatments that are dependent on threshold concentrations for efficacy, such as oral contraceptives and antibiotics, patients should be advised to take those </w:t>
      </w:r>
      <w:r>
        <w:lastRenderedPageBreak/>
        <w:t>treatments at least 1 hour befor</w:t>
      </w:r>
      <w:r w:rsidR="00C85D4C">
        <w:t>e study drug injection or about</w:t>
      </w:r>
      <w:r>
        <w:t xml:space="preserve"> </w:t>
      </w:r>
      <w:r w:rsidR="00C85D4C" w:rsidRPr="006E74D7">
        <w:t>11</w:t>
      </w:r>
      <w:r w:rsidR="00C85D4C">
        <w:t xml:space="preserve"> </w:t>
      </w:r>
      <w:r>
        <w:t xml:space="preserve">hours after study drug injection. Gastro-resistant formulations containing substances sensitive to stomach degradation should also be </w:t>
      </w:r>
      <w:r w:rsidR="00C85D4C">
        <w:t xml:space="preserve">administered 1 hour before or </w:t>
      </w:r>
      <w:r w:rsidR="00C85D4C" w:rsidRPr="006E74D7">
        <w:t>about 11</w:t>
      </w:r>
      <w:r w:rsidR="00C85D4C">
        <w:t xml:space="preserve"> </w:t>
      </w:r>
      <w:r>
        <w:t xml:space="preserve">hours after injection of the </w:t>
      </w:r>
      <w:r w:rsidR="00BB363F" w:rsidRPr="006E74D7">
        <w:t>FRC</w:t>
      </w:r>
      <w:r>
        <w:t>.</w:t>
      </w:r>
    </w:p>
    <w:p w:rsidR="00845C88" w:rsidRDefault="00845C88" w:rsidP="00845C88">
      <w:r>
        <w:t xml:space="preserve">Specific treatments, which are ongoing before the study and/or prescribed or changed during the study, must be recorded in the e-CRF and Source Data (please refer to </w:t>
      </w:r>
      <w:hyperlink w:anchor="_Ref434492953" w:history="1">
        <w:r w:rsidR="00C522CD" w:rsidRPr="00C522CD">
          <w:rPr>
            <w:rStyle w:val="Hyperlink"/>
            <w:u w:val="none"/>
          </w:rPr>
          <w:t>Section</w:t>
        </w:r>
      </w:hyperlink>
      <w:r w:rsidR="00C522CD">
        <w:t xml:space="preserve"> </w:t>
      </w:r>
      <w:r w:rsidR="00C522CD">
        <w:fldChar w:fldCharType="begin"/>
      </w:r>
      <w:r w:rsidR="00C522CD">
        <w:instrText xml:space="preserve"> REF _Ref434492953 \r \h </w:instrText>
      </w:r>
      <w:r w:rsidR="00C522CD">
        <w:fldChar w:fldCharType="separate"/>
      </w:r>
      <w:r w:rsidR="005A26F6">
        <w:t>10.2.1</w:t>
      </w:r>
      <w:r w:rsidR="00C522CD">
        <w:fldChar w:fldCharType="end"/>
      </w:r>
      <w:r>
        <w:t>).</w:t>
      </w:r>
    </w:p>
    <w:p w:rsidR="00845C88" w:rsidRDefault="00845C88" w:rsidP="00845C88">
      <w:pPr>
        <w:pStyle w:val="Heading3"/>
      </w:pPr>
      <w:bookmarkStart w:id="387" w:name="_Toc443035866"/>
      <w:r>
        <w:t>Concomitant diabetes therapy</w:t>
      </w:r>
      <w:bookmarkEnd w:id="387"/>
    </w:p>
    <w:p w:rsidR="00845C88" w:rsidRDefault="00845C88" w:rsidP="00845C88">
      <w:r>
        <w:t xml:space="preserve">Metformin and pioglitazone are the non-investigational background therapies authorized during the study. Please see </w:t>
      </w:r>
      <w:hyperlink w:anchor="_Ref442689380" w:history="1">
        <w:r w:rsidR="00C522CD" w:rsidRPr="00C522CD">
          <w:rPr>
            <w:rStyle w:val="Hyperlink"/>
            <w:u w:val="none"/>
          </w:rPr>
          <w:t>Section</w:t>
        </w:r>
      </w:hyperlink>
      <w:r w:rsidR="00C522CD">
        <w:t xml:space="preserve"> </w:t>
      </w:r>
      <w:r w:rsidR="00C522CD">
        <w:fldChar w:fldCharType="begin"/>
      </w:r>
      <w:r w:rsidR="00C522CD">
        <w:instrText xml:space="preserve"> REF _Ref442689380 \r \h </w:instrText>
      </w:r>
      <w:r w:rsidR="00C522CD">
        <w:fldChar w:fldCharType="separate"/>
      </w:r>
      <w:r w:rsidR="005A26F6">
        <w:t>8.2</w:t>
      </w:r>
      <w:r w:rsidR="00C522CD">
        <w:fldChar w:fldCharType="end"/>
      </w:r>
      <w:r w:rsidR="00166D43">
        <w:t xml:space="preserve"> </w:t>
      </w:r>
      <w:r>
        <w:t>for details.</w:t>
      </w:r>
    </w:p>
    <w:p w:rsidR="00845C88" w:rsidRDefault="00845C88" w:rsidP="00845C88">
      <w:r>
        <w:t xml:space="preserve">Rapid acting insulin (insulin glulisine when available), is the non-investigational rescue therapy authorized during the study. Please see </w:t>
      </w:r>
      <w:hyperlink w:anchor="_Ref434492049" w:history="1">
        <w:r w:rsidR="00C522CD" w:rsidRPr="00C522CD">
          <w:rPr>
            <w:rStyle w:val="Hyperlink"/>
            <w:u w:val="none"/>
          </w:rPr>
          <w:t>Section</w:t>
        </w:r>
      </w:hyperlink>
      <w:r w:rsidR="00C522CD">
        <w:t xml:space="preserve"> </w:t>
      </w:r>
      <w:r w:rsidR="00C522CD">
        <w:fldChar w:fldCharType="begin"/>
      </w:r>
      <w:r w:rsidR="00C522CD">
        <w:instrText xml:space="preserve"> REF _Ref434492049 \r \h </w:instrText>
      </w:r>
      <w:r w:rsidR="00C522CD">
        <w:fldChar w:fldCharType="separate"/>
      </w:r>
      <w:r w:rsidR="005A26F6">
        <w:t>8.2.3</w:t>
      </w:r>
      <w:r w:rsidR="00C522CD">
        <w:fldChar w:fldCharType="end"/>
      </w:r>
      <w:r>
        <w:t xml:space="preserve"> for details.</w:t>
      </w:r>
    </w:p>
    <w:p w:rsidR="00845C88" w:rsidRDefault="00845C88" w:rsidP="00845C88">
      <w:r>
        <w:t>No other concomitant antidiabetic treatments except the authorized background and rescue therapies described above should be used in this study.</w:t>
      </w:r>
    </w:p>
    <w:p w:rsidR="00845C88" w:rsidRDefault="001866DE" w:rsidP="001866DE">
      <w:pPr>
        <w:pStyle w:val="Heading3"/>
      </w:pPr>
      <w:bookmarkStart w:id="388" w:name="_Toc443035867"/>
      <w:r>
        <w:t>Prohibited concomitant therapy</w:t>
      </w:r>
      <w:bookmarkEnd w:id="388"/>
    </w:p>
    <w:p w:rsidR="001866DE" w:rsidRDefault="001866DE" w:rsidP="001866DE">
      <w:r>
        <w:t>The following drugs are not permitted during the screening period and the treatment periods of the study:</w:t>
      </w:r>
    </w:p>
    <w:p w:rsidR="001866DE" w:rsidRDefault="001866DE" w:rsidP="00CC67B4">
      <w:pPr>
        <w:pStyle w:val="ListBulletLevel1"/>
        <w:numPr>
          <w:ilvl w:val="0"/>
          <w:numId w:val="64"/>
        </w:numPr>
      </w:pPr>
      <w:r>
        <w:t>Any glucose-lowering agents other than the IMP, authorized background anti-diabetic therapy ( metformin and pioglitazone) and rescue therapy, if necessary;</w:t>
      </w:r>
    </w:p>
    <w:p w:rsidR="001866DE" w:rsidRDefault="001866DE" w:rsidP="00CC67B4">
      <w:pPr>
        <w:pStyle w:val="ListBulletLevel1"/>
        <w:numPr>
          <w:ilvl w:val="0"/>
          <w:numId w:val="64"/>
        </w:numPr>
      </w:pPr>
      <w:r w:rsidRPr="001866DE">
        <w:rPr>
          <w:b/>
        </w:rPr>
        <w:t>Note:</w:t>
      </w:r>
      <w:r>
        <w:t xml:space="preserve"> Short-term use (≤10 days) of short/rapid-acting insulin due to acute illness or surgery (eg, infectious disease) is allowed; </w:t>
      </w:r>
    </w:p>
    <w:p w:rsidR="001866DE" w:rsidRDefault="001866DE" w:rsidP="00CC67B4">
      <w:pPr>
        <w:pStyle w:val="ListBulletLevel1"/>
        <w:numPr>
          <w:ilvl w:val="0"/>
          <w:numId w:val="64"/>
        </w:numPr>
      </w:pPr>
      <w:r>
        <w:t>Systemic glucocorticoids for more than 10 days (topical or inhaled applications are allowed);</w:t>
      </w:r>
    </w:p>
    <w:p w:rsidR="001866DE" w:rsidRDefault="001866DE" w:rsidP="00CC67B4">
      <w:pPr>
        <w:pStyle w:val="ListBulletLevel1"/>
        <w:numPr>
          <w:ilvl w:val="0"/>
          <w:numId w:val="64"/>
        </w:numPr>
      </w:pPr>
      <w:r>
        <w:t xml:space="preserve">Body weight loss drugs. </w:t>
      </w:r>
    </w:p>
    <w:p w:rsidR="00845C88" w:rsidRPr="00845C88" w:rsidRDefault="001866DE" w:rsidP="001866DE">
      <w:r>
        <w:t>After the last administration of IMP during the study period, any anti-diabetic treatments (other than GLP-1 receptor agonists) are permitted, as deemed necessary by the Investigator.</w:t>
      </w:r>
    </w:p>
    <w:p w:rsidR="002F41EE" w:rsidRDefault="002F41EE">
      <w:pPr>
        <w:pStyle w:val="Heading1"/>
      </w:pPr>
      <w:bookmarkStart w:id="389" w:name="_Toc284334946"/>
      <w:bookmarkStart w:id="390" w:name="_Toc284348259"/>
      <w:bookmarkStart w:id="391" w:name="_Toc302136329"/>
      <w:bookmarkStart w:id="392" w:name="_Toc302371085"/>
      <w:bookmarkStart w:id="393" w:name="_Toc284334947"/>
      <w:bookmarkStart w:id="394" w:name="_Toc284348260"/>
      <w:bookmarkStart w:id="395" w:name="_Toc302136330"/>
      <w:bookmarkStart w:id="396" w:name="_Toc302371086"/>
      <w:bookmarkStart w:id="397" w:name="_Toc284334948"/>
      <w:bookmarkStart w:id="398" w:name="_Toc284348261"/>
      <w:bookmarkStart w:id="399" w:name="_Toc302136331"/>
      <w:bookmarkStart w:id="400" w:name="_Toc302371087"/>
      <w:bookmarkStart w:id="401" w:name="_Toc284334949"/>
      <w:bookmarkStart w:id="402" w:name="_Toc284348262"/>
      <w:bookmarkStart w:id="403" w:name="_Toc302136332"/>
      <w:bookmarkStart w:id="404" w:name="_Toc302371088"/>
      <w:bookmarkStart w:id="405" w:name="_Toc284334950"/>
      <w:bookmarkStart w:id="406" w:name="_Toc284348263"/>
      <w:bookmarkStart w:id="407" w:name="_Toc302136333"/>
      <w:bookmarkStart w:id="408" w:name="_Toc302371089"/>
      <w:bookmarkStart w:id="409" w:name="_Toc284334951"/>
      <w:bookmarkStart w:id="410" w:name="_Toc284348264"/>
      <w:bookmarkStart w:id="411" w:name="_Toc302136334"/>
      <w:bookmarkStart w:id="412" w:name="_Toc302371090"/>
      <w:bookmarkStart w:id="413" w:name="_Toc284334952"/>
      <w:bookmarkStart w:id="414" w:name="_Toc284348265"/>
      <w:bookmarkStart w:id="415" w:name="_Toc302136335"/>
      <w:bookmarkStart w:id="416" w:name="_Toc302371091"/>
      <w:bookmarkStart w:id="417" w:name="_Toc230747467"/>
      <w:bookmarkStart w:id="418" w:name="_Toc230747642"/>
      <w:bookmarkStart w:id="419" w:name="_Toc230748374"/>
      <w:bookmarkStart w:id="420" w:name="_Toc230750388"/>
      <w:bookmarkStart w:id="421" w:name="_Toc284334955"/>
      <w:bookmarkStart w:id="422" w:name="_Toc284348268"/>
      <w:bookmarkStart w:id="423" w:name="_Toc302136338"/>
      <w:bookmarkStart w:id="424" w:name="_Toc302371094"/>
      <w:bookmarkStart w:id="425" w:name="_Toc284334958"/>
      <w:bookmarkStart w:id="426" w:name="_Toc284348271"/>
      <w:bookmarkStart w:id="427" w:name="_Toc302136341"/>
      <w:bookmarkStart w:id="428" w:name="_Toc302371097"/>
      <w:bookmarkStart w:id="429" w:name="_Toc284334959"/>
      <w:bookmarkStart w:id="430" w:name="_Toc284348272"/>
      <w:bookmarkStart w:id="431" w:name="_Toc302136342"/>
      <w:bookmarkStart w:id="432" w:name="_Toc302371098"/>
      <w:bookmarkStart w:id="433" w:name="_Toc284334960"/>
      <w:bookmarkStart w:id="434" w:name="_Toc284348273"/>
      <w:bookmarkStart w:id="435" w:name="_Toc302136343"/>
      <w:bookmarkStart w:id="436" w:name="_Toc302371099"/>
      <w:bookmarkStart w:id="437" w:name="_Ref44315140"/>
      <w:bookmarkStart w:id="438" w:name="_Toc89161726"/>
      <w:bookmarkStart w:id="439" w:name="_Toc128558629"/>
      <w:bookmarkStart w:id="440" w:name="_Toc129597716"/>
      <w:bookmarkStart w:id="441" w:name="_Toc130200166"/>
      <w:bookmarkStart w:id="442" w:name="_Toc130368747"/>
      <w:bookmarkStart w:id="443" w:name="_Toc130368877"/>
      <w:bookmarkStart w:id="444" w:name="_Toc130703385"/>
      <w:bookmarkStart w:id="445" w:name="_Toc382298089"/>
      <w:bookmarkStart w:id="446" w:name="_Toc44303586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r>
        <w:lastRenderedPageBreak/>
        <w:t>Assessment of Investigational medicinal Product</w:t>
      </w:r>
      <w:bookmarkStart w:id="447" w:name="_Toc97362699"/>
      <w:bookmarkStart w:id="448" w:name="_Toc97362988"/>
      <w:bookmarkEnd w:id="437"/>
      <w:bookmarkEnd w:id="438"/>
      <w:bookmarkEnd w:id="439"/>
      <w:bookmarkEnd w:id="440"/>
      <w:bookmarkEnd w:id="441"/>
      <w:bookmarkEnd w:id="442"/>
      <w:bookmarkEnd w:id="443"/>
      <w:bookmarkEnd w:id="444"/>
      <w:bookmarkEnd w:id="445"/>
      <w:bookmarkEnd w:id="446"/>
      <w:bookmarkEnd w:id="447"/>
      <w:bookmarkEnd w:id="448"/>
    </w:p>
    <w:p w:rsidR="00D21A98" w:rsidRPr="00D21A98" w:rsidRDefault="00D21A98" w:rsidP="00D21A98">
      <w:r w:rsidRPr="00D21A98">
        <w:t>All biological efficacy and safety analyses will be performed by a Central Laboratory. Detailed information on samples drawing, management and analysis will be provided in a specific manual.</w:t>
      </w:r>
    </w:p>
    <w:p w:rsidR="002F41EE" w:rsidRDefault="002F41EE">
      <w:pPr>
        <w:pStyle w:val="Heading2"/>
      </w:pPr>
      <w:bookmarkStart w:id="449" w:name="_Toc382298090"/>
      <w:bookmarkStart w:id="450" w:name="_Ref434268391"/>
      <w:bookmarkStart w:id="451" w:name="_Ref434331500"/>
      <w:bookmarkStart w:id="452" w:name="_Ref442280211"/>
      <w:bookmarkStart w:id="453" w:name="_Ref442690178"/>
      <w:bookmarkStart w:id="454" w:name="_Toc443035869"/>
      <w:r>
        <w:t>Primary endpoint</w:t>
      </w:r>
      <w:bookmarkEnd w:id="449"/>
      <w:bookmarkEnd w:id="450"/>
      <w:bookmarkEnd w:id="451"/>
      <w:bookmarkEnd w:id="452"/>
      <w:bookmarkEnd w:id="453"/>
      <w:bookmarkEnd w:id="454"/>
    </w:p>
    <w:p w:rsidR="002F41EE" w:rsidRPr="00D21A98" w:rsidRDefault="002F41EE">
      <w:pPr>
        <w:pStyle w:val="Heading3"/>
      </w:pPr>
      <w:bookmarkStart w:id="455" w:name="_Toc89161727"/>
      <w:bookmarkStart w:id="456" w:name="_Toc128558630"/>
      <w:bookmarkStart w:id="457" w:name="_Toc129597717"/>
      <w:bookmarkStart w:id="458" w:name="_Ref130196509"/>
      <w:bookmarkStart w:id="459" w:name="_Toc130200167"/>
      <w:bookmarkStart w:id="460" w:name="_Toc130368748"/>
      <w:bookmarkStart w:id="461" w:name="_Toc130368878"/>
      <w:bookmarkStart w:id="462" w:name="_Toc130703386"/>
      <w:bookmarkStart w:id="463" w:name="_Toc382298091"/>
      <w:bookmarkStart w:id="464" w:name="_Ref440281499"/>
      <w:bookmarkStart w:id="465" w:name="_Ref442280279"/>
      <w:bookmarkStart w:id="466" w:name="_Ref442690199"/>
      <w:bookmarkStart w:id="467" w:name="_Toc443035870"/>
      <w:r w:rsidRPr="00D21A98">
        <w:t>Primary efficacy</w:t>
      </w:r>
      <w:bookmarkEnd w:id="455"/>
      <w:bookmarkEnd w:id="456"/>
      <w:bookmarkEnd w:id="457"/>
      <w:bookmarkEnd w:id="458"/>
      <w:bookmarkEnd w:id="459"/>
      <w:bookmarkEnd w:id="460"/>
      <w:bookmarkEnd w:id="461"/>
      <w:bookmarkEnd w:id="462"/>
      <w:r w:rsidRPr="00D21A98">
        <w:t xml:space="preserve"> endpoint</w:t>
      </w:r>
      <w:bookmarkEnd w:id="463"/>
      <w:bookmarkEnd w:id="464"/>
      <w:bookmarkEnd w:id="465"/>
      <w:bookmarkEnd w:id="466"/>
      <w:bookmarkEnd w:id="467"/>
    </w:p>
    <w:p w:rsidR="00D21A98" w:rsidRDefault="00D21A98" w:rsidP="00CC67B4">
      <w:pPr>
        <w:pStyle w:val="ListBulletLevel1"/>
        <w:numPr>
          <w:ilvl w:val="0"/>
          <w:numId w:val="65"/>
        </w:numPr>
      </w:pPr>
      <w:r w:rsidRPr="00D21A98">
        <w:t>Change in HbA</w:t>
      </w:r>
      <w:r w:rsidRPr="00950DEA">
        <w:rPr>
          <w:vertAlign w:val="subscript"/>
        </w:rPr>
        <w:t>1c</w:t>
      </w:r>
      <w:r w:rsidRPr="00D21A98">
        <w:t xml:space="preserve"> from baseline to </w:t>
      </w:r>
      <w:r w:rsidR="0007161F">
        <w:t xml:space="preserve">Week </w:t>
      </w:r>
      <w:r w:rsidRPr="00D21A98">
        <w:t>26.</w:t>
      </w:r>
    </w:p>
    <w:p w:rsidR="002F41EE" w:rsidRDefault="002F41EE">
      <w:pPr>
        <w:pStyle w:val="Heading2"/>
      </w:pPr>
      <w:bookmarkStart w:id="468" w:name="_Toc382298092"/>
      <w:bookmarkStart w:id="469" w:name="_Ref434503391"/>
      <w:bookmarkStart w:id="470" w:name="_Ref442281473"/>
      <w:bookmarkStart w:id="471" w:name="_Ref442689057"/>
      <w:bookmarkStart w:id="472" w:name="_Toc443035871"/>
      <w:r>
        <w:t>Secondary endpoints</w:t>
      </w:r>
      <w:bookmarkEnd w:id="468"/>
      <w:bookmarkEnd w:id="469"/>
      <w:bookmarkEnd w:id="470"/>
      <w:bookmarkEnd w:id="471"/>
      <w:bookmarkEnd w:id="472"/>
    </w:p>
    <w:p w:rsidR="002F41EE" w:rsidRDefault="002234AA">
      <w:pPr>
        <w:pStyle w:val="Heading3"/>
      </w:pPr>
      <w:bookmarkStart w:id="473" w:name="_Toc284316070"/>
      <w:bookmarkStart w:id="474" w:name="_Toc284334965"/>
      <w:bookmarkStart w:id="475" w:name="_Toc284348278"/>
      <w:bookmarkStart w:id="476" w:name="_Toc302136348"/>
      <w:bookmarkStart w:id="477" w:name="_Toc302371104"/>
      <w:bookmarkStart w:id="478" w:name="_Toc382298093"/>
      <w:bookmarkStart w:id="479" w:name="_Ref434268401"/>
      <w:bookmarkStart w:id="480" w:name="_Ref434329517"/>
      <w:bookmarkStart w:id="481" w:name="_Ref434329756"/>
      <w:bookmarkStart w:id="482" w:name="_Ref434329826"/>
      <w:bookmarkStart w:id="483" w:name="_Ref434329842"/>
      <w:bookmarkStart w:id="484" w:name="_Ref434331512"/>
      <w:bookmarkStart w:id="485" w:name="_Ref442280234"/>
      <w:bookmarkStart w:id="486" w:name="_Ref442280326"/>
      <w:bookmarkStart w:id="487" w:name="_Ref442690189"/>
      <w:bookmarkStart w:id="488" w:name="_Ref442690211"/>
      <w:bookmarkStart w:id="489" w:name="_Toc443035872"/>
      <w:bookmarkEnd w:id="473"/>
      <w:bookmarkEnd w:id="474"/>
      <w:bookmarkEnd w:id="475"/>
      <w:bookmarkEnd w:id="476"/>
      <w:bookmarkEnd w:id="477"/>
      <w:r w:rsidRPr="002234AA">
        <w:t>S</w:t>
      </w:r>
      <w:r w:rsidR="002F41EE" w:rsidRPr="002234AA">
        <w:t>econdary efficacy endpoint(s)</w:t>
      </w:r>
      <w:bookmarkEnd w:id="478"/>
      <w:bookmarkEnd w:id="479"/>
      <w:bookmarkEnd w:id="480"/>
      <w:bookmarkEnd w:id="481"/>
      <w:bookmarkEnd w:id="482"/>
      <w:bookmarkEnd w:id="483"/>
      <w:bookmarkEnd w:id="484"/>
      <w:bookmarkEnd w:id="485"/>
      <w:bookmarkEnd w:id="486"/>
      <w:bookmarkEnd w:id="487"/>
      <w:bookmarkEnd w:id="488"/>
      <w:bookmarkEnd w:id="489"/>
    </w:p>
    <w:p w:rsidR="002234AA" w:rsidRDefault="002234AA" w:rsidP="00CC67B4">
      <w:pPr>
        <w:pStyle w:val="ListBulletLevel1"/>
        <w:numPr>
          <w:ilvl w:val="0"/>
          <w:numId w:val="66"/>
        </w:numPr>
      </w:pPr>
      <w:r>
        <w:t>Percentage of patients reaching HbA</w:t>
      </w:r>
      <w:r w:rsidRPr="00950DEA">
        <w:rPr>
          <w:vertAlign w:val="subscript"/>
        </w:rPr>
        <w:t>1c</w:t>
      </w:r>
      <w:r>
        <w:t xml:space="preserve"> &lt;7 % (53 mmol/mol) or ≤6.5% (4</w:t>
      </w:r>
      <w:r w:rsidR="00B86DB7">
        <w:t>8</w:t>
      </w:r>
      <w:r>
        <w:t xml:space="preserve"> mmol/mol) at </w:t>
      </w:r>
      <w:r w:rsidR="0007161F">
        <w:t xml:space="preserve">Week </w:t>
      </w:r>
      <w:r>
        <w:t>26;</w:t>
      </w:r>
    </w:p>
    <w:p w:rsidR="002234AA" w:rsidRDefault="002234AA" w:rsidP="00CC67B4">
      <w:pPr>
        <w:pStyle w:val="ListBulletLevel1"/>
        <w:numPr>
          <w:ilvl w:val="0"/>
          <w:numId w:val="66"/>
        </w:numPr>
      </w:pPr>
      <w:r>
        <w:t xml:space="preserve">Change in FPG from baseline to </w:t>
      </w:r>
      <w:r w:rsidR="0007161F">
        <w:t xml:space="preserve">Week </w:t>
      </w:r>
      <w:r>
        <w:t>26;</w:t>
      </w:r>
    </w:p>
    <w:p w:rsidR="002234AA" w:rsidRDefault="002234AA" w:rsidP="00CC67B4">
      <w:pPr>
        <w:pStyle w:val="ListBulletLevel1"/>
        <w:numPr>
          <w:ilvl w:val="0"/>
          <w:numId w:val="66"/>
        </w:numPr>
      </w:pPr>
      <w:r>
        <w:t xml:space="preserve">Change in 7-point SMPG profiles from baseline to </w:t>
      </w:r>
      <w:r w:rsidR="0007161F">
        <w:t xml:space="preserve">Week </w:t>
      </w:r>
      <w:r>
        <w:t>26 (each time point and average daily value);</w:t>
      </w:r>
    </w:p>
    <w:p w:rsidR="002234AA" w:rsidRDefault="002234AA" w:rsidP="00CC67B4">
      <w:pPr>
        <w:pStyle w:val="ListBulletLevel1"/>
        <w:numPr>
          <w:ilvl w:val="0"/>
          <w:numId w:val="66"/>
        </w:numPr>
      </w:pPr>
      <w:r>
        <w:t xml:space="preserve">Change in 2-hour PPG and in blood glucose excursion during standardized meal test from baseline to </w:t>
      </w:r>
      <w:r w:rsidR="0007161F">
        <w:t xml:space="preserve">Week </w:t>
      </w:r>
      <w:r>
        <w:t>26;</w:t>
      </w:r>
    </w:p>
    <w:p w:rsidR="002234AA" w:rsidRDefault="002234AA" w:rsidP="00CC67B4">
      <w:pPr>
        <w:pStyle w:val="ListBulletLevel1"/>
        <w:numPr>
          <w:ilvl w:val="0"/>
          <w:numId w:val="66"/>
        </w:numPr>
      </w:pPr>
      <w:r>
        <w:t xml:space="preserve">Change in body weight from baseline to </w:t>
      </w:r>
      <w:r w:rsidR="0007161F">
        <w:t xml:space="preserve">Week </w:t>
      </w:r>
      <w:r>
        <w:t>26.</w:t>
      </w:r>
    </w:p>
    <w:p w:rsidR="00F3246F" w:rsidRPr="00F3246F" w:rsidRDefault="00F3246F" w:rsidP="0009034C">
      <w:pPr>
        <w:pStyle w:val="Heading4"/>
      </w:pPr>
      <w:bookmarkStart w:id="490" w:name="_Ref442280590"/>
      <w:bookmarkStart w:id="491" w:name="_Toc443035873"/>
      <w:r w:rsidRPr="00F3246F">
        <w:t>Observation period of efficacy endpoints</w:t>
      </w:r>
      <w:bookmarkEnd w:id="490"/>
      <w:bookmarkEnd w:id="491"/>
    </w:p>
    <w:p w:rsidR="00F3246F" w:rsidRDefault="00F3246F" w:rsidP="00F3246F">
      <w:r>
        <w:t>The on-treatment period for efficacy endpoints (primary and secondary efficacy endpoints) is defined as the time from the first injection of open-label IMP up to 14 days for HbA</w:t>
      </w:r>
      <w:r w:rsidRPr="007847C6">
        <w:rPr>
          <w:vertAlign w:val="subscript"/>
        </w:rPr>
        <w:t>1c</w:t>
      </w:r>
      <w:r>
        <w:t>; 0 day for standardized meal test parameters, 7-point SMPG and insulin glar</w:t>
      </w:r>
      <w:r w:rsidR="00E37F9A">
        <w:t>gine dose; 1 day for FPG; and 3 </w:t>
      </w:r>
      <w:r>
        <w:t>days for body weight after the last injection of IMP or up to introduction of rescue therapy, whichever is the earliest.</w:t>
      </w:r>
    </w:p>
    <w:p w:rsidR="00F3246F" w:rsidRDefault="00F3246F" w:rsidP="00F3246F">
      <w:r>
        <w:t>The baseline value for efficacy endpoints is the last available value prior to the first injection of open-label IMP.</w:t>
      </w:r>
    </w:p>
    <w:p w:rsidR="0009034C" w:rsidRDefault="0009034C" w:rsidP="0009034C">
      <w:pPr>
        <w:pStyle w:val="Heading4"/>
      </w:pPr>
      <w:bookmarkStart w:id="492" w:name="_Ref434331482"/>
      <w:bookmarkStart w:id="493" w:name="_Toc443035874"/>
      <w:r w:rsidRPr="00AE2677">
        <w:t>Efficacy Assessment Methods</w:t>
      </w:r>
      <w:bookmarkEnd w:id="492"/>
      <w:bookmarkEnd w:id="493"/>
    </w:p>
    <w:p w:rsidR="0009034C" w:rsidRDefault="0009034C" w:rsidP="0009034C">
      <w:pPr>
        <w:pStyle w:val="Heading5"/>
      </w:pPr>
      <w:r>
        <w:t>HbA</w:t>
      </w:r>
      <w:r w:rsidRPr="007847C6">
        <w:rPr>
          <w:vertAlign w:val="subscript"/>
        </w:rPr>
        <w:t>1c</w:t>
      </w:r>
      <w:r>
        <w:t xml:space="preserve"> measurement</w:t>
      </w:r>
    </w:p>
    <w:p w:rsidR="0009034C" w:rsidRDefault="0009034C" w:rsidP="0009034C">
      <w:r w:rsidRPr="00AE2677">
        <w:t>For the eligibility and efficacy assessments of the study, HbA</w:t>
      </w:r>
      <w:r w:rsidRPr="007847C6">
        <w:rPr>
          <w:vertAlign w:val="subscript"/>
        </w:rPr>
        <w:t>1c</w:t>
      </w:r>
      <w:r w:rsidRPr="00AE2677">
        <w:t xml:space="preserve"> is measured by a certified level I “National Glycohemoglobin Standardization Program” (NGSP) central laboratory.</w:t>
      </w:r>
    </w:p>
    <w:p w:rsidR="0009034C" w:rsidRDefault="0009034C" w:rsidP="0009034C">
      <w:pPr>
        <w:pStyle w:val="Heading5"/>
      </w:pPr>
      <w:bookmarkStart w:id="494" w:name="_Ref434179901"/>
      <w:r>
        <w:lastRenderedPageBreak/>
        <w:t>Standardized meal test</w:t>
      </w:r>
      <w:bookmarkEnd w:id="494"/>
    </w:p>
    <w:p w:rsidR="0009034C" w:rsidRDefault="0009034C" w:rsidP="0009034C">
      <w:r>
        <w:t>Patients will undergo a standardized meal challenge to assess fasting and postprandial glucose (central laboratory), as well as plasma glucose excursion at V2 (Week -1) and V28 (Week 26).</w:t>
      </w:r>
    </w:p>
    <w:p w:rsidR="0009034C" w:rsidRDefault="0009034C" w:rsidP="0009034C">
      <w:r>
        <w:t>The standardized meal contains approximately 600 kcal and is composed of 50 to 55% carbohydrate, 15 to 20% protein and 25 to 30% fat. The composition and the quantity of the standardized meal must be identical throughout the study.</w:t>
      </w:r>
    </w:p>
    <w:p w:rsidR="0009034C" w:rsidRDefault="0009034C" w:rsidP="0009034C">
      <w:r>
        <w:t>If the patient needs to receive a rescue antidiabetic medication, the standardized meal test should be performed before the introduction of the rescue medication and will not be performed at the final on-treatment visit.</w:t>
      </w:r>
    </w:p>
    <w:p w:rsidR="0009034C" w:rsidRDefault="0009034C" w:rsidP="0009034C">
      <w:r>
        <w:t xml:space="preserve">In case of permanent discontinuation of IMP, the standardized meal test should be performed only if the patient receives IMP on the day of the visit. </w:t>
      </w:r>
    </w:p>
    <w:p w:rsidR="0009034C" w:rsidRDefault="0009034C" w:rsidP="0009034C">
      <w:r>
        <w:t xml:space="preserve">On the day of the standardized meal test, the patients will come to the investigational site in the morning, in fasting conditions for at least 8 hours (no food or drink during this time except water), before the scheduled standardized meal test. At V28 (Week 26) injection of </w:t>
      </w:r>
      <w:r w:rsidRPr="006644EE">
        <w:t>FRC</w:t>
      </w:r>
      <w:r>
        <w:t xml:space="preserve"> or Victoza® or Byetta® (patients injecting these treatments in the morning) should be done at the investigational site 30 minutes before the start of the standardized meal. </w:t>
      </w:r>
      <w:r w:rsidRPr="006644EE">
        <w:t>Patients taking Bydureon®, Tanzeum®/Eperzan®, or Trulicity® should inject their medication as per their usual weekly schedule.</w:t>
      </w:r>
    </w:p>
    <w:p w:rsidR="0009034C" w:rsidRDefault="0009034C" w:rsidP="0009034C">
      <w:r w:rsidRPr="00F21B0A">
        <w:t>Standardized meal test will not be performed at V2 (</w:t>
      </w:r>
      <w:r>
        <w:t xml:space="preserve">Week </w:t>
      </w:r>
      <w:r w:rsidRPr="00F21B0A">
        <w:t>-1) for patients taking Liraglutide at other meals than breakfast, and at V28 (</w:t>
      </w:r>
      <w:r>
        <w:t xml:space="preserve">Week </w:t>
      </w:r>
      <w:r w:rsidRPr="00F21B0A">
        <w:t>26) for patients in the control arm who continue to take Liraglutide at other meals than breakfast.</w:t>
      </w:r>
    </w:p>
    <w:p w:rsidR="0009034C" w:rsidRDefault="0009034C" w:rsidP="0009034C">
      <w:r>
        <w:t>The standardized meal for all patients should be consumed within a 15-minute period.</w:t>
      </w:r>
    </w:p>
    <w:p w:rsidR="0009034C" w:rsidRDefault="0009034C" w:rsidP="0009034C">
      <w:r>
        <w:t>Blood for plasma glucose and C–peptide is drawn 5 times:</w:t>
      </w:r>
    </w:p>
    <w:p w:rsidR="0009034C" w:rsidRDefault="0009034C" w:rsidP="00CC67B4">
      <w:pPr>
        <w:pStyle w:val="ListBulletLevel1"/>
        <w:numPr>
          <w:ilvl w:val="0"/>
          <w:numId w:val="82"/>
        </w:numPr>
      </w:pPr>
      <w:r>
        <w:t>30 minutes prior to the start of the meal and before IMP administration if done before breakfast;</w:t>
      </w:r>
    </w:p>
    <w:p w:rsidR="0009034C" w:rsidRDefault="0009034C" w:rsidP="00CC67B4">
      <w:pPr>
        <w:pStyle w:val="ListBulletLevel1"/>
        <w:numPr>
          <w:ilvl w:val="0"/>
          <w:numId w:val="82"/>
        </w:numPr>
      </w:pPr>
      <w:r>
        <w:t>Just before the start of the standardized meal (0 minute);</w:t>
      </w:r>
    </w:p>
    <w:p w:rsidR="0009034C" w:rsidRDefault="0009034C" w:rsidP="00CC67B4">
      <w:pPr>
        <w:pStyle w:val="ListBulletLevel1"/>
        <w:numPr>
          <w:ilvl w:val="0"/>
          <w:numId w:val="82"/>
        </w:numPr>
      </w:pPr>
      <w:r>
        <w:t>30 minutes after the start of the standardized meal;</w:t>
      </w:r>
    </w:p>
    <w:p w:rsidR="0009034C" w:rsidRDefault="0009034C" w:rsidP="00CC67B4">
      <w:pPr>
        <w:pStyle w:val="ListBulletLevel1"/>
        <w:numPr>
          <w:ilvl w:val="0"/>
          <w:numId w:val="82"/>
        </w:numPr>
      </w:pPr>
      <w:r>
        <w:t>60 minutes after the start of the standardized meal;</w:t>
      </w:r>
    </w:p>
    <w:p w:rsidR="0009034C" w:rsidRDefault="0009034C" w:rsidP="00CC67B4">
      <w:pPr>
        <w:pStyle w:val="ListBulletLevel1"/>
        <w:numPr>
          <w:ilvl w:val="0"/>
          <w:numId w:val="82"/>
        </w:numPr>
      </w:pPr>
      <w:r>
        <w:t>120 minutes after the start of the standardized meal.</w:t>
      </w:r>
    </w:p>
    <w:p w:rsidR="0009034C" w:rsidRDefault="0009034C" w:rsidP="0009034C">
      <w:r>
        <w:t>The exact times of the IMP injection and the standardized meal intake and the blood draws are to be documented.</w:t>
      </w:r>
    </w:p>
    <w:p w:rsidR="0009034C" w:rsidRDefault="0009034C" w:rsidP="0009034C">
      <w:pPr>
        <w:pStyle w:val="Heading5"/>
      </w:pPr>
      <w:bookmarkStart w:id="495" w:name="_Ref433977934"/>
      <w:r w:rsidRPr="006E1706">
        <w:lastRenderedPageBreak/>
        <w:t>Self-monitored pl</w:t>
      </w:r>
      <w:r>
        <w:t>asma glucose profiles (SMP</w:t>
      </w:r>
      <w:r w:rsidRPr="006E1706">
        <w:t>G) and glucometer</w:t>
      </w:r>
      <w:bookmarkEnd w:id="495"/>
    </w:p>
    <w:p w:rsidR="0009034C" w:rsidRDefault="0009034C" w:rsidP="0009034C">
      <w:pPr>
        <w:pStyle w:val="Heading6"/>
      </w:pPr>
      <w:r w:rsidRPr="006E1706">
        <w:t>Self-monitored plasma glucose profiles (SMPG)</w:t>
      </w:r>
    </w:p>
    <w:p w:rsidR="0009034C" w:rsidRDefault="0009034C" w:rsidP="0009034C">
      <w:r>
        <w:t>SMPG measurements are included the followings and applies for all treatment groups:</w:t>
      </w:r>
    </w:p>
    <w:p w:rsidR="0009034C" w:rsidRPr="006E1706" w:rsidRDefault="0009034C" w:rsidP="0009034C">
      <w:pPr>
        <w:rPr>
          <w:b/>
        </w:rPr>
      </w:pPr>
      <w:r w:rsidRPr="006E1706">
        <w:rPr>
          <w:b/>
        </w:rPr>
        <w:t>Fasting SMPG</w:t>
      </w:r>
    </w:p>
    <w:p w:rsidR="0009034C" w:rsidRDefault="0009034C" w:rsidP="0009034C">
      <w:r>
        <w:t xml:space="preserve">Fasting SMPG will be used by the Investigator and patients if appropriate to titrate and adjust the </w:t>
      </w:r>
      <w:r w:rsidRPr="006644EE">
        <w:t>FRC</w:t>
      </w:r>
      <w:r>
        <w:t xml:space="preserve"> dose and to monitor glycemic control </w:t>
      </w:r>
      <w:r w:rsidRPr="006644EE">
        <w:t>in all groups</w:t>
      </w:r>
      <w:r>
        <w:t xml:space="preserve">. </w:t>
      </w:r>
      <w:r w:rsidRPr="006644EE">
        <w:t>For all patients (FRC arms and GLP-1 RA control arm),</w:t>
      </w:r>
      <w:r>
        <w:t xml:space="preserve"> the fasting SMPG should be measured by the patient before taking breakfast and administering the glucose-lowering agents:</w:t>
      </w:r>
    </w:p>
    <w:p w:rsidR="0009034C" w:rsidRDefault="0009034C" w:rsidP="00CC67B4">
      <w:pPr>
        <w:pStyle w:val="ListBulletLevel1"/>
        <w:numPr>
          <w:ilvl w:val="0"/>
          <w:numId w:val="83"/>
        </w:numPr>
      </w:pPr>
      <w:r>
        <w:t>once a day from randomization/IMP allocation V3 (Week 0) until V19 (Week 8) inclusive;</w:t>
      </w:r>
    </w:p>
    <w:p w:rsidR="0009034C" w:rsidRDefault="0009034C" w:rsidP="00CC67B4">
      <w:pPr>
        <w:pStyle w:val="ListBulletLevel1"/>
        <w:numPr>
          <w:ilvl w:val="0"/>
          <w:numId w:val="83"/>
        </w:numPr>
      </w:pPr>
      <w:r w:rsidRPr="006644EE">
        <w:t>at least</w:t>
      </w:r>
      <w:r>
        <w:t xml:space="preserve"> three times per week from V19 (Week 8) until the end of the study treatment V28 (Week 26) inclusive, and </w:t>
      </w:r>
    </w:p>
    <w:p w:rsidR="0009034C" w:rsidRDefault="0009034C" w:rsidP="00CC67B4">
      <w:pPr>
        <w:pStyle w:val="ListBulletLevel1"/>
        <w:numPr>
          <w:ilvl w:val="0"/>
          <w:numId w:val="83"/>
        </w:numPr>
      </w:pPr>
      <w:r>
        <w:t xml:space="preserve">whenever the patient experiences hypoglycemia signs or symptoms. </w:t>
      </w:r>
    </w:p>
    <w:p w:rsidR="0009034C" w:rsidRPr="006644EE" w:rsidRDefault="0009034C" w:rsidP="0009034C">
      <w:r w:rsidRPr="006644EE">
        <w:t xml:space="preserve">Fasting SMPG values should be recorded in the patient diary. </w:t>
      </w:r>
    </w:p>
    <w:p w:rsidR="0009034C" w:rsidRPr="006644EE" w:rsidRDefault="0009034C" w:rsidP="0009034C">
      <w:r w:rsidRPr="006644EE">
        <w:t>The following daily fasting SMPG values in the FRC group will be entered in the e-CRF:</w:t>
      </w:r>
    </w:p>
    <w:p w:rsidR="0009034C" w:rsidRPr="006644EE" w:rsidRDefault="0009034C" w:rsidP="00CC67B4">
      <w:pPr>
        <w:pStyle w:val="ListBulletLevel1"/>
        <w:numPr>
          <w:ilvl w:val="0"/>
          <w:numId w:val="172"/>
        </w:numPr>
      </w:pPr>
      <w:r w:rsidRPr="006644EE">
        <w:t>For the first 8 weeks of the treatment period (from V3 until V19 inclusive): all available fasting SMPG values;</w:t>
      </w:r>
    </w:p>
    <w:p w:rsidR="0009034C" w:rsidRPr="006644EE" w:rsidRDefault="0009034C" w:rsidP="00CC67B4">
      <w:pPr>
        <w:pStyle w:val="ListBulletLevel1"/>
        <w:numPr>
          <w:ilvl w:val="0"/>
          <w:numId w:val="172"/>
        </w:numPr>
      </w:pPr>
      <w:r w:rsidRPr="006644EE">
        <w:t>After the first 8 weeks until the end of the treatment period: at least the last 3 available fasting SMPG values from the week prior to each site or phone visit; these may include the fasting SMPG value on the day of titration</w:t>
      </w:r>
    </w:p>
    <w:p w:rsidR="0009034C" w:rsidRPr="006644EE" w:rsidRDefault="0009034C" w:rsidP="0009034C">
      <w:pPr>
        <w:pStyle w:val="ListBulletLevel1"/>
        <w:numPr>
          <w:ilvl w:val="0"/>
          <w:numId w:val="0"/>
        </w:numPr>
      </w:pPr>
      <w:r w:rsidRPr="006644EE">
        <w:t>The following daily fasting SMPG values in the GLP-1 RA control</w:t>
      </w:r>
      <w:r>
        <w:t xml:space="preserve"> arm will be entered into the e</w:t>
      </w:r>
      <w:r>
        <w:noBreakHyphen/>
      </w:r>
      <w:r w:rsidRPr="006644EE">
        <w:t>CRF:</w:t>
      </w:r>
    </w:p>
    <w:p w:rsidR="0009034C" w:rsidRPr="006644EE" w:rsidRDefault="0009034C" w:rsidP="0009034C">
      <w:pPr>
        <w:pStyle w:val="ListBulletLevel1"/>
      </w:pPr>
      <w:r w:rsidRPr="006644EE">
        <w:t>For the first week of the treatment period (from V3 until V5 inclusive): all available fasting SMPG values;</w:t>
      </w:r>
    </w:p>
    <w:p w:rsidR="0009034C" w:rsidRPr="006644EE" w:rsidRDefault="0009034C" w:rsidP="00CC67B4">
      <w:pPr>
        <w:pStyle w:val="ListBulletLevel1"/>
        <w:numPr>
          <w:ilvl w:val="0"/>
          <w:numId w:val="175"/>
        </w:numPr>
      </w:pPr>
      <w:r w:rsidRPr="006644EE">
        <w:t>After the first week until the end of the treatment period: at least the last 3 available fasting SMPG values from the week prior to each on site visit (V11, V19, V21, V24, V26, V28); these may include the fasting SMPG value on the day of titration</w:t>
      </w:r>
      <w:r>
        <w:t>.</w:t>
      </w:r>
    </w:p>
    <w:p w:rsidR="0009034C" w:rsidRPr="006E1706" w:rsidRDefault="0009034C" w:rsidP="0009034C">
      <w:pPr>
        <w:rPr>
          <w:b/>
        </w:rPr>
      </w:pPr>
      <w:r w:rsidRPr="006E1706">
        <w:rPr>
          <w:b/>
        </w:rPr>
        <w:t>7-point SMPG Profile</w:t>
      </w:r>
    </w:p>
    <w:p w:rsidR="0009034C" w:rsidRDefault="0009034C" w:rsidP="0009034C">
      <w:r>
        <w:t>The 7-point SMPG profile should be measured at the following 7 points: pre-prandial and 2 hours postprandial for breakfast, lunch, dinner and at bedtime. Two hours postprandial (breakfast, lunch and dinner) is defined as 2 hours after the start of the meal.</w:t>
      </w:r>
    </w:p>
    <w:p w:rsidR="0009034C" w:rsidRDefault="0009034C" w:rsidP="0009034C">
      <w:r>
        <w:t>The patients are requested to perform 7-point SMPG profile measurement over a single 24-hour period on 2 different days in the week before V3 (Week 0), V21 (Week 12), and V28 (Week 26) - end of treatment assessment visit. The SMPG values measured for each 7-point SMPG profile will be recorded in the patient diary and transferred into the e-CRF.</w:t>
      </w:r>
    </w:p>
    <w:p w:rsidR="0009034C" w:rsidRDefault="0009034C" w:rsidP="0009034C">
      <w:r>
        <w:lastRenderedPageBreak/>
        <w:t>On the 7-point profile days, information on times of meals and bedtime, injection time and doses of IMP should be recorded in the patient’s diary and entered in the e-CRF.</w:t>
      </w:r>
    </w:p>
    <w:p w:rsidR="0009034C" w:rsidRPr="006E1706" w:rsidRDefault="0009034C" w:rsidP="0009034C">
      <w:pPr>
        <w:rPr>
          <w:b/>
        </w:rPr>
      </w:pPr>
      <w:r w:rsidRPr="006E1706">
        <w:rPr>
          <w:b/>
        </w:rPr>
        <w:t>SMPG during episodes of symptomatic hypoglycemia</w:t>
      </w:r>
    </w:p>
    <w:p w:rsidR="0009034C" w:rsidRDefault="0009034C" w:rsidP="0009034C">
      <w:r>
        <w:t>Whenever the patient feels hypoglycemic symptoms, plasma glucose should be measured by the patient (or others, if applicable), if possible. Patients should be instructed to measure plasma glucose levels prior to the administration of glucose or carbohydrate intake whenever symptomatic hypoglycemia is suspected (</w:t>
      </w:r>
      <w:hyperlink w:anchor="_Ref434493038" w:history="1">
        <w:r w:rsidR="00C522CD" w:rsidRPr="00C522CD">
          <w:rPr>
            <w:rStyle w:val="Hyperlink"/>
            <w:u w:val="none"/>
          </w:rPr>
          <w:t>Section</w:t>
        </w:r>
      </w:hyperlink>
      <w:r w:rsidR="00C522CD">
        <w:t xml:space="preserve"> </w:t>
      </w:r>
      <w:r w:rsidR="00C522CD">
        <w:fldChar w:fldCharType="begin"/>
      </w:r>
      <w:r w:rsidR="00C522CD">
        <w:instrText xml:space="preserve"> REF _Ref434493038 \r \h </w:instrText>
      </w:r>
      <w:r w:rsidR="00C522CD">
        <w:fldChar w:fldCharType="separate"/>
      </w:r>
      <w:r w:rsidR="005A26F6">
        <w:t>10.6.1</w:t>
      </w:r>
      <w:r w:rsidR="00C522CD">
        <w:fldChar w:fldCharType="end"/>
      </w:r>
      <w:r>
        <w:t>), unless safety considerations necessitate immediate glucose/carbohydrate rescue prior to confirmation.</w:t>
      </w:r>
    </w:p>
    <w:p w:rsidR="0009034C" w:rsidRDefault="0009034C" w:rsidP="0009034C">
      <w:r>
        <w:t>The SMPG values are to be entered in the patient’s diary and entered in the e-CRF.</w:t>
      </w:r>
    </w:p>
    <w:p w:rsidR="0009034C" w:rsidRPr="006E1706" w:rsidRDefault="0009034C" w:rsidP="0009034C">
      <w:pPr>
        <w:rPr>
          <w:b/>
        </w:rPr>
      </w:pPr>
      <w:r w:rsidRPr="006E1706">
        <w:rPr>
          <w:b/>
        </w:rPr>
        <w:t>Further SMPG</w:t>
      </w:r>
    </w:p>
    <w:p w:rsidR="0009034C" w:rsidRDefault="0009034C" w:rsidP="0009034C">
      <w:r>
        <w:t>The Investigator may decide to request more frequent self-monitoring of plasma glucose if he/she considers necessary for the patient. The SMPG values are to be entered in the patient’s diary.</w:t>
      </w:r>
    </w:p>
    <w:p w:rsidR="0009034C" w:rsidRDefault="0009034C" w:rsidP="00492F70">
      <w:pPr>
        <w:pStyle w:val="Heading6"/>
      </w:pPr>
      <w:bookmarkStart w:id="496" w:name="_Ref442278346"/>
      <w:r w:rsidRPr="006E1706">
        <w:t>Glucometer, patient diaries and training</w:t>
      </w:r>
      <w:bookmarkEnd w:id="496"/>
    </w:p>
    <w:p w:rsidR="0009034C" w:rsidRDefault="0009034C" w:rsidP="0009034C">
      <w:r>
        <w:t>All patients are supplied with a glucometer, the corresponding supplies (lancets, test strips, etc), an instruction leaflet, and with diaries at visit V2 (Week -1) in order to perform self-measurement of plasma glucose and its recording. The patients will be instructed to bring their glucometers and patient diaries with them to each site visit.</w:t>
      </w:r>
    </w:p>
    <w:p w:rsidR="0009034C" w:rsidRDefault="0009034C" w:rsidP="0009034C">
      <w:r>
        <w:t>The glucometers should be calibrated according to instructions given in the package leaflet, and the study site should also check the glucose meters regularly using the provided control solutions for data validity.</w:t>
      </w:r>
    </w:p>
    <w:p w:rsidR="0009034C" w:rsidRDefault="0009034C" w:rsidP="0009034C">
      <w:r>
        <w:t>At visit V2 (Week -1) patients are trained to accurately measure plasma glucose values with the glucometer and to correctly record the values and other requested information in the patient’s diaries. It is the Investigator’s responsibility to explain the need to measure glucose at the times requested and to correctly record all SMPG values in the patient’s diaries to patients. Training is repeated as often as necessary at the study visits.</w:t>
      </w:r>
    </w:p>
    <w:p w:rsidR="0009034C" w:rsidRDefault="0009034C" w:rsidP="0009034C">
      <w:r>
        <w:t>Instruction on how to complete the patient diary on a daily basis will be done by site staff. At each on site visit:</w:t>
      </w:r>
    </w:p>
    <w:p w:rsidR="0009034C" w:rsidRDefault="0009034C" w:rsidP="00CC67B4">
      <w:pPr>
        <w:pStyle w:val="ListBulletLevel1"/>
        <w:numPr>
          <w:ilvl w:val="0"/>
          <w:numId w:val="84"/>
        </w:numPr>
      </w:pPr>
      <w:r>
        <w:t>The study site staff reviews the patient’s diary;</w:t>
      </w:r>
    </w:p>
    <w:p w:rsidR="0009034C" w:rsidRDefault="0009034C" w:rsidP="00CC67B4">
      <w:pPr>
        <w:pStyle w:val="ListBulletLevel1"/>
        <w:numPr>
          <w:ilvl w:val="0"/>
          <w:numId w:val="84"/>
        </w:numPr>
      </w:pPr>
      <w:r>
        <w:t>SMPG values stored in the glucose meter memory will be downloaded, printed out, dated, signed and filed into the patient file. This information will help the Investigator to assess treatment effects, adjust insulin doses and compliance.</w:t>
      </w:r>
    </w:p>
    <w:p w:rsidR="0009034C" w:rsidRDefault="0009034C" w:rsidP="0009034C">
      <w:r>
        <w:t xml:space="preserve">Note: The SMPG values recorded into the diary, which have to be entered in the e-CRF, have to be checked for consistency with the information downloaded from the glucose meter. In case of inconsistency, the reason for inconsistency has to be documented. If needed, the resulting action (eg, training of the patient on correct documentation of the values) is also to be documented. The </w:t>
      </w:r>
      <w:r>
        <w:lastRenderedPageBreak/>
        <w:t>confirmed values will be entered into e-CRF by the Investigator or designee based on the glucometer output values.</w:t>
      </w:r>
    </w:p>
    <w:p w:rsidR="0009034C" w:rsidRDefault="0009034C" w:rsidP="0009034C">
      <w:r>
        <w:t>The patient diary includes but is not limited to the following information:</w:t>
      </w:r>
    </w:p>
    <w:p w:rsidR="0009034C" w:rsidRDefault="0009034C" w:rsidP="00CC67B4">
      <w:pPr>
        <w:pStyle w:val="ListBulletLevel1"/>
        <w:numPr>
          <w:ilvl w:val="0"/>
          <w:numId w:val="85"/>
        </w:numPr>
      </w:pPr>
      <w:r>
        <w:t xml:space="preserve">Time and dose of IMP (insulin glargine/lixisenatide combination or Victoza®, or Byetta® </w:t>
      </w:r>
      <w:r w:rsidRPr="006644EE">
        <w:t>or Bydureon®, or Tanzeum®/Eperzan®, or Trulicity®</w:t>
      </w:r>
      <w:r w:rsidR="00AE5CAC">
        <w:t>)</w:t>
      </w:r>
      <w:r>
        <w:t xml:space="preserve"> injections;</w:t>
      </w:r>
    </w:p>
    <w:p w:rsidR="0009034C" w:rsidRDefault="0009034C" w:rsidP="00CC67B4">
      <w:pPr>
        <w:pStyle w:val="ListBulletLevel1"/>
        <w:numPr>
          <w:ilvl w:val="0"/>
          <w:numId w:val="85"/>
        </w:numPr>
      </w:pPr>
      <w:r>
        <w:t>Days of no IMP use (including date of starting and ending);</w:t>
      </w:r>
    </w:p>
    <w:p w:rsidR="0009034C" w:rsidRDefault="0009034C" w:rsidP="00CC67B4">
      <w:pPr>
        <w:pStyle w:val="ListBulletLevel1"/>
        <w:numPr>
          <w:ilvl w:val="0"/>
          <w:numId w:val="85"/>
        </w:numPr>
      </w:pPr>
      <w:r>
        <w:t>Time and value of fasting SMPG measurements;</w:t>
      </w:r>
    </w:p>
    <w:p w:rsidR="0009034C" w:rsidRDefault="0009034C" w:rsidP="00CC67B4">
      <w:pPr>
        <w:pStyle w:val="ListBulletLevel1"/>
        <w:numPr>
          <w:ilvl w:val="0"/>
          <w:numId w:val="85"/>
        </w:numPr>
      </w:pPr>
      <w:r>
        <w:t>Time of start of meals and SMPG measurements as well as plasma glucose values the days of the 7-point profile;</w:t>
      </w:r>
    </w:p>
    <w:p w:rsidR="0009034C" w:rsidRDefault="0009034C" w:rsidP="00CC67B4">
      <w:pPr>
        <w:pStyle w:val="ListBulletLevel1"/>
        <w:numPr>
          <w:ilvl w:val="0"/>
          <w:numId w:val="85"/>
        </w:numPr>
      </w:pPr>
      <w:r>
        <w:t>Potential changes in metformin or pioglitazone treatment;</w:t>
      </w:r>
    </w:p>
    <w:p w:rsidR="0009034C" w:rsidRDefault="0009034C" w:rsidP="00CC67B4">
      <w:pPr>
        <w:pStyle w:val="ListBulletLevel1"/>
        <w:numPr>
          <w:ilvl w:val="0"/>
          <w:numId w:val="85"/>
        </w:numPr>
      </w:pPr>
      <w:r>
        <w:t>Adverse events, including signs and symptoms suggesting occurrence of hypoglycemia and local injection site reactions, if any;</w:t>
      </w:r>
    </w:p>
    <w:p w:rsidR="0009034C" w:rsidRPr="006E1706" w:rsidRDefault="0009034C" w:rsidP="00CC67B4">
      <w:pPr>
        <w:pStyle w:val="ListBulletLevel1"/>
        <w:numPr>
          <w:ilvl w:val="0"/>
          <w:numId w:val="85"/>
        </w:numPr>
      </w:pPr>
      <w:r>
        <w:t>Any problems with an injection pen.</w:t>
      </w:r>
    </w:p>
    <w:p w:rsidR="0009034C" w:rsidRDefault="0009034C" w:rsidP="00492F70">
      <w:pPr>
        <w:pStyle w:val="Heading5"/>
      </w:pPr>
      <w:r>
        <w:t>Body weight</w:t>
      </w:r>
    </w:p>
    <w:p w:rsidR="0009034C" w:rsidRDefault="0009034C" w:rsidP="0009034C">
      <w:r>
        <w:t>Body weight should be obtained with the patient wearing undergarments or very light clothing and no shoes, and with an empty bladder. The same scale should be used throughout the study, and calibrated on a regular basis as recommended by the manufacturer.</w:t>
      </w:r>
    </w:p>
    <w:p w:rsidR="0009034C" w:rsidRDefault="0009034C" w:rsidP="0009034C">
      <w:r>
        <w:t>The use of balance scales is recommended; if digital scales are used, testing with standard weights is of particular importance. The floor surface on which the scale rests must be hard and should not be carpeted or covered with other soft material. The scale should be balanced with both weights at zero and the balance bar aligned. The patient should stand in the center of the platform as standing off-center may affect measurement. The weights are moved until the beam balances (the arrows are aligned). The weight is read and recorded in the e-CRF and Source Data. Self-reported weights are not acceptable; patients must not read the scales themselves.</w:t>
      </w:r>
    </w:p>
    <w:p w:rsidR="0009034C" w:rsidRDefault="0009034C" w:rsidP="00492F70">
      <w:pPr>
        <w:pStyle w:val="Heading5"/>
      </w:pPr>
      <w:bookmarkStart w:id="497" w:name="_Ref440281697"/>
      <w:r>
        <w:t>Dose of IMP</w:t>
      </w:r>
      <w:bookmarkEnd w:id="497"/>
    </w:p>
    <w:p w:rsidR="0009034C" w:rsidRDefault="0009034C" w:rsidP="0009034C">
      <w:r>
        <w:t>The patients document daily</w:t>
      </w:r>
      <w:r w:rsidRPr="006644EE">
        <w:t>/weekly</w:t>
      </w:r>
      <w:r>
        <w:t xml:space="preserve"> their IMP dose(s) or any missed IMP injection(s) in the patient diary.</w:t>
      </w:r>
    </w:p>
    <w:p w:rsidR="0009034C" w:rsidRDefault="0009034C" w:rsidP="0009034C">
      <w:r>
        <w:t>The following values will be entered in the e-CRF:</w:t>
      </w:r>
    </w:p>
    <w:p w:rsidR="0009034C" w:rsidRPr="00B77084" w:rsidRDefault="0009034C" w:rsidP="00CC67B4">
      <w:pPr>
        <w:pStyle w:val="ListBulletLevel1"/>
        <w:numPr>
          <w:ilvl w:val="0"/>
          <w:numId w:val="86"/>
        </w:numPr>
      </w:pPr>
      <w:r>
        <w:t>GLP-1 RA (Victoza®, Byetta®,</w:t>
      </w:r>
      <w:r w:rsidRPr="00B77084">
        <w:t xml:space="preserve"> Bydureon®, Tanzeum®/Epezan®, or Trulicity®): </w:t>
      </w:r>
    </w:p>
    <w:p w:rsidR="0009034C" w:rsidRPr="00B77084" w:rsidRDefault="0009034C" w:rsidP="00CC67B4">
      <w:pPr>
        <w:pStyle w:val="ListBulletLevel2"/>
        <w:numPr>
          <w:ilvl w:val="0"/>
          <w:numId w:val="176"/>
        </w:numPr>
      </w:pPr>
      <w:r w:rsidRPr="00B77084">
        <w:t>During the screening period and at randomization (V3): daily/weekly dose(s);</w:t>
      </w:r>
    </w:p>
    <w:p w:rsidR="0009034C" w:rsidRPr="00B77084" w:rsidRDefault="0009034C" w:rsidP="00CC67B4">
      <w:pPr>
        <w:pStyle w:val="ListBulletLevel2"/>
        <w:numPr>
          <w:ilvl w:val="0"/>
          <w:numId w:val="176"/>
        </w:numPr>
      </w:pPr>
      <w:r w:rsidRPr="00B77084">
        <w:t>Throughout the treatment period (after V3 until V28): Any dose change(s)</w:t>
      </w:r>
      <w:r w:rsidR="00492F70">
        <w:t>.</w:t>
      </w:r>
    </w:p>
    <w:p w:rsidR="0009034C" w:rsidRPr="00B77084" w:rsidRDefault="0009034C" w:rsidP="00CC67B4">
      <w:pPr>
        <w:pStyle w:val="ListBulletLevel1"/>
        <w:numPr>
          <w:ilvl w:val="0"/>
          <w:numId w:val="86"/>
        </w:numPr>
      </w:pPr>
      <w:r w:rsidRPr="00B77084">
        <w:t>FRC:</w:t>
      </w:r>
    </w:p>
    <w:p w:rsidR="0009034C" w:rsidRPr="00B77084" w:rsidRDefault="0009034C" w:rsidP="00CC67B4">
      <w:pPr>
        <w:pStyle w:val="ListBulletLevel2"/>
        <w:numPr>
          <w:ilvl w:val="0"/>
          <w:numId w:val="173"/>
        </w:numPr>
      </w:pPr>
      <w:r w:rsidRPr="00B77084">
        <w:t>Daily dose and confirmation (Yes/No) of injection 0-60 minutes before breakfast on the day prior to each on site or phone visit (if “No”, time of injection to be recorded);</w:t>
      </w:r>
    </w:p>
    <w:p w:rsidR="0009034C" w:rsidRPr="00B77084" w:rsidRDefault="0009034C" w:rsidP="00CC67B4">
      <w:pPr>
        <w:pStyle w:val="ListBulletLevel2"/>
        <w:numPr>
          <w:ilvl w:val="0"/>
          <w:numId w:val="173"/>
        </w:numPr>
      </w:pPr>
      <w:r w:rsidRPr="00B77084">
        <w:lastRenderedPageBreak/>
        <w:t>Dose and time of injection for any occurrence of hypoglycemia or allergic reaction;</w:t>
      </w:r>
    </w:p>
    <w:p w:rsidR="0009034C" w:rsidRPr="00B77084" w:rsidRDefault="0009034C" w:rsidP="00CC67B4">
      <w:pPr>
        <w:pStyle w:val="ListBulletLevel2"/>
        <w:numPr>
          <w:ilvl w:val="0"/>
          <w:numId w:val="173"/>
        </w:numPr>
      </w:pPr>
      <w:r w:rsidRPr="00B77084">
        <w:t>Daily dose and time of injection used on the 7-point SMPG days, meal test days, and days of first and last injection of IMP</w:t>
      </w:r>
      <w:r w:rsidR="00492F70">
        <w:t>.</w:t>
      </w:r>
    </w:p>
    <w:p w:rsidR="0009034C" w:rsidRDefault="0009034C" w:rsidP="00CC67B4">
      <w:pPr>
        <w:pStyle w:val="ListBulletLevel1"/>
        <w:numPr>
          <w:ilvl w:val="0"/>
          <w:numId w:val="174"/>
        </w:numPr>
      </w:pPr>
      <w:r>
        <w:t xml:space="preserve">Missed IMP injections </w:t>
      </w:r>
      <w:r w:rsidRPr="00B77084">
        <w:t>and overdose (if applicable)</w:t>
      </w:r>
      <w:r w:rsidR="00492F70">
        <w:t>;</w:t>
      </w:r>
    </w:p>
    <w:p w:rsidR="0009034C" w:rsidRDefault="0009034C" w:rsidP="00CC67B4">
      <w:pPr>
        <w:pStyle w:val="ListBulletLevel1"/>
        <w:numPr>
          <w:ilvl w:val="0"/>
          <w:numId w:val="177"/>
        </w:numPr>
      </w:pPr>
      <w:r w:rsidRPr="006644EE">
        <w:t>In case of any change in doses administered or hypoglycemia (if appropriate), the dose and injection time should be entered in the e-CRF</w:t>
      </w:r>
      <w:r w:rsidRPr="00031558">
        <w:t>.</w:t>
      </w:r>
    </w:p>
    <w:p w:rsidR="0009034C" w:rsidRDefault="0009034C" w:rsidP="0009034C">
      <w:r>
        <w:t>In case of premature permanent discontinuation or rescue therapy, data on the last 3 measurements in the week before the time of discontinuation or rescue therapy should be entered in the e-CRF.</w:t>
      </w:r>
    </w:p>
    <w:p w:rsidR="0009034C" w:rsidRDefault="0009034C" w:rsidP="00492F70">
      <w:pPr>
        <w:pStyle w:val="Heading5"/>
      </w:pPr>
      <w:r>
        <w:t>Fasting plasma glucose</w:t>
      </w:r>
    </w:p>
    <w:p w:rsidR="0009034C" w:rsidRPr="00AD33D4" w:rsidRDefault="0009034C" w:rsidP="0009034C">
      <w:r w:rsidRPr="00AD33D4">
        <w:t>FPG is measured at a central laboratory. At V2 and V28, FPG will be part of the standardized meal test.</w:t>
      </w:r>
    </w:p>
    <w:p w:rsidR="002F41EE" w:rsidRDefault="002F41EE">
      <w:pPr>
        <w:pStyle w:val="Heading3"/>
      </w:pPr>
      <w:bookmarkStart w:id="498" w:name="_Toc303109021"/>
      <w:bookmarkStart w:id="499" w:name="_Toc304381194"/>
      <w:bookmarkStart w:id="500" w:name="_Toc89161730"/>
      <w:bookmarkStart w:id="501" w:name="_Toc128558633"/>
      <w:bookmarkStart w:id="502" w:name="_Toc129597720"/>
      <w:bookmarkStart w:id="503" w:name="_Ref130196526"/>
      <w:bookmarkStart w:id="504" w:name="_Toc130200170"/>
      <w:bookmarkStart w:id="505" w:name="_Toc130368751"/>
      <w:bookmarkStart w:id="506" w:name="_Toc130368881"/>
      <w:bookmarkStart w:id="507" w:name="_Toc130703389"/>
      <w:bookmarkStart w:id="508" w:name="_Ref298260017"/>
      <w:bookmarkStart w:id="509" w:name="_Toc382298094"/>
      <w:bookmarkStart w:id="510" w:name="_Toc443035875"/>
      <w:bookmarkEnd w:id="498"/>
      <w:bookmarkEnd w:id="499"/>
      <w:r w:rsidRPr="00F3246F">
        <w:t>Safety</w:t>
      </w:r>
      <w:bookmarkEnd w:id="500"/>
      <w:bookmarkEnd w:id="501"/>
      <w:bookmarkEnd w:id="502"/>
      <w:bookmarkEnd w:id="503"/>
      <w:bookmarkEnd w:id="504"/>
      <w:bookmarkEnd w:id="505"/>
      <w:bookmarkEnd w:id="506"/>
      <w:bookmarkEnd w:id="507"/>
      <w:r w:rsidRPr="00F3246F">
        <w:t xml:space="preserve"> endpoints</w:t>
      </w:r>
      <w:bookmarkEnd w:id="508"/>
      <w:bookmarkEnd w:id="509"/>
      <w:bookmarkEnd w:id="510"/>
    </w:p>
    <w:p w:rsidR="00F3246F" w:rsidRDefault="00F3246F" w:rsidP="00F3246F">
      <w:r>
        <w:t xml:space="preserve">The safety endpoints are assessed by: </w:t>
      </w:r>
    </w:p>
    <w:p w:rsidR="00F3246F" w:rsidRDefault="00F3246F" w:rsidP="00CC67B4">
      <w:pPr>
        <w:pStyle w:val="ListBulletLevel1"/>
        <w:numPr>
          <w:ilvl w:val="0"/>
          <w:numId w:val="68"/>
        </w:numPr>
      </w:pPr>
      <w:r>
        <w:t>Symptomatic hypoglycemia (documented, probable, severe symptomatic hypoglycemia);</w:t>
      </w:r>
    </w:p>
    <w:p w:rsidR="00F3246F" w:rsidRDefault="00F3246F" w:rsidP="00CC67B4">
      <w:pPr>
        <w:pStyle w:val="ListBulletLevel1"/>
        <w:numPr>
          <w:ilvl w:val="0"/>
          <w:numId w:val="68"/>
        </w:numPr>
      </w:pPr>
      <w:r>
        <w:t>Adverse events (AE), serious adverse events (SAE);</w:t>
      </w:r>
    </w:p>
    <w:p w:rsidR="00F3246F" w:rsidRDefault="00F3246F" w:rsidP="00CC67B4">
      <w:pPr>
        <w:pStyle w:val="ListBulletLevel1"/>
        <w:numPr>
          <w:ilvl w:val="0"/>
          <w:numId w:val="68"/>
        </w:numPr>
      </w:pPr>
      <w:r>
        <w:t>Safety laboratory values;</w:t>
      </w:r>
    </w:p>
    <w:p w:rsidR="00F3246F" w:rsidRPr="00F3246F" w:rsidRDefault="00F3246F" w:rsidP="00CC67B4">
      <w:pPr>
        <w:pStyle w:val="ListBulletLevel1"/>
        <w:numPr>
          <w:ilvl w:val="0"/>
          <w:numId w:val="68"/>
        </w:numPr>
      </w:pPr>
      <w:r w:rsidRPr="00F3246F">
        <w:t>Vital signs;</w:t>
      </w:r>
    </w:p>
    <w:p w:rsidR="00F3246F" w:rsidRPr="00F3246F" w:rsidRDefault="00F3246F" w:rsidP="00CC67B4">
      <w:pPr>
        <w:pStyle w:val="ListBulletLevel1"/>
        <w:numPr>
          <w:ilvl w:val="0"/>
          <w:numId w:val="68"/>
        </w:numPr>
      </w:pPr>
      <w:r w:rsidRPr="00F3246F">
        <w:t>Electrocardiogram (ECG).</w:t>
      </w:r>
    </w:p>
    <w:p w:rsidR="00F3246F" w:rsidRPr="00F3246F" w:rsidRDefault="00F3246F" w:rsidP="00F3246F">
      <w:pPr>
        <w:rPr>
          <w:b/>
        </w:rPr>
      </w:pPr>
      <w:r w:rsidRPr="00F3246F">
        <w:rPr>
          <w:b/>
        </w:rPr>
        <w:t>Observation period of safety endpoints</w:t>
      </w:r>
    </w:p>
    <w:p w:rsidR="00F3246F" w:rsidRDefault="00F3246F" w:rsidP="00F3246F">
      <w:r>
        <w:t>The observation period of safety data will be divided into 3 segments:</w:t>
      </w:r>
    </w:p>
    <w:p w:rsidR="00F3246F" w:rsidRDefault="00F3246F" w:rsidP="00CC67B4">
      <w:pPr>
        <w:pStyle w:val="ListBulletLevel1"/>
        <w:numPr>
          <w:ilvl w:val="0"/>
          <w:numId w:val="69"/>
        </w:numPr>
      </w:pPr>
      <w:r>
        <w:t>The pre-treatment period is defined as the time between the date of the informed consent and the first injection of open-label IMP;</w:t>
      </w:r>
    </w:p>
    <w:p w:rsidR="00F3246F" w:rsidRDefault="00F3246F" w:rsidP="00CC67B4">
      <w:pPr>
        <w:pStyle w:val="ListBulletLevel1"/>
        <w:numPr>
          <w:ilvl w:val="0"/>
          <w:numId w:val="69"/>
        </w:numPr>
      </w:pPr>
      <w:r>
        <w:t>The on-treatment period is defined as the time from the first injection of open-label IMP up to 3 days (1 day for symptomatic hypoglycemia) after the last injection of IMP, regardless of the introduction of rescue therapy. The 3-day interval is chosen based on the half-life of the IMP (approximately 5 times the half-life of lixisenatide);</w:t>
      </w:r>
    </w:p>
    <w:p w:rsidR="00F3246F" w:rsidRDefault="00F3246F" w:rsidP="00CC67B4">
      <w:pPr>
        <w:pStyle w:val="ListBulletLevel1"/>
        <w:numPr>
          <w:ilvl w:val="0"/>
          <w:numId w:val="69"/>
        </w:numPr>
      </w:pPr>
      <w:r>
        <w:t>The post-treatment period is defined as the time starting 4 days (2 days for symptomatic hypoglycemia) after the last injection of open label IMP (after the on-treatment period).</w:t>
      </w:r>
    </w:p>
    <w:p w:rsidR="00F3246F" w:rsidRDefault="00F3246F" w:rsidP="00F3246F">
      <w:pPr>
        <w:rPr>
          <w:highlight w:val="cyan"/>
        </w:rPr>
      </w:pPr>
      <w:r>
        <w:t>The baseline value for safety endpoints will be the last available value prior to the first injection of IMP.</w:t>
      </w:r>
    </w:p>
    <w:p w:rsidR="00F3246F" w:rsidRPr="00E729EF" w:rsidRDefault="00E729EF" w:rsidP="00E729EF">
      <w:pPr>
        <w:pStyle w:val="Heading4"/>
      </w:pPr>
      <w:bookmarkStart w:id="511" w:name="_Toc443035876"/>
      <w:r w:rsidRPr="00E729EF">
        <w:lastRenderedPageBreak/>
        <w:t>Symptomatic hypoglycemia</w:t>
      </w:r>
      <w:bookmarkEnd w:id="511"/>
    </w:p>
    <w:p w:rsidR="00F3246F" w:rsidRPr="00F3246F" w:rsidRDefault="00E729EF" w:rsidP="00F3246F">
      <w:pPr>
        <w:rPr>
          <w:highlight w:val="cyan"/>
        </w:rPr>
      </w:pPr>
      <w:r w:rsidRPr="00E729EF">
        <w:t xml:space="preserve">Symptomatic hypoglycemia (documented, probable, severe symptomatic hypoglycemia) will be assessed. Please refer to </w:t>
      </w:r>
      <w:hyperlink w:anchor="_Ref434493038" w:history="1">
        <w:r w:rsidR="00C522CD" w:rsidRPr="00C522CD">
          <w:rPr>
            <w:rStyle w:val="Hyperlink"/>
            <w:u w:val="none"/>
          </w:rPr>
          <w:t>Section</w:t>
        </w:r>
      </w:hyperlink>
      <w:r w:rsidR="00C522CD">
        <w:t xml:space="preserve"> </w:t>
      </w:r>
      <w:r w:rsidR="00C522CD">
        <w:fldChar w:fldCharType="begin"/>
      </w:r>
      <w:r w:rsidR="00C522CD">
        <w:instrText xml:space="preserve"> REF _Ref434493038 \r \h </w:instrText>
      </w:r>
      <w:r w:rsidR="00C522CD">
        <w:fldChar w:fldCharType="separate"/>
      </w:r>
      <w:r w:rsidR="005A26F6">
        <w:t>10.6.1</w:t>
      </w:r>
      <w:r w:rsidR="00C522CD">
        <w:fldChar w:fldCharType="end"/>
      </w:r>
      <w:r w:rsidR="00166D43">
        <w:t xml:space="preserve"> </w:t>
      </w:r>
      <w:r w:rsidRPr="00E729EF">
        <w:t>for details.</w:t>
      </w:r>
    </w:p>
    <w:p w:rsidR="002F41EE" w:rsidRDefault="002F41EE">
      <w:pPr>
        <w:pStyle w:val="Heading4"/>
      </w:pPr>
      <w:bookmarkStart w:id="512" w:name="_Toc352790560"/>
      <w:bookmarkStart w:id="513" w:name="_Toc352790561"/>
      <w:bookmarkStart w:id="514" w:name="_Toc352790562"/>
      <w:bookmarkStart w:id="515" w:name="_Toc352790563"/>
      <w:bookmarkStart w:id="516" w:name="_Toc352790564"/>
      <w:bookmarkStart w:id="517" w:name="_Toc352790565"/>
      <w:bookmarkStart w:id="518" w:name="_Toc352790566"/>
      <w:bookmarkStart w:id="519" w:name="_Toc352790573"/>
      <w:bookmarkStart w:id="520" w:name="_Toc382298095"/>
      <w:bookmarkStart w:id="521" w:name="_Toc443035877"/>
      <w:bookmarkEnd w:id="512"/>
      <w:bookmarkEnd w:id="513"/>
      <w:bookmarkEnd w:id="514"/>
      <w:bookmarkEnd w:id="515"/>
      <w:bookmarkEnd w:id="516"/>
      <w:bookmarkEnd w:id="517"/>
      <w:bookmarkEnd w:id="518"/>
      <w:bookmarkEnd w:id="519"/>
      <w:r>
        <w:t>Adverse events</w:t>
      </w:r>
      <w:bookmarkEnd w:id="520"/>
      <w:bookmarkEnd w:id="521"/>
    </w:p>
    <w:p w:rsidR="00AB53B8" w:rsidRDefault="00536E7A" w:rsidP="00AB53B8">
      <w:pPr>
        <w:rPr>
          <w:iCs/>
          <w:color w:val="auto"/>
          <w:szCs w:val="23"/>
        </w:rPr>
      </w:pPr>
      <w:r>
        <w:t xml:space="preserve">AE including SAE and </w:t>
      </w:r>
      <w:r w:rsidR="00B86DB7">
        <w:t>adverse events of special interest (</w:t>
      </w:r>
      <w:r>
        <w:t>AESI</w:t>
      </w:r>
      <w:r w:rsidR="00B86DB7">
        <w:t>)</w:t>
      </w:r>
      <w:r>
        <w:t xml:space="preserve"> will be assessed. Please r</w:t>
      </w:r>
      <w:r w:rsidR="00AB53B8">
        <w:t xml:space="preserve">efer to </w:t>
      </w:r>
      <w:hyperlink w:anchor="_Ref304215734" w:history="1">
        <w:r w:rsidR="00C522CD" w:rsidRPr="00C522CD">
          <w:rPr>
            <w:rStyle w:val="Hyperlink"/>
            <w:u w:val="none"/>
          </w:rPr>
          <w:t>Section</w:t>
        </w:r>
      </w:hyperlink>
      <w:r w:rsidR="00C522CD">
        <w:t xml:space="preserve"> </w:t>
      </w:r>
      <w:r w:rsidR="00C522CD">
        <w:fldChar w:fldCharType="begin"/>
      </w:r>
      <w:r w:rsidR="00C522CD">
        <w:instrText xml:space="preserve"> REF _Ref304215734 \r \h </w:instrText>
      </w:r>
      <w:r w:rsidR="00C522CD">
        <w:fldChar w:fldCharType="separate"/>
      </w:r>
      <w:r w:rsidR="005A26F6">
        <w:t>10.4</w:t>
      </w:r>
      <w:r w:rsidR="00C522CD">
        <w:fldChar w:fldCharType="end"/>
      </w:r>
      <w:r w:rsidR="00AB53B8">
        <w:rPr>
          <w:iCs/>
          <w:color w:val="auto"/>
          <w:szCs w:val="23"/>
        </w:rPr>
        <w:t xml:space="preserve"> to </w:t>
      </w:r>
      <w:hyperlink w:anchor="_Ref304215872" w:history="1">
        <w:r w:rsidR="00C522CD" w:rsidRPr="00C522CD">
          <w:rPr>
            <w:rStyle w:val="Hyperlink"/>
            <w:u w:val="none"/>
          </w:rPr>
          <w:t>Section</w:t>
        </w:r>
      </w:hyperlink>
      <w:r w:rsidR="00C522CD">
        <w:t xml:space="preserve"> </w:t>
      </w:r>
      <w:r w:rsidR="00C522CD">
        <w:fldChar w:fldCharType="begin"/>
      </w:r>
      <w:r w:rsidR="00C522CD">
        <w:instrText xml:space="preserve"> REF _Ref304215872 \r \h </w:instrText>
      </w:r>
      <w:r w:rsidR="00C522CD">
        <w:fldChar w:fldCharType="separate"/>
      </w:r>
      <w:r w:rsidR="005A26F6">
        <w:t>10.7</w:t>
      </w:r>
      <w:r w:rsidR="00C522CD">
        <w:fldChar w:fldCharType="end"/>
      </w:r>
      <w:r w:rsidR="00AB53B8">
        <w:rPr>
          <w:iCs/>
          <w:color w:val="auto"/>
          <w:szCs w:val="23"/>
        </w:rPr>
        <w:t xml:space="preserve"> for details</w:t>
      </w:r>
      <w:r w:rsidR="00557BD4">
        <w:rPr>
          <w:iCs/>
          <w:color w:val="auto"/>
          <w:szCs w:val="23"/>
        </w:rPr>
        <w:t>.</w:t>
      </w:r>
    </w:p>
    <w:p w:rsidR="00536E7A" w:rsidRPr="00AB53B8" w:rsidRDefault="00536E7A" w:rsidP="00536E7A">
      <w:r>
        <w:t>Adverse event collection: Adverse events and serious adverse events will be collected from the time of informed consent signature and then at each visit until the end of the study.</w:t>
      </w:r>
    </w:p>
    <w:p w:rsidR="002F41EE" w:rsidRDefault="002F41EE">
      <w:pPr>
        <w:pStyle w:val="Heading4"/>
      </w:pPr>
      <w:bookmarkStart w:id="522" w:name="_Toc382298096"/>
      <w:bookmarkStart w:id="523" w:name="_Ref440281653"/>
      <w:bookmarkStart w:id="524" w:name="_Ref442281221"/>
      <w:bookmarkStart w:id="525" w:name="_Ref442690308"/>
      <w:bookmarkStart w:id="526" w:name="_Toc443035878"/>
      <w:r>
        <w:t>Laboratory safety variables</w:t>
      </w:r>
      <w:bookmarkEnd w:id="522"/>
      <w:bookmarkEnd w:id="523"/>
      <w:bookmarkEnd w:id="524"/>
      <w:bookmarkEnd w:id="525"/>
      <w:bookmarkEnd w:id="526"/>
    </w:p>
    <w:p w:rsidR="00536E7A" w:rsidRDefault="00536E7A" w:rsidP="00536E7A">
      <w:r>
        <w:t xml:space="preserve">All laboratory data listed in this section will be measured at a central laboratory. The laboratory data will be collected at designated visits in </w:t>
      </w:r>
      <w:hyperlink w:anchor="_Ref442689458" w:history="1">
        <w:r w:rsidR="00C522CD" w:rsidRPr="00C522CD">
          <w:rPr>
            <w:rStyle w:val="Hyperlink"/>
            <w:u w:val="none"/>
          </w:rPr>
          <w:t>Section</w:t>
        </w:r>
      </w:hyperlink>
      <w:r w:rsidR="00C522CD">
        <w:t xml:space="preserve"> </w:t>
      </w:r>
      <w:r w:rsidR="00C522CD">
        <w:fldChar w:fldCharType="begin"/>
      </w:r>
      <w:r w:rsidR="00C522CD">
        <w:instrText xml:space="preserve"> REF _Ref442689458 \r \h </w:instrText>
      </w:r>
      <w:r w:rsidR="00C522CD">
        <w:fldChar w:fldCharType="separate"/>
      </w:r>
      <w:r w:rsidR="005A26F6">
        <w:t>1.2</w:t>
      </w:r>
      <w:r w:rsidR="00C522CD">
        <w:fldChar w:fldCharType="end"/>
      </w:r>
      <w:r>
        <w:t>. Clinical laboratory values will be analyzed after conversion into standard international units. International units will be used in all listings and tables. The conventional unit will be presented if appropriate.</w:t>
      </w:r>
    </w:p>
    <w:p w:rsidR="00536E7A" w:rsidRDefault="00536E7A" w:rsidP="00536E7A">
      <w:r>
        <w:t>The following laboratory safety variables will be analyzed:</w:t>
      </w:r>
    </w:p>
    <w:p w:rsidR="00536E7A" w:rsidRDefault="00536E7A" w:rsidP="00CC67B4">
      <w:pPr>
        <w:pStyle w:val="ListBulletLevel1"/>
        <w:numPr>
          <w:ilvl w:val="0"/>
          <w:numId w:val="70"/>
        </w:numPr>
      </w:pPr>
      <w:r>
        <w:t>Hematology: blood count (erythrocytes, hemoglobin, hematocrit, leukocytes), differential blood count (neutrophils, lymphocytes, monocytes, eosinophils, basophils) and platelets;</w:t>
      </w:r>
    </w:p>
    <w:p w:rsidR="00536E7A" w:rsidRDefault="00536E7A" w:rsidP="00CC67B4">
      <w:pPr>
        <w:pStyle w:val="ListBulletLevel1"/>
        <w:numPr>
          <w:ilvl w:val="0"/>
          <w:numId w:val="71"/>
        </w:numPr>
      </w:pPr>
      <w:r>
        <w:t>Clinical chemistry: total bilirubin (and, in case of values above the normal range, differentiation in conjugated and non-conjugated bilirubin), Aspartate aminotransferase (</w:t>
      </w:r>
      <w:r w:rsidRPr="00ED668D">
        <w:t>AST</w:t>
      </w:r>
      <w:r>
        <w:t>), Alanine aminotransferase (</w:t>
      </w:r>
      <w:r w:rsidRPr="00ED668D">
        <w:t>ALT</w:t>
      </w:r>
      <w:r>
        <w:t>), Alkaline phosphatase (</w:t>
      </w:r>
      <w:r w:rsidRPr="00ED668D">
        <w:t>ALP</w:t>
      </w:r>
      <w:r>
        <w:t>), creatinine, uric acid, sodium, potassium, calcium, phosphorus;</w:t>
      </w:r>
    </w:p>
    <w:p w:rsidR="00536E7A" w:rsidRDefault="00536E7A" w:rsidP="00CC67B4">
      <w:pPr>
        <w:pStyle w:val="ListBulletLevel1"/>
        <w:numPr>
          <w:ilvl w:val="0"/>
          <w:numId w:val="72"/>
        </w:numPr>
      </w:pPr>
      <w:r>
        <w:t xml:space="preserve">Lipid parameters (total cholesterol, </w:t>
      </w:r>
      <w:r w:rsidR="00B86DB7">
        <w:t>high density lipoprotein (</w:t>
      </w:r>
      <w:r>
        <w:t>HDL</w:t>
      </w:r>
      <w:r w:rsidR="00B86DB7">
        <w:t>)</w:t>
      </w:r>
      <w:r w:rsidR="007A4FE1">
        <w:fldChar w:fldCharType="begin"/>
      </w:r>
      <w:r w:rsidR="007A4FE1">
        <w:instrText xml:space="preserve"> XE "</w:instrText>
      </w:r>
      <w:r w:rsidR="007A4FE1" w:rsidRPr="007A4FE1">
        <w:instrText xml:space="preserve"> </w:instrText>
      </w:r>
      <w:r w:rsidR="007A4FE1">
        <w:instrText>HDL " \f Abbreviation \t "</w:instrText>
      </w:r>
      <w:r w:rsidR="009A6873">
        <w:instrText>h</w:instrText>
      </w:r>
      <w:r w:rsidR="007A4FE1">
        <w:instrText xml:space="preserve">igh density lipoprotein" </w:instrText>
      </w:r>
      <w:r w:rsidR="007A4FE1">
        <w:fldChar w:fldCharType="end"/>
      </w:r>
      <w:r>
        <w:t xml:space="preserve">-cholesterol, </w:t>
      </w:r>
      <w:r w:rsidR="00B86DB7">
        <w:t>low density lipoprotein (</w:t>
      </w:r>
      <w:r>
        <w:t>LDL</w:t>
      </w:r>
      <w:r w:rsidR="00B86DB7">
        <w:t>)</w:t>
      </w:r>
      <w:r>
        <w:t>-cholesterol, triglycerides);</w:t>
      </w:r>
    </w:p>
    <w:p w:rsidR="00536E7A" w:rsidRDefault="00536E7A" w:rsidP="00CC67B4">
      <w:pPr>
        <w:pStyle w:val="ListBulletLevel1"/>
        <w:numPr>
          <w:ilvl w:val="0"/>
          <w:numId w:val="73"/>
        </w:numPr>
      </w:pPr>
      <w:r>
        <w:t>Serum amylase and lipase;</w:t>
      </w:r>
    </w:p>
    <w:p w:rsidR="00536E7A" w:rsidRDefault="00536E7A" w:rsidP="00CC67B4">
      <w:pPr>
        <w:pStyle w:val="ListBulletLevel1"/>
        <w:numPr>
          <w:ilvl w:val="0"/>
          <w:numId w:val="74"/>
        </w:numPr>
      </w:pPr>
      <w:r>
        <w:t>Serum calcitonin;</w:t>
      </w:r>
    </w:p>
    <w:p w:rsidR="00536E7A" w:rsidRDefault="00536E7A" w:rsidP="00CC67B4">
      <w:pPr>
        <w:pStyle w:val="ListBulletLevel1"/>
        <w:numPr>
          <w:ilvl w:val="0"/>
          <w:numId w:val="75"/>
        </w:numPr>
      </w:pPr>
      <w:r>
        <w:t>Urine albumin/creatinine ratio assessment (to be done on first morning urine sample).</w:t>
      </w:r>
    </w:p>
    <w:p w:rsidR="00536E7A" w:rsidRDefault="00536E7A" w:rsidP="00536E7A">
      <w:r>
        <w:t xml:space="preserve">In addition, the following laboratory data will also be collected at screening visit, baseline visit and at on-site visits depending on the item (see </w:t>
      </w:r>
      <w:hyperlink w:anchor="_Ref442689465" w:history="1">
        <w:r w:rsidR="00C522CD" w:rsidRPr="00C522CD">
          <w:rPr>
            <w:rStyle w:val="Hyperlink"/>
            <w:u w:val="none"/>
          </w:rPr>
          <w:t>Section</w:t>
        </w:r>
      </w:hyperlink>
      <w:r w:rsidR="00C522CD">
        <w:t xml:space="preserve"> </w:t>
      </w:r>
      <w:r w:rsidR="00C522CD">
        <w:fldChar w:fldCharType="begin"/>
      </w:r>
      <w:r w:rsidR="00C522CD">
        <w:instrText xml:space="preserve"> REF _Ref442689465 \r \h </w:instrText>
      </w:r>
      <w:r w:rsidR="00C522CD">
        <w:fldChar w:fldCharType="separate"/>
      </w:r>
      <w:r w:rsidR="005A26F6">
        <w:t>1.2</w:t>
      </w:r>
      <w:r w:rsidR="00C522CD">
        <w:fldChar w:fldCharType="end"/>
      </w:r>
      <w:r>
        <w:t>) for identifying patients with exclusion criteria, childbearing potential or safety consideration.</w:t>
      </w:r>
    </w:p>
    <w:p w:rsidR="00536E7A" w:rsidRDefault="00536E7A" w:rsidP="00CC67B4">
      <w:pPr>
        <w:pStyle w:val="ListBulletLevel1"/>
        <w:numPr>
          <w:ilvl w:val="0"/>
          <w:numId w:val="76"/>
        </w:numPr>
      </w:pPr>
      <w:r>
        <w:t>Hepatitis B surface antigen and hepatitis C antibody (only at screening);</w:t>
      </w:r>
    </w:p>
    <w:p w:rsidR="00536E7A" w:rsidRDefault="00536E7A" w:rsidP="00CC67B4">
      <w:pPr>
        <w:pStyle w:val="ListBulletLevel1"/>
        <w:numPr>
          <w:ilvl w:val="0"/>
          <w:numId w:val="77"/>
        </w:numPr>
      </w:pPr>
      <w:r>
        <w:t>Urinalysis (assayed by the central laboratory): pH, glucose, ketones, leucocytes, blood/hemoglobin, protein (only at screening);</w:t>
      </w:r>
    </w:p>
    <w:p w:rsidR="00536E7A" w:rsidRDefault="00536E7A" w:rsidP="00CC67B4">
      <w:pPr>
        <w:pStyle w:val="ListBulletLevel1"/>
        <w:numPr>
          <w:ilvl w:val="0"/>
          <w:numId w:val="78"/>
        </w:numPr>
      </w:pPr>
      <w:r>
        <w:t>Serum pregnancy test in females of childbearing potential;</w:t>
      </w:r>
    </w:p>
    <w:p w:rsidR="00536E7A" w:rsidRDefault="00536E7A" w:rsidP="00CC67B4">
      <w:pPr>
        <w:pStyle w:val="ListBulletLevel1"/>
        <w:numPr>
          <w:ilvl w:val="0"/>
          <w:numId w:val="79"/>
        </w:numPr>
      </w:pPr>
      <w:r>
        <w:t>Serum follicle stimulating hormone (FSH) (only in females requiring confirmation of postmenopausal status, and only at screening).</w:t>
      </w:r>
    </w:p>
    <w:p w:rsidR="00536E7A" w:rsidRDefault="00536E7A" w:rsidP="00536E7A">
      <w:r>
        <w:lastRenderedPageBreak/>
        <w:t xml:space="preserve">In case of suspected acute pancreatitis, safety laboratory, including amylase and lipase should be performed in a timely manner. Please also refer to </w:t>
      </w:r>
      <w:hyperlink w:anchor="_Ref434491927" w:history="1">
        <w:r w:rsidR="00C522CD" w:rsidRPr="00C522CD">
          <w:rPr>
            <w:rStyle w:val="Hyperlink"/>
            <w:u w:val="none"/>
          </w:rPr>
          <w:t>Section</w:t>
        </w:r>
      </w:hyperlink>
      <w:r w:rsidR="00C522CD">
        <w:t xml:space="preserve"> </w:t>
      </w:r>
      <w:r w:rsidR="00C522CD">
        <w:fldChar w:fldCharType="begin"/>
      </w:r>
      <w:r w:rsidR="00C522CD">
        <w:instrText xml:space="preserve"> REF _Ref434491927 \r \h </w:instrText>
      </w:r>
      <w:r w:rsidR="00C522CD">
        <w:fldChar w:fldCharType="separate"/>
      </w:r>
      <w:r w:rsidR="005A26F6">
        <w:t>10.6.4</w:t>
      </w:r>
      <w:r w:rsidR="00C522CD">
        <w:fldChar w:fldCharType="end"/>
      </w:r>
      <w:r>
        <w:t>.</w:t>
      </w:r>
    </w:p>
    <w:p w:rsidR="00536E7A" w:rsidRDefault="00536E7A" w:rsidP="00536E7A">
      <w:r>
        <w:t xml:space="preserve">Notes: Any abnormal laboratory value should be immediately rechecked (whenever possible using the central laboratory) for confirmation before making a decision of permanent discontinuation of IMP for the concerned patient. Please also refer to </w:t>
      </w:r>
      <w:hyperlink w:anchor="_Ref442689493" w:history="1">
        <w:r w:rsidR="00C522CD" w:rsidRPr="00C522CD">
          <w:rPr>
            <w:rStyle w:val="Hyperlink"/>
            <w:u w:val="none"/>
          </w:rPr>
          <w:t>Section</w:t>
        </w:r>
      </w:hyperlink>
      <w:r w:rsidR="00C522CD">
        <w:t xml:space="preserve"> </w:t>
      </w:r>
      <w:r w:rsidR="00C522CD">
        <w:fldChar w:fldCharType="begin"/>
      </w:r>
      <w:r w:rsidR="00C522CD">
        <w:instrText xml:space="preserve"> REF _Ref442689493 \r \h </w:instrText>
      </w:r>
      <w:r w:rsidR="00C522CD">
        <w:fldChar w:fldCharType="separate"/>
      </w:r>
      <w:r w:rsidR="005A26F6">
        <w:t>10.3</w:t>
      </w:r>
      <w:r w:rsidR="00C522CD">
        <w:fldChar w:fldCharType="end"/>
      </w:r>
      <w:r w:rsidR="00E37F9A">
        <w:t xml:space="preserve"> and the “</w:t>
      </w:r>
      <w:r>
        <w:t xml:space="preserve">General Guidelines for reporting AEs” in </w:t>
      </w:r>
      <w:hyperlink w:anchor="_Ref356210483" w:history="1">
        <w:r w:rsidR="00C522CD" w:rsidRPr="00C522CD">
          <w:rPr>
            <w:rStyle w:val="Hyperlink"/>
            <w:u w:val="none"/>
          </w:rPr>
          <w:t>Section</w:t>
        </w:r>
      </w:hyperlink>
      <w:r w:rsidR="00FE42B1">
        <w:t xml:space="preserve"> </w:t>
      </w:r>
      <w:r w:rsidR="00FE42B1" w:rsidRPr="00FE42B1">
        <w:fldChar w:fldCharType="begin"/>
      </w:r>
      <w:r w:rsidR="00FE42B1" w:rsidRPr="00FE42B1">
        <w:instrText xml:space="preserve"> REF _Ref442971694 \r \h </w:instrText>
      </w:r>
      <w:r w:rsidR="00FE42B1">
        <w:instrText xml:space="preserve"> \* MERGEFORMAT </w:instrText>
      </w:r>
      <w:r w:rsidR="00FE42B1" w:rsidRPr="00FE42B1">
        <w:fldChar w:fldCharType="separate"/>
      </w:r>
      <w:r w:rsidR="005A26F6">
        <w:t>10.4.2</w:t>
      </w:r>
      <w:r w:rsidR="00FE42B1" w:rsidRPr="00FE42B1">
        <w:fldChar w:fldCharType="end"/>
      </w:r>
      <w:r>
        <w:t>.</w:t>
      </w:r>
    </w:p>
    <w:p w:rsidR="002F41EE" w:rsidRDefault="002F41EE">
      <w:pPr>
        <w:pStyle w:val="Heading4"/>
      </w:pPr>
      <w:bookmarkStart w:id="527" w:name="_Toc382298097"/>
      <w:bookmarkStart w:id="528" w:name="_Ref440281674"/>
      <w:bookmarkStart w:id="529" w:name="_Toc443035879"/>
      <w:r>
        <w:t>Vital signs</w:t>
      </w:r>
      <w:bookmarkEnd w:id="527"/>
      <w:r w:rsidR="006902CF">
        <w:t xml:space="preserve"> and physical examination</w:t>
      </w:r>
      <w:bookmarkEnd w:id="528"/>
      <w:bookmarkEnd w:id="529"/>
    </w:p>
    <w:p w:rsidR="006902CF" w:rsidRDefault="006902CF" w:rsidP="006902CF">
      <w:r>
        <w:t>Clinical safety will be assessed by:</w:t>
      </w:r>
    </w:p>
    <w:p w:rsidR="006902CF" w:rsidRDefault="006902CF" w:rsidP="00CC67B4">
      <w:pPr>
        <w:pStyle w:val="ListBulletLevel1"/>
        <w:numPr>
          <w:ilvl w:val="0"/>
          <w:numId w:val="80"/>
        </w:numPr>
      </w:pPr>
      <w:r>
        <w:t>Physical examination;</w:t>
      </w:r>
    </w:p>
    <w:p w:rsidR="006902CF" w:rsidRDefault="006902CF" w:rsidP="00CC67B4">
      <w:pPr>
        <w:pStyle w:val="ListBulletLevel1"/>
        <w:numPr>
          <w:ilvl w:val="0"/>
          <w:numId w:val="81"/>
        </w:numPr>
      </w:pPr>
      <w:r>
        <w:t>Vital signs (systolic and diastolic blood pressure, heart rate).</w:t>
      </w:r>
    </w:p>
    <w:p w:rsidR="006902CF" w:rsidRDefault="006902CF" w:rsidP="006902CF">
      <w:r>
        <w:t>Blood pressure (mmHg) should be measured when the patient is quiet and seated and with their arm outstretched in line with mid-sternum and supported. Measurement should be taken under standardized conditions, approximately at the same time of the day, on the same arm, with the same device (after the patient has rested comfortably for at least five minutes) and the values are to be recorded in the e-CRF. Both systolic blood pressure and diastolic blood pressure should be recorded. Devices for blood pressure measurement should be regularly recalibrated according to manufacturers´ instructions.</w:t>
      </w:r>
    </w:p>
    <w:p w:rsidR="006902CF" w:rsidRDefault="006902CF" w:rsidP="006902CF">
      <w:r>
        <w:t>Determination of the arm for blood pressure measurements:</w:t>
      </w:r>
    </w:p>
    <w:p w:rsidR="006902CF" w:rsidRDefault="006902CF" w:rsidP="006902CF">
      <w:r>
        <w:t>At V1 of the screening period, blood pressure has to be measu</w:t>
      </w:r>
      <w:r w:rsidR="007F5600">
        <w:t>red on both of the arms after 5 </w:t>
      </w:r>
      <w:r>
        <w:t>minutes in seated position and then again after two minutes in both arms in seated position. The arm with the higher diastolic pressure will be determined at this visit, identifying the reference arm for future measurements throughout the study. The highest v</w:t>
      </w:r>
      <w:r w:rsidR="00E37F9A">
        <w:t>alue will be recorded in the e</w:t>
      </w:r>
      <w:r w:rsidR="00E37F9A">
        <w:noBreakHyphen/>
      </w:r>
      <w:r>
        <w:t>CRF (all blood pressure values are to be recorded in the source data).</w:t>
      </w:r>
    </w:p>
    <w:p w:rsidR="006902CF" w:rsidRPr="006902CF" w:rsidRDefault="006902CF" w:rsidP="006902CF">
      <w:r>
        <w:t>Heart rate (bpm) will be measured at the time of the measurement of blood pressure.</w:t>
      </w:r>
    </w:p>
    <w:p w:rsidR="002F41EE" w:rsidRDefault="002F41EE">
      <w:pPr>
        <w:pStyle w:val="Heading4"/>
      </w:pPr>
      <w:bookmarkStart w:id="530" w:name="_Toc382298098"/>
      <w:bookmarkStart w:id="531" w:name="_Ref442281364"/>
      <w:bookmarkStart w:id="532" w:name="_Ref442689069"/>
      <w:bookmarkStart w:id="533" w:name="_Toc443035880"/>
      <w:r>
        <w:t>Electrocardiogram variables</w:t>
      </w:r>
      <w:bookmarkEnd w:id="530"/>
      <w:bookmarkEnd w:id="531"/>
      <w:bookmarkEnd w:id="532"/>
      <w:bookmarkEnd w:id="533"/>
    </w:p>
    <w:p w:rsidR="006902CF" w:rsidRDefault="006902CF" w:rsidP="006902CF">
      <w:r>
        <w:t>The ECG assessment of “normal” or “abnormal” will be analyzed.</w:t>
      </w:r>
    </w:p>
    <w:p w:rsidR="006902CF" w:rsidRDefault="006902CF" w:rsidP="006902CF">
      <w:r>
        <w:t>Investigators will have 12-lead ECG devices which will automatically assess the ECG as “normal” or “abnormal”. ECG status of “normal” or “abnormal” will be reported in the e-CRF as determined by the Investigator.</w:t>
      </w:r>
    </w:p>
    <w:p w:rsidR="006902CF" w:rsidRDefault="006902CF" w:rsidP="006902CF">
      <w:r>
        <w:t>The 12-lead ECGs should be performed after at least 10 minutes in supine position. The electrodes are to be positioned at the same place for each ECG recording throughout the study. Each trace is analyzed in comparison with the screening recorded tracing. The original tracing is kept as source data.</w:t>
      </w:r>
    </w:p>
    <w:p w:rsidR="006902CF" w:rsidRDefault="006902CF" w:rsidP="006902CF">
      <w:r>
        <w:lastRenderedPageBreak/>
        <w:t xml:space="preserve">Notes: Any abnormal ECG parameter should be immediately rechecked for confirmation before making a decision of permanent discontinuation of treatment with IMPs for the concerned patient. Please also refer to </w:t>
      </w:r>
      <w:hyperlink w:anchor="_Ref442689518" w:history="1">
        <w:r w:rsidR="00C522CD" w:rsidRPr="00C522CD">
          <w:rPr>
            <w:rStyle w:val="Hyperlink"/>
            <w:u w:val="none"/>
          </w:rPr>
          <w:t>Section</w:t>
        </w:r>
      </w:hyperlink>
      <w:r w:rsidR="00C522CD">
        <w:t xml:space="preserve"> </w:t>
      </w:r>
      <w:r w:rsidR="00C522CD">
        <w:fldChar w:fldCharType="begin"/>
      </w:r>
      <w:r w:rsidR="00C522CD">
        <w:instrText xml:space="preserve"> REF _Ref442689518 \r \h </w:instrText>
      </w:r>
      <w:r w:rsidR="00C522CD">
        <w:fldChar w:fldCharType="separate"/>
      </w:r>
      <w:r w:rsidR="005A26F6">
        <w:t>10.3</w:t>
      </w:r>
      <w:r w:rsidR="00C522CD">
        <w:fldChar w:fldCharType="end"/>
      </w:r>
      <w:r>
        <w:t xml:space="preserve"> and the “General Guidelines for reporting AEs” in </w:t>
      </w:r>
      <w:hyperlink w:anchor="_Ref442689528" w:history="1">
        <w:r w:rsidR="00C522CD" w:rsidRPr="00C522CD">
          <w:rPr>
            <w:rStyle w:val="Hyperlink"/>
            <w:u w:val="none"/>
          </w:rPr>
          <w:t>Section</w:t>
        </w:r>
      </w:hyperlink>
      <w:r w:rsidR="00C522CD">
        <w:t> </w:t>
      </w:r>
      <w:r w:rsidR="00C522CD">
        <w:fldChar w:fldCharType="begin"/>
      </w:r>
      <w:r w:rsidR="00C522CD">
        <w:instrText xml:space="preserve"> REF _Ref442689528 \r \h </w:instrText>
      </w:r>
      <w:r w:rsidR="00C522CD">
        <w:fldChar w:fldCharType="separate"/>
      </w:r>
      <w:r w:rsidR="005A26F6">
        <w:t>10.4.2</w:t>
      </w:r>
      <w:r w:rsidR="00C522CD">
        <w:fldChar w:fldCharType="end"/>
      </w:r>
      <w:r>
        <w:t>.</w:t>
      </w:r>
    </w:p>
    <w:p w:rsidR="0009034C" w:rsidRDefault="0009034C" w:rsidP="00F9638B">
      <w:pPr>
        <w:pStyle w:val="Heading2"/>
      </w:pPr>
      <w:bookmarkStart w:id="534" w:name="_Ref434330571"/>
      <w:bookmarkStart w:id="535" w:name="_Toc443035881"/>
      <w:r>
        <w:t>Other endpoints</w:t>
      </w:r>
      <w:bookmarkEnd w:id="534"/>
      <w:bookmarkEnd w:id="535"/>
    </w:p>
    <w:p w:rsidR="0009034C" w:rsidRDefault="0009034C" w:rsidP="00CC67B4">
      <w:pPr>
        <w:pStyle w:val="ListBulletLevel1"/>
        <w:numPr>
          <w:ilvl w:val="0"/>
          <w:numId w:val="67"/>
        </w:numPr>
      </w:pPr>
      <w:r>
        <w:t xml:space="preserve">Insulin glargine </w:t>
      </w:r>
      <w:r w:rsidRPr="006644EE">
        <w:t>and lixisenatide</w:t>
      </w:r>
      <w:r>
        <w:t xml:space="preserve"> doses at Week 26 in the combination group;</w:t>
      </w:r>
    </w:p>
    <w:p w:rsidR="0009034C" w:rsidRDefault="0009034C" w:rsidP="00CC67B4">
      <w:pPr>
        <w:pStyle w:val="ListBulletLevel1"/>
        <w:numPr>
          <w:ilvl w:val="0"/>
          <w:numId w:val="67"/>
        </w:numPr>
      </w:pPr>
      <w:r>
        <w:t xml:space="preserve">Percentage of patients requiring rescue therapy during the 26 weeks treatment period; </w:t>
      </w:r>
    </w:p>
    <w:p w:rsidR="0009034C" w:rsidRDefault="0009034C" w:rsidP="00CC67B4">
      <w:pPr>
        <w:pStyle w:val="ListBulletLevel1"/>
        <w:numPr>
          <w:ilvl w:val="0"/>
          <w:numId w:val="67"/>
        </w:numPr>
      </w:pPr>
      <w:r>
        <w:t>C-peptide evaluation during standardized meal test from baseline to Week 26;</w:t>
      </w:r>
    </w:p>
    <w:p w:rsidR="0009034C" w:rsidRPr="002234AA" w:rsidRDefault="0009034C" w:rsidP="00CC67B4">
      <w:pPr>
        <w:pStyle w:val="ListBulletLevel1"/>
        <w:numPr>
          <w:ilvl w:val="0"/>
          <w:numId w:val="67"/>
        </w:numPr>
      </w:pPr>
      <w:r>
        <w:t>Percentage of patients reaching HbA</w:t>
      </w:r>
      <w:r w:rsidRPr="00950DEA">
        <w:rPr>
          <w:vertAlign w:val="subscript"/>
        </w:rPr>
        <w:t>1c</w:t>
      </w:r>
      <w:r>
        <w:t xml:space="preserve"> &lt;7% (53 mmol/mol) with no body weight gain from baseline to Week 26.</w:t>
      </w:r>
    </w:p>
    <w:p w:rsidR="00FB6051" w:rsidRPr="00231E77" w:rsidRDefault="00FB6051" w:rsidP="00FB6051">
      <w:pPr>
        <w:pStyle w:val="Heading2"/>
        <w:rPr>
          <w:rStyle w:val="ReplaceText"/>
          <w:color w:val="auto"/>
        </w:rPr>
      </w:pPr>
      <w:bookmarkStart w:id="536" w:name="_Toc303109028"/>
      <w:bookmarkStart w:id="537" w:name="_Toc108512246"/>
      <w:bookmarkStart w:id="538" w:name="_Toc108587118"/>
      <w:bookmarkStart w:id="539" w:name="_Toc283383382"/>
      <w:bookmarkStart w:id="540" w:name="_Ref298687802"/>
      <w:bookmarkStart w:id="541" w:name="_Toc379793864"/>
      <w:bookmarkStart w:id="542" w:name="_Toc382298112"/>
      <w:bookmarkStart w:id="543" w:name="_Toc443035882"/>
      <w:bookmarkEnd w:id="536"/>
      <w:r w:rsidRPr="00231E77">
        <w:rPr>
          <w:rStyle w:val="ReplaceText"/>
          <w:color w:val="auto"/>
        </w:rPr>
        <w:t>Future use of samples</w:t>
      </w:r>
      <w:bookmarkEnd w:id="541"/>
      <w:bookmarkEnd w:id="542"/>
      <w:bookmarkEnd w:id="543"/>
    </w:p>
    <w:p w:rsidR="00BB33AA" w:rsidRDefault="00BB33AA" w:rsidP="00231E77">
      <w:pPr>
        <w:spacing w:before="120"/>
      </w:pPr>
      <w:r>
        <w:t>Not applicable</w:t>
      </w:r>
      <w:r w:rsidR="00AD33D4">
        <w:t>.</w:t>
      </w:r>
    </w:p>
    <w:p w:rsidR="002F41EE" w:rsidRDefault="002F41EE">
      <w:pPr>
        <w:pStyle w:val="Heading2"/>
      </w:pPr>
      <w:bookmarkStart w:id="544" w:name="_Toc382298113"/>
      <w:bookmarkStart w:id="545" w:name="_Toc443035883"/>
      <w:r>
        <w:t>Appropriateness of measurements</w:t>
      </w:r>
      <w:bookmarkEnd w:id="537"/>
      <w:bookmarkEnd w:id="538"/>
      <w:bookmarkEnd w:id="539"/>
      <w:bookmarkEnd w:id="544"/>
      <w:bookmarkEnd w:id="545"/>
      <w:r>
        <w:t xml:space="preserve"> </w:t>
      </w:r>
      <w:bookmarkEnd w:id="540"/>
    </w:p>
    <w:p w:rsidR="00AD33D4" w:rsidRDefault="00AD33D4" w:rsidP="00AD33D4">
      <w:r>
        <w:t>The combination of basal insulin with a GLP-1 receptor agonist (GLP-1 RA) in a single daily injection is expected to lower HbA</w:t>
      </w:r>
      <w:r w:rsidRPr="007847C6">
        <w:rPr>
          <w:vertAlign w:val="subscript"/>
        </w:rPr>
        <w:t>1c</w:t>
      </w:r>
      <w:r>
        <w:t>, as a result of complementary action on both fasting and postprandial glucose, with less or no weight gain compared to insulin alone, and a limited increased risk of hypoglycemia.</w:t>
      </w:r>
    </w:p>
    <w:p w:rsidR="00AD33D4" w:rsidRDefault="00AD33D4" w:rsidP="00AD33D4">
      <w:r>
        <w:t xml:space="preserve">The primary efficacy analysis of this study comparing </w:t>
      </w:r>
      <w:r w:rsidR="00B20336" w:rsidRPr="00B77084">
        <w:t>FRC</w:t>
      </w:r>
      <w:r w:rsidR="00B20336">
        <w:t xml:space="preserve"> </w:t>
      </w:r>
      <w:r>
        <w:t>to GLP-1 receptor agonist will be based on the primary endpoint: change in HbA</w:t>
      </w:r>
      <w:r w:rsidRPr="007847C6">
        <w:rPr>
          <w:vertAlign w:val="subscript"/>
        </w:rPr>
        <w:t>1c</w:t>
      </w:r>
      <w:r>
        <w:t xml:space="preserve"> from baseline to </w:t>
      </w:r>
      <w:r w:rsidR="0007161F">
        <w:t xml:space="preserve">Week </w:t>
      </w:r>
      <w:r>
        <w:t>26.</w:t>
      </w:r>
    </w:p>
    <w:p w:rsidR="00AD33D4" w:rsidRDefault="00AD33D4" w:rsidP="00AD33D4">
      <w:r>
        <w:t>The concentration of HbA</w:t>
      </w:r>
      <w:r w:rsidRPr="007847C6">
        <w:rPr>
          <w:vertAlign w:val="subscript"/>
        </w:rPr>
        <w:t>1c</w:t>
      </w:r>
      <w:r>
        <w:t xml:space="preserve"> reflects the glycemic history of the previous 120 days and is thus an index of mean glycemia, documenting glycemic control over the past 2- to 3-months. HbA</w:t>
      </w:r>
      <w:r w:rsidRPr="007847C6">
        <w:rPr>
          <w:vertAlign w:val="subscript"/>
        </w:rPr>
        <w:t>1c</w:t>
      </w:r>
      <w:r>
        <w:t xml:space="preserve"> has also been shown to correlate with the development of long-term complications of diabetes, and reduction of HbA</w:t>
      </w:r>
      <w:r w:rsidRPr="007847C6">
        <w:rPr>
          <w:vertAlign w:val="subscript"/>
        </w:rPr>
        <w:t>1c</w:t>
      </w:r>
      <w:r>
        <w:t xml:space="preserve"> is known to reduce the risk of long-term microvascular complications. Therefore, HbA</w:t>
      </w:r>
      <w:r w:rsidRPr="00BC66F9">
        <w:rPr>
          <w:vertAlign w:val="subscript"/>
        </w:rPr>
        <w:t>1c</w:t>
      </w:r>
      <w:r>
        <w:t xml:space="preserve"> is considered an appropriate primary endpoint for assessing the effect of a treatment on glycemic control. In addition to the analysis of the change from baseline in HbA</w:t>
      </w:r>
      <w:r w:rsidRPr="00BC66F9">
        <w:rPr>
          <w:vertAlign w:val="subscript"/>
        </w:rPr>
        <w:t>1c</w:t>
      </w:r>
      <w:r>
        <w:t>, the responder analysis allows the clinical relevance of the reduction observed in HbA</w:t>
      </w:r>
      <w:r w:rsidRPr="00BC66F9">
        <w:rPr>
          <w:vertAlign w:val="subscript"/>
        </w:rPr>
        <w:t>1c</w:t>
      </w:r>
      <w:r>
        <w:t xml:space="preserve"> to be demonstrated. The duration of study treatment is considered to be sufficient for achieving stable conditions with IMP and for enabling an adequate assessment of time-dependent changes in HbA</w:t>
      </w:r>
      <w:r w:rsidRPr="00BC66F9">
        <w:rPr>
          <w:vertAlign w:val="subscript"/>
        </w:rPr>
        <w:t>1c</w:t>
      </w:r>
      <w:r>
        <w:t xml:space="preserve"> and the concomitant risk of hypoglycemia.</w:t>
      </w:r>
    </w:p>
    <w:p w:rsidR="00AD33D4" w:rsidRDefault="00AD33D4" w:rsidP="00AD33D4">
      <w:r>
        <w:t xml:space="preserve">The problem of weight gain in type 2 diabetes is widely recognized. More than 80% of individuals with type 2 diabetes are overweight, many at the time of diagnosis. Consequently, iatrogenic weight gain is not only unwelcome, but represents an important clinical issue that can become a barrier to the successful management of glycemic control. In this LixiLan-G study it is postulated that treatment intensification with the combination product will overcome the burden of weight gain that is typical when adding or up titrating basal insulin. Taking into account the </w:t>
      </w:r>
      <w:r>
        <w:lastRenderedPageBreak/>
        <w:t>major impact of insulin-related body weight gain, it is appropriate to include body weight change as secondary efficacy endpoint.</w:t>
      </w:r>
    </w:p>
    <w:p w:rsidR="00AD33D4" w:rsidRDefault="00AD33D4" w:rsidP="00AD33D4">
      <w:r>
        <w:t xml:space="preserve">Insulin glargine targets primarily, although not exclusively, fasting hyperglycemia, and lixisenatide effectively acts on post-prandial glycaemia mainly by slowing down gastric emptying. Therefore assessment of both fasting and post-prandial glucose (after a standardized meal) is relevant in this study. These 2 parameters are also considered by regulatory agencies to be supportive of efficacy of an antidiabetic agent. C-peptide, which is cleaved from insulin in secretory granules, is a known as a marker for β-cell function and will therefore be also evaluated. </w:t>
      </w:r>
    </w:p>
    <w:p w:rsidR="002F41EE" w:rsidRDefault="00AD33D4">
      <w:r>
        <w:t>Safety will be evaluated by standard clinical and laboratory measurements. Specific safety parameters of interest for a glucose lowering injectable peptide, such as symptomatic hypoglycemia, injection site reactions and potential allergic reactions, will also be assessed. In addition, due to the use of the GLP-1 receptor agonists, pancreatic enzymes (amylase and lipase) and serum calcitonin concentration will be monitored and reported over the study course according to specific procedures (</w:t>
      </w:r>
      <w:hyperlink w:anchor="_Ref434491927" w:history="1">
        <w:r w:rsidR="00C522CD" w:rsidRPr="00C522CD">
          <w:rPr>
            <w:rStyle w:val="Hyperlink"/>
            <w:u w:val="none"/>
          </w:rPr>
          <w:t>Section</w:t>
        </w:r>
      </w:hyperlink>
      <w:r w:rsidR="00C522CD">
        <w:t xml:space="preserve"> </w:t>
      </w:r>
      <w:r w:rsidR="00C522CD">
        <w:fldChar w:fldCharType="begin"/>
      </w:r>
      <w:r w:rsidR="00C522CD">
        <w:instrText xml:space="preserve"> REF _Ref434491927 \r \h </w:instrText>
      </w:r>
      <w:r w:rsidR="00C522CD">
        <w:fldChar w:fldCharType="separate"/>
      </w:r>
      <w:r w:rsidR="005A26F6">
        <w:t>10.6.4</w:t>
      </w:r>
      <w:r w:rsidR="00C522CD">
        <w:fldChar w:fldCharType="end"/>
      </w:r>
      <w:r>
        <w:t xml:space="preserve"> and </w:t>
      </w:r>
      <w:hyperlink w:anchor="_Ref434493644" w:history="1">
        <w:r w:rsidR="00C522CD" w:rsidRPr="00C522CD">
          <w:rPr>
            <w:rStyle w:val="Hyperlink"/>
            <w:u w:val="none"/>
          </w:rPr>
          <w:t>Section</w:t>
        </w:r>
      </w:hyperlink>
      <w:r w:rsidR="00C522CD">
        <w:t xml:space="preserve"> </w:t>
      </w:r>
      <w:r w:rsidR="00C522CD">
        <w:fldChar w:fldCharType="begin"/>
      </w:r>
      <w:r w:rsidR="00C522CD">
        <w:instrText xml:space="preserve"> REF _Ref434493644 \r \h </w:instrText>
      </w:r>
      <w:r w:rsidR="00C522CD">
        <w:fldChar w:fldCharType="separate"/>
      </w:r>
      <w:r w:rsidR="005A26F6">
        <w:t>10.6.5</w:t>
      </w:r>
      <w:r w:rsidR="00C522CD">
        <w:fldChar w:fldCharType="end"/>
      </w:r>
      <w:r>
        <w:t>).</w:t>
      </w:r>
      <w:bookmarkStart w:id="546" w:name="_Toc230747484"/>
      <w:bookmarkStart w:id="547" w:name="_Toc230747659"/>
      <w:bookmarkStart w:id="548" w:name="_Toc230748391"/>
      <w:bookmarkStart w:id="549" w:name="_Toc230750405"/>
      <w:bookmarkEnd w:id="546"/>
      <w:bookmarkEnd w:id="547"/>
      <w:bookmarkEnd w:id="548"/>
      <w:bookmarkEnd w:id="549"/>
    </w:p>
    <w:p w:rsidR="002F41EE" w:rsidRDefault="002F41EE">
      <w:pPr>
        <w:pStyle w:val="Heading1"/>
      </w:pPr>
      <w:bookmarkStart w:id="550" w:name="_Toc302136395"/>
      <w:bookmarkStart w:id="551" w:name="_Toc302371151"/>
      <w:bookmarkStart w:id="552" w:name="_Toc302136396"/>
      <w:bookmarkStart w:id="553" w:name="_Toc302371152"/>
      <w:bookmarkStart w:id="554" w:name="_Toc302136397"/>
      <w:bookmarkStart w:id="555" w:name="_Toc302371153"/>
      <w:bookmarkStart w:id="556" w:name="_Toc302136398"/>
      <w:bookmarkStart w:id="557" w:name="_Toc302371154"/>
      <w:bookmarkStart w:id="558" w:name="_Toc302136399"/>
      <w:bookmarkStart w:id="559" w:name="_Toc302371155"/>
      <w:bookmarkStart w:id="560" w:name="_Toc302136400"/>
      <w:bookmarkStart w:id="561" w:name="_Toc302371156"/>
      <w:bookmarkStart w:id="562" w:name="_Toc302136401"/>
      <w:bookmarkStart w:id="563" w:name="_Toc302371157"/>
      <w:bookmarkStart w:id="564" w:name="_Toc302136402"/>
      <w:bookmarkStart w:id="565" w:name="_Toc302371158"/>
      <w:bookmarkStart w:id="566" w:name="_Toc302136403"/>
      <w:bookmarkStart w:id="567" w:name="_Toc302371159"/>
      <w:bookmarkStart w:id="568" w:name="_Toc302136404"/>
      <w:bookmarkStart w:id="569" w:name="_Toc302371160"/>
      <w:bookmarkStart w:id="570" w:name="_Toc302136405"/>
      <w:bookmarkStart w:id="571" w:name="_Toc302371161"/>
      <w:bookmarkStart w:id="572" w:name="_Toc302136406"/>
      <w:bookmarkStart w:id="573" w:name="_Toc302371162"/>
      <w:bookmarkStart w:id="574" w:name="_Toc302136407"/>
      <w:bookmarkStart w:id="575" w:name="_Toc302371163"/>
      <w:bookmarkStart w:id="576" w:name="_Toc302136408"/>
      <w:bookmarkStart w:id="577" w:name="_Toc302371164"/>
      <w:bookmarkStart w:id="578" w:name="_Toc302136415"/>
      <w:bookmarkStart w:id="579" w:name="_Toc302371171"/>
      <w:bookmarkStart w:id="580" w:name="_Toc302136436"/>
      <w:bookmarkStart w:id="581" w:name="_Toc302371192"/>
      <w:bookmarkStart w:id="582" w:name="_Toc302136438"/>
      <w:bookmarkStart w:id="583" w:name="_Toc302371194"/>
      <w:bookmarkStart w:id="584" w:name="_Toc302136439"/>
      <w:bookmarkStart w:id="585" w:name="_Toc302371195"/>
      <w:bookmarkStart w:id="586" w:name="_Toc302136440"/>
      <w:bookmarkStart w:id="587" w:name="_Toc302371196"/>
      <w:bookmarkStart w:id="588" w:name="_Toc302136441"/>
      <w:bookmarkStart w:id="589" w:name="_Toc302371197"/>
      <w:bookmarkStart w:id="590" w:name="_Toc302136444"/>
      <w:bookmarkStart w:id="591" w:name="_Toc302371200"/>
      <w:bookmarkStart w:id="592" w:name="_Toc302136445"/>
      <w:bookmarkStart w:id="593" w:name="_Toc302371201"/>
      <w:bookmarkStart w:id="594" w:name="_Toc302136452"/>
      <w:bookmarkStart w:id="595" w:name="_Toc302371208"/>
      <w:bookmarkStart w:id="596" w:name="_Toc302136456"/>
      <w:bookmarkStart w:id="597" w:name="_Toc302371212"/>
      <w:bookmarkStart w:id="598" w:name="_Toc302136457"/>
      <w:bookmarkStart w:id="599" w:name="_Toc302371213"/>
      <w:bookmarkStart w:id="600" w:name="_Toc302136460"/>
      <w:bookmarkStart w:id="601" w:name="_Toc302371216"/>
      <w:bookmarkStart w:id="602" w:name="_Toc302136461"/>
      <w:bookmarkStart w:id="603" w:name="_Toc302371217"/>
      <w:bookmarkStart w:id="604" w:name="_Toc302136462"/>
      <w:bookmarkStart w:id="605" w:name="_Toc302371218"/>
      <w:bookmarkStart w:id="606" w:name="_Toc302136463"/>
      <w:bookmarkStart w:id="607" w:name="_Toc302371219"/>
      <w:bookmarkStart w:id="608" w:name="_Toc302136464"/>
      <w:bookmarkStart w:id="609" w:name="_Toc302371220"/>
      <w:bookmarkStart w:id="610" w:name="_Toc302136465"/>
      <w:bookmarkStart w:id="611" w:name="_Toc302371221"/>
      <w:bookmarkStart w:id="612" w:name="_Toc302136466"/>
      <w:bookmarkStart w:id="613" w:name="_Toc302371222"/>
      <w:bookmarkStart w:id="614" w:name="_Toc302136469"/>
      <w:bookmarkStart w:id="615" w:name="_Toc302371225"/>
      <w:bookmarkStart w:id="616" w:name="_Toc302136475"/>
      <w:bookmarkStart w:id="617" w:name="_Toc302371231"/>
      <w:bookmarkStart w:id="618" w:name="_Toc302136477"/>
      <w:bookmarkStart w:id="619" w:name="_Toc302371233"/>
      <w:bookmarkStart w:id="620" w:name="_Toc302136478"/>
      <w:bookmarkStart w:id="621" w:name="_Toc302371234"/>
      <w:bookmarkStart w:id="622" w:name="_Toc230747493"/>
      <w:bookmarkStart w:id="623" w:name="_Toc230747668"/>
      <w:bookmarkStart w:id="624" w:name="_Toc230748400"/>
      <w:bookmarkStart w:id="625" w:name="_Toc230750414"/>
      <w:bookmarkStart w:id="626" w:name="_Toc302136480"/>
      <w:bookmarkStart w:id="627" w:name="_Toc302371236"/>
      <w:bookmarkStart w:id="628" w:name="_Toc302136481"/>
      <w:bookmarkStart w:id="629" w:name="_Toc302371237"/>
      <w:bookmarkStart w:id="630" w:name="_Toc302136482"/>
      <w:bookmarkStart w:id="631" w:name="_Toc302371238"/>
      <w:bookmarkStart w:id="632" w:name="_Toc302136483"/>
      <w:bookmarkStart w:id="633" w:name="_Toc302371239"/>
      <w:bookmarkStart w:id="634" w:name="_Toc302136484"/>
      <w:bookmarkStart w:id="635" w:name="_Toc302371240"/>
      <w:bookmarkStart w:id="636" w:name="_Toc302136485"/>
      <w:bookmarkStart w:id="637" w:name="_Toc302371241"/>
      <w:bookmarkStart w:id="638" w:name="_Toc302136486"/>
      <w:bookmarkStart w:id="639" w:name="_Toc302371242"/>
      <w:bookmarkStart w:id="640" w:name="_Toc302136487"/>
      <w:bookmarkStart w:id="641" w:name="_Toc302371243"/>
      <w:bookmarkStart w:id="642" w:name="_Toc302136490"/>
      <w:bookmarkStart w:id="643" w:name="_Toc302371246"/>
      <w:bookmarkStart w:id="644" w:name="_Toc302136491"/>
      <w:bookmarkStart w:id="645" w:name="_Toc302371247"/>
      <w:bookmarkStart w:id="646" w:name="_Toc302136497"/>
      <w:bookmarkStart w:id="647" w:name="_Toc302371253"/>
      <w:bookmarkStart w:id="648" w:name="_Toc302136498"/>
      <w:bookmarkStart w:id="649" w:name="_Toc302371254"/>
      <w:bookmarkStart w:id="650" w:name="_Toc302136500"/>
      <w:bookmarkStart w:id="651" w:name="_Toc302371256"/>
      <w:bookmarkStart w:id="652" w:name="_Toc302136501"/>
      <w:bookmarkStart w:id="653" w:name="_Toc302371257"/>
      <w:bookmarkStart w:id="654" w:name="_Toc302136504"/>
      <w:bookmarkStart w:id="655" w:name="_Toc302371260"/>
      <w:bookmarkStart w:id="656" w:name="_Toc302136509"/>
      <w:bookmarkStart w:id="657" w:name="_Toc302371265"/>
      <w:bookmarkStart w:id="658" w:name="_Toc302136518"/>
      <w:bookmarkStart w:id="659" w:name="_Toc302371274"/>
      <w:bookmarkStart w:id="660" w:name="_Toc302136519"/>
      <w:bookmarkStart w:id="661" w:name="_Toc302371275"/>
      <w:bookmarkStart w:id="662" w:name="_Toc302136525"/>
      <w:bookmarkStart w:id="663" w:name="_Toc302371281"/>
      <w:bookmarkStart w:id="664" w:name="_Toc302136553"/>
      <w:bookmarkStart w:id="665" w:name="_Toc302371309"/>
      <w:bookmarkStart w:id="666" w:name="_Toc302136567"/>
      <w:bookmarkStart w:id="667" w:name="_Toc302371323"/>
      <w:bookmarkStart w:id="668" w:name="_Toc302136574"/>
      <w:bookmarkStart w:id="669" w:name="_Toc302371330"/>
      <w:bookmarkStart w:id="670" w:name="_Toc302136581"/>
      <w:bookmarkStart w:id="671" w:name="_Toc302371337"/>
      <w:bookmarkStart w:id="672" w:name="_Toc302136598"/>
      <w:bookmarkStart w:id="673" w:name="_Toc302371354"/>
      <w:bookmarkStart w:id="674" w:name="_Toc302136605"/>
      <w:bookmarkStart w:id="675" w:name="_Toc302371361"/>
      <w:bookmarkStart w:id="676" w:name="_Toc302136612"/>
      <w:bookmarkStart w:id="677" w:name="_Toc302371368"/>
      <w:bookmarkStart w:id="678" w:name="_Toc302136619"/>
      <w:bookmarkStart w:id="679" w:name="_Toc302371375"/>
      <w:bookmarkStart w:id="680" w:name="_Toc302136626"/>
      <w:bookmarkStart w:id="681" w:name="_Toc302371382"/>
      <w:bookmarkStart w:id="682" w:name="_Toc302136628"/>
      <w:bookmarkStart w:id="683" w:name="_Toc302371384"/>
      <w:bookmarkStart w:id="684" w:name="_Toc302136633"/>
      <w:bookmarkStart w:id="685" w:name="_Toc302371389"/>
      <w:bookmarkStart w:id="686" w:name="_Toc302136634"/>
      <w:bookmarkStart w:id="687" w:name="_Toc302371390"/>
      <w:bookmarkStart w:id="688" w:name="_Toc302136635"/>
      <w:bookmarkStart w:id="689" w:name="_Toc302371391"/>
      <w:bookmarkStart w:id="690" w:name="_Toc302136638"/>
      <w:bookmarkStart w:id="691" w:name="_Toc302371394"/>
      <w:bookmarkStart w:id="692" w:name="_Toc302136639"/>
      <w:bookmarkStart w:id="693" w:name="_Toc302371395"/>
      <w:bookmarkStart w:id="694" w:name="_Toc302136641"/>
      <w:bookmarkStart w:id="695" w:name="_Toc302371397"/>
      <w:bookmarkStart w:id="696" w:name="_Toc302136647"/>
      <w:bookmarkStart w:id="697" w:name="_Toc302371403"/>
      <w:bookmarkStart w:id="698" w:name="_Toc302136652"/>
      <w:bookmarkStart w:id="699" w:name="_Toc302371408"/>
      <w:bookmarkStart w:id="700" w:name="_Toc302136653"/>
      <w:bookmarkStart w:id="701" w:name="_Toc302371409"/>
      <w:bookmarkStart w:id="702" w:name="_Toc302136656"/>
      <w:bookmarkStart w:id="703" w:name="_Toc302371412"/>
      <w:bookmarkStart w:id="704" w:name="_Toc302136659"/>
      <w:bookmarkStart w:id="705" w:name="_Toc302371415"/>
      <w:bookmarkStart w:id="706" w:name="_Toc302136662"/>
      <w:bookmarkStart w:id="707" w:name="_Toc302371418"/>
      <w:bookmarkStart w:id="708" w:name="_Toc302136663"/>
      <w:bookmarkStart w:id="709" w:name="_Toc302371419"/>
      <w:bookmarkStart w:id="710" w:name="_Toc89161753"/>
      <w:bookmarkStart w:id="711" w:name="_Toc128558661"/>
      <w:bookmarkStart w:id="712" w:name="_Toc129597748"/>
      <w:bookmarkStart w:id="713" w:name="_Toc130200198"/>
      <w:bookmarkStart w:id="714" w:name="_Toc130368779"/>
      <w:bookmarkStart w:id="715" w:name="_Toc130368909"/>
      <w:bookmarkStart w:id="716" w:name="_Toc130703417"/>
      <w:bookmarkStart w:id="717" w:name="_Ref278898889"/>
      <w:bookmarkStart w:id="718" w:name="_Ref278898908"/>
      <w:bookmarkStart w:id="719" w:name="_Ref298176902"/>
      <w:bookmarkStart w:id="720" w:name="_Ref298177327"/>
      <w:bookmarkStart w:id="721" w:name="_Ref298260293"/>
      <w:bookmarkStart w:id="722" w:name="_Ref298688537"/>
      <w:bookmarkStart w:id="723" w:name="_Toc382298114"/>
      <w:bookmarkStart w:id="724" w:name="_Toc443035884"/>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r>
        <w:lastRenderedPageBreak/>
        <w:t>Study procedures</w:t>
      </w:r>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p>
    <w:p w:rsidR="00A22D53" w:rsidRPr="00A22D53" w:rsidRDefault="00A22D53" w:rsidP="00A22D53">
      <w:r w:rsidRPr="00A22D53">
        <w:t xml:space="preserve">This section is to summarize information not presented in the flow chart or in </w:t>
      </w:r>
      <w:hyperlink w:anchor="_Ref44315140" w:history="1">
        <w:r w:rsidR="00C522CD" w:rsidRPr="00C522CD">
          <w:rPr>
            <w:rStyle w:val="Hyperlink"/>
            <w:u w:val="none"/>
          </w:rPr>
          <w:t>Section</w:t>
        </w:r>
      </w:hyperlink>
      <w:r w:rsidR="00C522CD">
        <w:t xml:space="preserve"> </w:t>
      </w:r>
      <w:r w:rsidR="00C522CD">
        <w:fldChar w:fldCharType="begin"/>
      </w:r>
      <w:r w:rsidR="00C522CD">
        <w:instrText xml:space="preserve"> REF _Ref44315140 \r \h </w:instrText>
      </w:r>
      <w:r w:rsidR="00C522CD">
        <w:fldChar w:fldCharType="separate"/>
      </w:r>
      <w:r w:rsidR="005A26F6">
        <w:t>9</w:t>
      </w:r>
      <w:r w:rsidR="00C522CD">
        <w:fldChar w:fldCharType="end"/>
      </w:r>
      <w:r w:rsidRPr="00A22D53">
        <w:t>.</w:t>
      </w:r>
    </w:p>
    <w:p w:rsidR="002F41EE" w:rsidRDefault="002F41EE">
      <w:pPr>
        <w:pStyle w:val="Heading2"/>
      </w:pPr>
      <w:bookmarkStart w:id="725" w:name="_Toc382298115"/>
      <w:bookmarkStart w:id="726" w:name="_Toc443035885"/>
      <w:r w:rsidRPr="000E246D">
        <w:t>Visit schedule</w:t>
      </w:r>
      <w:bookmarkEnd w:id="725"/>
      <w:bookmarkEnd w:id="726"/>
    </w:p>
    <w:p w:rsidR="000E246D" w:rsidRDefault="000E246D" w:rsidP="000E246D">
      <w:r>
        <w:t xml:space="preserve">The visit schedule and procedures/assessments listed in the “Study Flow Chart” in </w:t>
      </w:r>
      <w:hyperlink w:anchor="_Ref442689575" w:history="1">
        <w:r w:rsidR="00C522CD" w:rsidRPr="00C522CD">
          <w:rPr>
            <w:rStyle w:val="Hyperlink"/>
            <w:u w:val="none"/>
          </w:rPr>
          <w:t>Section</w:t>
        </w:r>
      </w:hyperlink>
      <w:r w:rsidR="00C522CD">
        <w:t xml:space="preserve"> </w:t>
      </w:r>
      <w:r w:rsidR="00C522CD">
        <w:fldChar w:fldCharType="begin"/>
      </w:r>
      <w:r w:rsidR="00C522CD">
        <w:instrText xml:space="preserve"> REF _Ref442689575 \r \h </w:instrText>
      </w:r>
      <w:r w:rsidR="00C522CD">
        <w:fldChar w:fldCharType="separate"/>
      </w:r>
      <w:r w:rsidR="005A26F6">
        <w:t>1.2</w:t>
      </w:r>
      <w:r w:rsidR="00C522CD">
        <w:fldChar w:fldCharType="end"/>
      </w:r>
      <w:r>
        <w:t xml:space="preserve"> are not repeated in this section. The aim of this section is to provide details on how some of the procedures/assessments have to be performed.</w:t>
      </w:r>
    </w:p>
    <w:p w:rsidR="000E246D" w:rsidRDefault="000E246D" w:rsidP="000E246D">
      <w:r>
        <w:t xml:space="preserve">This is an outpatient study and consists of </w:t>
      </w:r>
      <w:r w:rsidRPr="00D11A7F">
        <w:t>1</w:t>
      </w:r>
      <w:r w:rsidR="008B45CF" w:rsidRPr="00D11A7F">
        <w:t xml:space="preserve">0 </w:t>
      </w:r>
      <w:r>
        <w:t xml:space="preserve">on-site visits, </w:t>
      </w:r>
      <w:r w:rsidR="0067548A" w:rsidRPr="00D11A7F">
        <w:t>8</w:t>
      </w:r>
      <w:r w:rsidR="0067548A">
        <w:t xml:space="preserve"> </w:t>
      </w:r>
      <w:r>
        <w:t xml:space="preserve">titration phone calls (only for </w:t>
      </w:r>
      <w:r w:rsidR="00A92A72" w:rsidRPr="00D11A7F">
        <w:t>FRC</w:t>
      </w:r>
      <w:r w:rsidR="00A92A72">
        <w:t xml:space="preserve"> arm</w:t>
      </w:r>
      <w:r>
        <w:t>) and 11 phone-call visits. Additional, optional phone call visits to monitor insulin glargine/lixisenatide combination dose adjustment should be scheduled whenever considered necessary by the Investigator.</w:t>
      </w:r>
    </w:p>
    <w:p w:rsidR="000E246D" w:rsidRDefault="000E246D" w:rsidP="000E246D">
      <w:r>
        <w:t xml:space="preserve">The patient has to be fasting for all on-site visits. For all these visits, the patient should be seen in the morning, at approximately the same time, as far as possible. The patient should take metformin and pioglitazone (if applicable) treatment and inject the </w:t>
      </w:r>
      <w:r w:rsidR="001E5F67" w:rsidRPr="00D11A7F">
        <w:t>FRC</w:t>
      </w:r>
      <w:r w:rsidR="001E5F67">
        <w:t xml:space="preserve"> </w:t>
      </w:r>
      <w:r>
        <w:t xml:space="preserve">or Victoza® or Byetta® (if injected in the morning) at the investigational site after the fasting blood sample has been drawn. </w:t>
      </w:r>
      <w:r w:rsidR="00636B28" w:rsidRPr="00D11A7F">
        <w:t xml:space="preserve">Patients taking Bydureon®, Tanzeum®/Eperzan®, or Trulicity® should follow their usual weekly injection schedule, and therefore do not </w:t>
      </w:r>
      <w:r w:rsidR="003146EE" w:rsidRPr="00D11A7F">
        <w:t xml:space="preserve">necessarily </w:t>
      </w:r>
      <w:r w:rsidR="00636B28" w:rsidRPr="00D11A7F">
        <w:t>need to inject at the investigational site on the day of an on-site visit.</w:t>
      </w:r>
    </w:p>
    <w:p w:rsidR="000E246D" w:rsidRDefault="000E246D" w:rsidP="000E246D">
      <w:r>
        <w:t xml:space="preserve">The </w:t>
      </w:r>
      <w:r w:rsidRPr="003146EE">
        <w:rPr>
          <w:b/>
        </w:rPr>
        <w:t>fasting condition</w:t>
      </w:r>
      <w:r>
        <w:t xml:space="preserve"> is defined as an overnight fast no less than 8 hours that consisted of no food or liquid intake, other than water. IMP</w:t>
      </w:r>
      <w:r w:rsidR="003146EE">
        <w:t xml:space="preserve"> </w:t>
      </w:r>
      <w:r w:rsidR="003146EE" w:rsidRPr="00D11A7F">
        <w:t>(not including the once weekly GLP-1 RAs)</w:t>
      </w:r>
      <w:r>
        <w:t xml:space="preserve"> and other glucose-lowering agents (ie, metformin with or without pioglitazone) should be administered after the fasting blood sample is drawn for all laboratory tests on the study site.</w:t>
      </w:r>
    </w:p>
    <w:p w:rsidR="000E246D" w:rsidRDefault="000E246D" w:rsidP="000E246D">
      <w:r w:rsidRPr="003146EE">
        <w:rPr>
          <w:b/>
        </w:rPr>
        <w:t>Note:</w:t>
      </w:r>
      <w:r>
        <w:t xml:space="preserve"> If the patient is not fasting at the visits specified above, the blood sample will not be collected and a new appointment should be given to the patient for the following day if possible, with instruction to be fasted.</w:t>
      </w:r>
    </w:p>
    <w:p w:rsidR="000E246D" w:rsidRDefault="000E246D" w:rsidP="000E246D">
      <w:r w:rsidRPr="003146EE">
        <w:rPr>
          <w:b/>
        </w:rPr>
        <w:t>Visit window:</w:t>
      </w:r>
      <w:r>
        <w:t xml:space="preserve"> During the screening period and for randomization visit (V3) a visit window of ±</w:t>
      </w:r>
      <w:r w:rsidR="00E37F9A">
        <w:t> 3 </w:t>
      </w:r>
      <w:r>
        <w:t xml:space="preserve">days is acceptable, taking the date of V2 as reference for the randomization V3. During the treatment period a visit window of ± 3 days is acceptable for V5 to V19 (except for additional titration calls for </w:t>
      </w:r>
      <w:r w:rsidR="001E5F67" w:rsidRPr="00D11A7F">
        <w:t>FRC</w:t>
      </w:r>
      <w:r w:rsidR="001E5F67">
        <w:t xml:space="preserve"> </w:t>
      </w:r>
      <w:r>
        <w:t xml:space="preserve">treatment, see </w:t>
      </w:r>
      <w:hyperlink w:anchor="_Ref434493666" w:history="1">
        <w:r w:rsidR="00C522CD" w:rsidRPr="00C522CD">
          <w:rPr>
            <w:rStyle w:val="Hyperlink"/>
            <w:u w:val="none"/>
          </w:rPr>
          <w:t>Section</w:t>
        </w:r>
      </w:hyperlink>
      <w:r w:rsidR="00C522CD">
        <w:t xml:space="preserve"> </w:t>
      </w:r>
      <w:r w:rsidR="00C522CD">
        <w:fldChar w:fldCharType="begin"/>
      </w:r>
      <w:r w:rsidR="00C522CD">
        <w:instrText xml:space="preserve"> REF _Ref434493666 \r \h </w:instrText>
      </w:r>
      <w:r w:rsidR="00C522CD">
        <w:fldChar w:fldCharType="separate"/>
      </w:r>
      <w:r w:rsidR="005A26F6">
        <w:t>10.1.2.4</w:t>
      </w:r>
      <w:r w:rsidR="00C522CD">
        <w:fldChar w:fldCharType="end"/>
      </w:r>
      <w:r>
        <w:t>), and a visit window of ± 5 days is acceptable from V19 to V28. A visit window of -1 day or + 3 days for the post-treatment follow-up visit (V29) is acceptable using the day of V28 as reference. If one visit date is changed, the next visit should take place according to the original schedule.</w:t>
      </w:r>
    </w:p>
    <w:p w:rsidR="000E246D" w:rsidRDefault="003146EE" w:rsidP="003146EE">
      <w:pPr>
        <w:pStyle w:val="Heading3"/>
      </w:pPr>
      <w:bookmarkStart w:id="727" w:name="_Ref433985583"/>
      <w:bookmarkStart w:id="728" w:name="_Toc443035886"/>
      <w:r w:rsidRPr="003146EE">
        <w:t>Screening period (</w:t>
      </w:r>
      <w:r w:rsidR="0007161F">
        <w:t xml:space="preserve">Week </w:t>
      </w:r>
      <w:r w:rsidRPr="003146EE">
        <w:t xml:space="preserve">-2 up to </w:t>
      </w:r>
      <w:r w:rsidR="0007161F">
        <w:t xml:space="preserve">Week </w:t>
      </w:r>
      <w:r w:rsidRPr="003146EE">
        <w:t>0)</w:t>
      </w:r>
      <w:bookmarkEnd w:id="727"/>
      <w:bookmarkEnd w:id="728"/>
    </w:p>
    <w:p w:rsidR="003146EE" w:rsidRDefault="003146EE" w:rsidP="003146EE">
      <w:r>
        <w:t xml:space="preserve">The screening period is about 2 weeks and includes the screening phase which is up to two weeks ±3 days from screening visit (V1, </w:t>
      </w:r>
      <w:r w:rsidR="0007161F">
        <w:t xml:space="preserve">Week </w:t>
      </w:r>
      <w:r>
        <w:t xml:space="preserve">-2) to baseline visit (V3, </w:t>
      </w:r>
      <w:r w:rsidR="0007161F">
        <w:t xml:space="preserve">Week </w:t>
      </w:r>
      <w:r>
        <w:t>0).</w:t>
      </w:r>
      <w:r w:rsidR="00366F53">
        <w:t xml:space="preserve"> </w:t>
      </w:r>
      <w:r w:rsidR="00366F53" w:rsidRPr="00D11A7F">
        <w:t xml:space="preserve">The screening period </w:t>
      </w:r>
      <w:r w:rsidR="00366F53" w:rsidRPr="00D11A7F">
        <w:lastRenderedPageBreak/>
        <w:t>must be a minimum of 1 week duration in order to ensure availability of IMP at the site (IMP must be available for the site to conduct the baseline visit)</w:t>
      </w:r>
      <w:r w:rsidR="00175800" w:rsidRPr="00D11A7F">
        <w:t xml:space="preserve">. </w:t>
      </w:r>
      <w:r w:rsidR="00366F53" w:rsidRPr="00D11A7F">
        <w:t>It must also be long enough to collect the data to establish if the patient satisfies the inclusion/exclusion criteria.</w:t>
      </w:r>
    </w:p>
    <w:p w:rsidR="003146EE" w:rsidRDefault="003146EE" w:rsidP="003146EE">
      <w:r>
        <w:t xml:space="preserve">Only patients who meet the inclusion criteria as noted in </w:t>
      </w:r>
      <w:hyperlink w:anchor="_Ref442689601" w:history="1">
        <w:r w:rsidR="00C522CD" w:rsidRPr="00C522CD">
          <w:rPr>
            <w:rStyle w:val="Hyperlink"/>
            <w:u w:val="none"/>
          </w:rPr>
          <w:t>Section</w:t>
        </w:r>
      </w:hyperlink>
      <w:r w:rsidR="00C522CD">
        <w:t xml:space="preserve"> </w:t>
      </w:r>
      <w:r w:rsidR="00C522CD">
        <w:fldChar w:fldCharType="begin"/>
      </w:r>
      <w:r w:rsidR="00C522CD">
        <w:instrText xml:space="preserve"> REF _Ref442689601 \r \h </w:instrText>
      </w:r>
      <w:r w:rsidR="00C522CD">
        <w:fldChar w:fldCharType="separate"/>
      </w:r>
      <w:r w:rsidR="005A26F6">
        <w:t>7.1</w:t>
      </w:r>
      <w:r w:rsidR="00C522CD">
        <w:fldChar w:fldCharType="end"/>
      </w:r>
      <w:r>
        <w:t xml:space="preserve"> may be screened. It will be the Investigator’s responsibility to confirm the diagnosis of T2DM.</w:t>
      </w:r>
    </w:p>
    <w:p w:rsidR="003146EE" w:rsidRDefault="003146EE" w:rsidP="003146EE">
      <w:r>
        <w:t xml:space="preserve">During the screening period the patients should continue their anti-hyperglycemic treatment as before the screening visit, ie, their background therapy (please see </w:t>
      </w:r>
      <w:hyperlink w:anchor="_Ref442689610" w:history="1">
        <w:r w:rsidR="00C522CD" w:rsidRPr="00C522CD">
          <w:rPr>
            <w:rStyle w:val="Hyperlink"/>
            <w:u w:val="none"/>
          </w:rPr>
          <w:t>Section</w:t>
        </w:r>
      </w:hyperlink>
      <w:r w:rsidR="00C522CD">
        <w:t xml:space="preserve"> </w:t>
      </w:r>
      <w:r w:rsidR="00C522CD">
        <w:fldChar w:fldCharType="begin"/>
      </w:r>
      <w:r w:rsidR="00C522CD">
        <w:instrText xml:space="preserve"> REF _Ref442689610 \r \h </w:instrText>
      </w:r>
      <w:r w:rsidR="00C522CD">
        <w:fldChar w:fldCharType="separate"/>
      </w:r>
      <w:r w:rsidR="005A26F6">
        <w:t>8.2</w:t>
      </w:r>
      <w:r w:rsidR="00C522CD">
        <w:fldChar w:fldCharType="end"/>
      </w:r>
      <w:r>
        <w:t xml:space="preserve"> for details) as well as their </w:t>
      </w:r>
      <w:r w:rsidR="00A12E70">
        <w:t xml:space="preserve">GLP-1 RA treatment (Victoza®, </w:t>
      </w:r>
      <w:r>
        <w:t>Byetta®</w:t>
      </w:r>
      <w:r w:rsidR="00A12E70">
        <w:t xml:space="preserve">, </w:t>
      </w:r>
      <w:r w:rsidR="00A12E70" w:rsidRPr="00D11A7F">
        <w:t>Bydureon®, Tanzeum®/Eperzan®, or Trulicity®</w:t>
      </w:r>
      <w:r>
        <w:t xml:space="preserve">). </w:t>
      </w:r>
    </w:p>
    <w:p w:rsidR="003146EE" w:rsidRDefault="003146EE" w:rsidP="003146EE">
      <w:r>
        <w:t xml:space="preserve">All laboratory tests measured at a central laboratory that are needed for checking the exclusion criteria of the patients are performed at the screening visit (V1). After the screening period, patients who meet the selection criteria at the end of screening period as noted in </w:t>
      </w:r>
      <w:hyperlink w:anchor="_Ref442689630" w:history="1">
        <w:r w:rsidR="00C522CD" w:rsidRPr="00C522CD">
          <w:rPr>
            <w:rStyle w:val="Hyperlink"/>
            <w:u w:val="none"/>
          </w:rPr>
          <w:t>Section</w:t>
        </w:r>
      </w:hyperlink>
      <w:r w:rsidR="00C522CD">
        <w:t xml:space="preserve"> </w:t>
      </w:r>
      <w:r w:rsidR="00C522CD">
        <w:fldChar w:fldCharType="begin"/>
      </w:r>
      <w:r w:rsidR="00C522CD">
        <w:instrText xml:space="preserve"> REF _Ref442689630 \r \h </w:instrText>
      </w:r>
      <w:r w:rsidR="00C522CD">
        <w:fldChar w:fldCharType="separate"/>
      </w:r>
      <w:r w:rsidR="005A26F6">
        <w:t>7</w:t>
      </w:r>
      <w:r w:rsidR="00C522CD">
        <w:fldChar w:fldCharType="end"/>
      </w:r>
      <w:r>
        <w:t xml:space="preserve"> can enter into the open-label randomized treatment period. If any of the laboratory parameters are not available at the end of the screening period (eg, sample material damaged during transpor</w:t>
      </w:r>
      <w:r w:rsidR="00E37F9A">
        <w:t>t…</w:t>
      </w:r>
      <w:r>
        <w:t>), a retest can be performed. Retesting done by the Central Laboratory for quality purposes by the reference lab for HbA</w:t>
      </w:r>
      <w:r w:rsidRPr="00BC66F9">
        <w:rPr>
          <w:vertAlign w:val="subscript"/>
        </w:rPr>
        <w:t>1c</w:t>
      </w:r>
      <w:r>
        <w:t xml:space="preserve"> cannot be used for screening purposes. Exceptionally, if justified according to the Investigator and after discussion with the medical monitor, this screening period can be extended by one additional week. This may occur in, but is not limited to, examples such as when source documentation (eg, from patient’s primary physician) needs to be obtained to confirm the diagnosis of type 2 diabetes, when screening laboratory results demand further clarification, or in cases where there is a delay in IMP supply or when the patient requires additional training and time to demonstrate compliance. Randomization V3 (baseline, Day 1) cannot be scheduled later than 3 weeks (± 3 days) after the screening visit (V1, Week -2).</w:t>
      </w:r>
    </w:p>
    <w:p w:rsidR="00175800" w:rsidRDefault="00175800" w:rsidP="00175800">
      <w:pPr>
        <w:pStyle w:val="Heading4"/>
      </w:pPr>
      <w:bookmarkStart w:id="729" w:name="_Toc443035887"/>
      <w:r w:rsidRPr="00175800">
        <w:t xml:space="preserve">On-site visits: V1 (screening visit, </w:t>
      </w:r>
      <w:r w:rsidR="0007161F">
        <w:t xml:space="preserve">Week </w:t>
      </w:r>
      <w:r w:rsidRPr="00175800">
        <w:t>-2); V2 (</w:t>
      </w:r>
      <w:r w:rsidR="0007161F">
        <w:t xml:space="preserve">Week </w:t>
      </w:r>
      <w:r w:rsidRPr="00175800">
        <w:t>-1)</w:t>
      </w:r>
      <w:bookmarkEnd w:id="729"/>
    </w:p>
    <w:p w:rsidR="00175800" w:rsidRDefault="00175800" w:rsidP="00175800">
      <w:r>
        <w:t xml:space="preserve">For the complete list and contents of procedures/assessments scheduled for the screening period, please refer to the “Study Flow Chart” in </w:t>
      </w:r>
      <w:hyperlink w:anchor="_Ref442689644" w:history="1">
        <w:r w:rsidR="00DC79D4" w:rsidRPr="00DC79D4">
          <w:rPr>
            <w:rStyle w:val="Hyperlink"/>
            <w:u w:val="none"/>
          </w:rPr>
          <w:t>Section</w:t>
        </w:r>
      </w:hyperlink>
      <w:r w:rsidR="00DC79D4">
        <w:t xml:space="preserve"> </w:t>
      </w:r>
      <w:r w:rsidR="00DC79D4">
        <w:fldChar w:fldCharType="begin"/>
      </w:r>
      <w:r w:rsidR="00DC79D4">
        <w:instrText xml:space="preserve"> REF _Ref442689644 \r \h </w:instrText>
      </w:r>
      <w:r w:rsidR="00DC79D4">
        <w:fldChar w:fldCharType="separate"/>
      </w:r>
      <w:r w:rsidR="005A26F6">
        <w:t>1.2</w:t>
      </w:r>
      <w:r w:rsidR="00DC79D4">
        <w:fldChar w:fldCharType="end"/>
      </w:r>
      <w:r>
        <w:t xml:space="preserve"> and for detailed description of assessments </w:t>
      </w:r>
      <w:hyperlink w:anchor="_Ref44315140" w:history="1">
        <w:r w:rsidR="00DC79D4" w:rsidRPr="00DC79D4">
          <w:rPr>
            <w:rStyle w:val="Hyperlink"/>
            <w:u w:val="none"/>
          </w:rPr>
          <w:t>Section</w:t>
        </w:r>
      </w:hyperlink>
      <w:r w:rsidR="00DC79D4">
        <w:t xml:space="preserve"> </w:t>
      </w:r>
      <w:r w:rsidR="00DC79D4">
        <w:fldChar w:fldCharType="begin"/>
      </w:r>
      <w:r w:rsidR="00DC79D4">
        <w:instrText xml:space="preserve"> REF _Ref44315140 \r \h </w:instrText>
      </w:r>
      <w:r w:rsidR="00DC79D4">
        <w:fldChar w:fldCharType="separate"/>
      </w:r>
      <w:r w:rsidR="005A26F6">
        <w:t>9</w:t>
      </w:r>
      <w:r w:rsidR="00DC79D4">
        <w:fldChar w:fldCharType="end"/>
      </w:r>
      <w:r>
        <w:t xml:space="preserve"> and </w:t>
      </w:r>
      <w:hyperlink w:anchor="_Ref442689671" w:history="1">
        <w:r w:rsidR="00DC79D4" w:rsidRPr="00DC79D4">
          <w:rPr>
            <w:rStyle w:val="Hyperlink"/>
            <w:u w:val="none"/>
          </w:rPr>
          <w:t>Section</w:t>
        </w:r>
      </w:hyperlink>
      <w:r w:rsidR="00DC79D4">
        <w:t xml:space="preserve"> </w:t>
      </w:r>
      <w:r w:rsidR="00DC79D4">
        <w:fldChar w:fldCharType="begin"/>
      </w:r>
      <w:r w:rsidR="00DC79D4">
        <w:instrText xml:space="preserve"> REF _Ref442689671 \r \h </w:instrText>
      </w:r>
      <w:r w:rsidR="00DC79D4">
        <w:fldChar w:fldCharType="separate"/>
      </w:r>
      <w:r w:rsidR="005A26F6">
        <w:t>10.6</w:t>
      </w:r>
      <w:r w:rsidR="00DC79D4">
        <w:fldChar w:fldCharType="end"/>
      </w:r>
      <w:r>
        <w:t>.</w:t>
      </w:r>
    </w:p>
    <w:p w:rsidR="00175800" w:rsidRDefault="00175800" w:rsidP="00175800">
      <w:r>
        <w:t>The details of the procedures/assessments to be performed at on-site visits during the screening period and which are not described elsewhere are provided below:</w:t>
      </w:r>
    </w:p>
    <w:p w:rsidR="00175800" w:rsidRPr="00175800" w:rsidRDefault="00175800" w:rsidP="00175800">
      <w:pPr>
        <w:rPr>
          <w:b/>
        </w:rPr>
      </w:pPr>
      <w:r w:rsidRPr="00175800">
        <w:rPr>
          <w:b/>
        </w:rPr>
        <w:t>Informed consent</w:t>
      </w:r>
    </w:p>
    <w:p w:rsidR="00175800" w:rsidRDefault="00175800" w:rsidP="00175800">
      <w:r>
        <w:t>The patient will receive verbal information concerning the aims and methods of the study, its constraints and risks and the study duration at the screening visit. Written information will be provided to the patient and must be signed by the patient and Investigator prior to any investigations.</w:t>
      </w:r>
    </w:p>
    <w:p w:rsidR="00175800" w:rsidRPr="00175800" w:rsidRDefault="00175800" w:rsidP="00C24D12">
      <w:pPr>
        <w:keepNext/>
        <w:rPr>
          <w:b/>
        </w:rPr>
      </w:pPr>
      <w:r w:rsidRPr="00175800">
        <w:rPr>
          <w:b/>
        </w:rPr>
        <w:lastRenderedPageBreak/>
        <w:t>Demography, diabetes and medical/surgical history, cardiovascular &amp; allergy history, alcohol and smoking habits, and medications</w:t>
      </w:r>
    </w:p>
    <w:p w:rsidR="00175800" w:rsidRDefault="00175800" w:rsidP="00175800">
      <w:r>
        <w:t>Demography data such as birth date, gender and race will be collected. Collection of diabetes history will include documentation of duration of diabetes, history of microvascular complications (retinopathy, neuropathy, and nephropathy), and history of gestational diabetes if applicable. Medical/surgical history including patient’s cardiovascular and allergy history, and patient’s family diabetes history will be recorded. Data for alcohol habits during the last 12 months before screening visit and smoking habits will be collected.</w:t>
      </w:r>
    </w:p>
    <w:p w:rsidR="00175800" w:rsidRDefault="00175800" w:rsidP="00175800">
      <w:r>
        <w:t>Check of previous and/or current medication refers to documentation of medication including glucose-lowering agents and over-the-counter medications. In women of child-bearing potential, the contraceptive method(s) have to be documented.</w:t>
      </w:r>
    </w:p>
    <w:p w:rsidR="00175800" w:rsidRPr="00175800" w:rsidRDefault="00175800" w:rsidP="00175800">
      <w:pPr>
        <w:rPr>
          <w:b/>
        </w:rPr>
      </w:pPr>
      <w:r w:rsidRPr="00175800">
        <w:rPr>
          <w:b/>
        </w:rPr>
        <w:t>Diet and lifestyle counseling</w:t>
      </w:r>
    </w:p>
    <w:p w:rsidR="00175800" w:rsidRDefault="00175800" w:rsidP="00175800">
      <w:r>
        <w:t xml:space="preserve">Please see </w:t>
      </w:r>
      <w:hyperlink w:anchor="_Ref433977865" w:history="1">
        <w:r w:rsidR="00DC79D4" w:rsidRPr="00DC79D4">
          <w:rPr>
            <w:rStyle w:val="Hyperlink"/>
            <w:u w:val="none"/>
          </w:rPr>
          <w:t>Section</w:t>
        </w:r>
      </w:hyperlink>
      <w:r w:rsidR="00DC79D4">
        <w:t xml:space="preserve"> </w:t>
      </w:r>
      <w:r w:rsidR="00DC79D4">
        <w:fldChar w:fldCharType="begin"/>
      </w:r>
      <w:r w:rsidR="00DC79D4">
        <w:instrText xml:space="preserve"> REF _Ref433977865 \r \h </w:instrText>
      </w:r>
      <w:r w:rsidR="00DC79D4">
        <w:fldChar w:fldCharType="separate"/>
      </w:r>
      <w:r w:rsidR="005A26F6">
        <w:t>8.2.2</w:t>
      </w:r>
      <w:r w:rsidR="00DC79D4">
        <w:fldChar w:fldCharType="end"/>
      </w:r>
      <w:r>
        <w:t>.</w:t>
      </w:r>
    </w:p>
    <w:p w:rsidR="00175800" w:rsidRPr="00175800" w:rsidRDefault="00175800" w:rsidP="00175800">
      <w:pPr>
        <w:rPr>
          <w:b/>
        </w:rPr>
      </w:pPr>
      <w:r w:rsidRPr="00175800">
        <w:rPr>
          <w:b/>
        </w:rPr>
        <w:t>IVRS/IWRS contact</w:t>
      </w:r>
    </w:p>
    <w:p w:rsidR="00175800" w:rsidRDefault="00175800" w:rsidP="00175800">
      <w:r>
        <w:t>IVRS/IWRS will be contacted for notification of screening and patient number allocation (</w:t>
      </w:r>
      <w:hyperlink w:anchor="_Ref442689696" w:history="1">
        <w:r w:rsidR="00DC79D4" w:rsidRPr="00DC79D4">
          <w:rPr>
            <w:rStyle w:val="Hyperlink"/>
            <w:u w:val="none"/>
          </w:rPr>
          <w:t>Section</w:t>
        </w:r>
      </w:hyperlink>
      <w:r w:rsidR="00DC79D4">
        <w:t> </w:t>
      </w:r>
      <w:r w:rsidR="00DC79D4">
        <w:fldChar w:fldCharType="begin"/>
      </w:r>
      <w:r w:rsidR="00DC79D4">
        <w:instrText xml:space="preserve"> REF _Ref442689696 \r \h </w:instrText>
      </w:r>
      <w:r w:rsidR="00DC79D4">
        <w:fldChar w:fldCharType="separate"/>
      </w:r>
      <w:r w:rsidR="005A26F6">
        <w:t>8.4</w:t>
      </w:r>
      <w:r w:rsidR="00DC79D4">
        <w:fldChar w:fldCharType="end"/>
      </w:r>
      <w:r>
        <w:t>). Please note that it is important to have the IVRS/IWRS contact before any blood sample is drawn because the patient number is given by IVRS/IWRS and it must be reported on the laboratory requisition forms.</w:t>
      </w:r>
    </w:p>
    <w:p w:rsidR="00175800" w:rsidRPr="00175800" w:rsidRDefault="00175800" w:rsidP="00175800">
      <w:pPr>
        <w:rPr>
          <w:b/>
        </w:rPr>
      </w:pPr>
      <w:r w:rsidRPr="00175800">
        <w:rPr>
          <w:b/>
        </w:rPr>
        <w:t>Compliance check</w:t>
      </w:r>
    </w:p>
    <w:p w:rsidR="00175800" w:rsidRDefault="00175800" w:rsidP="00175800">
      <w:r>
        <w:t>Compliance check includes compliance to metformin (and pioglitazone if appropriate), GLP-1 RA treatment and use of glucometer, review of fasting SMPG values and patient diary.</w:t>
      </w:r>
    </w:p>
    <w:p w:rsidR="00175800" w:rsidRPr="00175800" w:rsidRDefault="00175800" w:rsidP="00175800">
      <w:pPr>
        <w:rPr>
          <w:b/>
        </w:rPr>
      </w:pPr>
      <w:r w:rsidRPr="00175800">
        <w:rPr>
          <w:b/>
        </w:rPr>
        <w:t>Glucometer dispensation and training</w:t>
      </w:r>
    </w:p>
    <w:p w:rsidR="00175800" w:rsidRDefault="00175800" w:rsidP="00175800">
      <w:r>
        <w:t xml:space="preserve">Please see </w:t>
      </w:r>
      <w:hyperlink w:anchor="_Ref442278346" w:history="1">
        <w:r w:rsidR="00DC79D4" w:rsidRPr="00DC79D4">
          <w:rPr>
            <w:rStyle w:val="Hyperlink"/>
            <w:u w:val="none"/>
          </w:rPr>
          <w:t>Section</w:t>
        </w:r>
      </w:hyperlink>
      <w:r w:rsidR="00DC79D4">
        <w:t xml:space="preserve"> </w:t>
      </w:r>
      <w:r w:rsidR="00DC79D4">
        <w:fldChar w:fldCharType="begin"/>
      </w:r>
      <w:r w:rsidR="00DC79D4">
        <w:instrText xml:space="preserve"> REF _Ref442278346 \r \h </w:instrText>
      </w:r>
      <w:r w:rsidR="00DC79D4">
        <w:fldChar w:fldCharType="separate"/>
      </w:r>
      <w:r w:rsidR="005A26F6">
        <w:t>9.2.1.2.3.2</w:t>
      </w:r>
      <w:r w:rsidR="00DC79D4">
        <w:fldChar w:fldCharType="end"/>
      </w:r>
      <w:r>
        <w:t>.</w:t>
      </w:r>
    </w:p>
    <w:p w:rsidR="00175800" w:rsidRPr="00175800" w:rsidRDefault="00175800" w:rsidP="00175800">
      <w:pPr>
        <w:rPr>
          <w:b/>
        </w:rPr>
      </w:pPr>
      <w:r w:rsidRPr="00175800">
        <w:rPr>
          <w:b/>
        </w:rPr>
        <w:t>Central laboratory testing</w:t>
      </w:r>
    </w:p>
    <w:p w:rsidR="00175800" w:rsidRDefault="00175800" w:rsidP="00175800">
      <w:r>
        <w:t>Blood sample is drawn for all central laboratory tests needed for checking the exclusion criteria;</w:t>
      </w:r>
    </w:p>
    <w:p w:rsidR="00175800" w:rsidRDefault="00175800" w:rsidP="00175800">
      <w:r>
        <w:t>Provide patients with a urine container and instruct them how to collect at home in the morning of their first morning urine and to bring the urine sample to the site at planned visit.</w:t>
      </w:r>
    </w:p>
    <w:p w:rsidR="00175800" w:rsidRDefault="00175800" w:rsidP="00175800">
      <w:r>
        <w:t>An appointment is given to the patient for the next visit. Patients are instructed to return to the site in the morning and to bring the glucose meter and the diary.</w:t>
      </w:r>
    </w:p>
    <w:p w:rsidR="00175800" w:rsidRDefault="00175800" w:rsidP="00175800">
      <w:pPr>
        <w:pStyle w:val="Heading3"/>
      </w:pPr>
      <w:bookmarkStart w:id="730" w:name="_Toc443035888"/>
      <w:r w:rsidRPr="00175800">
        <w:t>Open-label randomized treatment period (</w:t>
      </w:r>
      <w:r w:rsidR="0007161F">
        <w:t xml:space="preserve">Week </w:t>
      </w:r>
      <w:r w:rsidRPr="00175800">
        <w:t xml:space="preserve">0 to </w:t>
      </w:r>
      <w:r w:rsidR="0007161F">
        <w:t xml:space="preserve">Week </w:t>
      </w:r>
      <w:r w:rsidRPr="00175800">
        <w:t>26)</w:t>
      </w:r>
      <w:bookmarkEnd w:id="730"/>
    </w:p>
    <w:p w:rsidR="00175800" w:rsidRDefault="00175800" w:rsidP="00175800">
      <w:r>
        <w:t xml:space="preserve">Patients meeting all inclusion criteria and with no exclusion criteria at the end of the screening period are eligible to be enrolled into the open-label randomized treatment period. The duration of </w:t>
      </w:r>
      <w:r>
        <w:lastRenderedPageBreak/>
        <w:t xml:space="preserve">the open-label treatment period for all patients is 26 weeks ± 5 days from baseline visit (V3, </w:t>
      </w:r>
      <w:r w:rsidR="007F5600">
        <w:t>Week </w:t>
      </w:r>
      <w:r>
        <w:t xml:space="preserve">0) to the end of treatment visit (V28, </w:t>
      </w:r>
      <w:r w:rsidR="0007161F">
        <w:t xml:space="preserve">Week </w:t>
      </w:r>
      <w:r>
        <w:t>26).</w:t>
      </w:r>
    </w:p>
    <w:p w:rsidR="00175800" w:rsidRDefault="00175800" w:rsidP="00175800">
      <w:r>
        <w:t>Each patient self-administers IMP once daily from V3 (</w:t>
      </w:r>
      <w:r w:rsidR="0007161F">
        <w:t xml:space="preserve">Week </w:t>
      </w:r>
      <w:r>
        <w:t xml:space="preserve">0) up to the end of the open-label treatment period (V28, </w:t>
      </w:r>
      <w:r w:rsidR="0007161F">
        <w:t xml:space="preserve">Week </w:t>
      </w:r>
      <w:r>
        <w:t xml:space="preserve">26) for the patients treated with </w:t>
      </w:r>
      <w:r w:rsidR="001E5F67" w:rsidRPr="00446EC7">
        <w:t>FRC</w:t>
      </w:r>
      <w:r w:rsidR="001E5F67">
        <w:t xml:space="preserve"> </w:t>
      </w:r>
      <w:r>
        <w:t>or Victoza®, twice daily within 60 minutes prior to a meal for patients treated with Byetta®</w:t>
      </w:r>
      <w:r w:rsidR="005E259D">
        <w:t xml:space="preserve">, </w:t>
      </w:r>
      <w:r w:rsidR="005E259D" w:rsidRPr="00446EC7">
        <w:t xml:space="preserve">and once weekly for </w:t>
      </w:r>
      <w:r w:rsidR="006503D2" w:rsidRPr="00446EC7">
        <w:t xml:space="preserve">patients treated with </w:t>
      </w:r>
      <w:r w:rsidR="005E259D" w:rsidRPr="00446EC7">
        <w:t>Bydureon®, Tanzeum®/Eperzan®, or Trulicity®</w:t>
      </w:r>
      <w:r w:rsidRPr="00446EC7">
        <w:t>.</w:t>
      </w:r>
      <w:r>
        <w:t xml:space="preserve"> The IMP dose for the patients receiving the </w:t>
      </w:r>
      <w:r w:rsidR="001E5F67" w:rsidRPr="00446EC7">
        <w:t>FRC</w:t>
      </w:r>
      <w:r w:rsidR="001E5F67">
        <w:t xml:space="preserve"> </w:t>
      </w:r>
      <w:r>
        <w:t>will be adjusted according to fasting SMPG values documented in the patient diary (</w:t>
      </w:r>
      <w:hyperlink w:anchor="_Ref433978151" w:history="1">
        <w:r w:rsidR="00DC79D4" w:rsidRPr="00DC79D4">
          <w:rPr>
            <w:rStyle w:val="Hyperlink"/>
            <w:u w:val="none"/>
          </w:rPr>
          <w:t>Section</w:t>
        </w:r>
      </w:hyperlink>
      <w:r w:rsidR="00DC79D4">
        <w:t xml:space="preserve"> </w:t>
      </w:r>
      <w:r w:rsidR="00DC79D4">
        <w:fldChar w:fldCharType="begin"/>
      </w:r>
      <w:r w:rsidR="00DC79D4">
        <w:instrText xml:space="preserve"> REF _Ref433978151 \r \h </w:instrText>
      </w:r>
      <w:r w:rsidR="00DC79D4">
        <w:fldChar w:fldCharType="separate"/>
      </w:r>
      <w:r w:rsidR="005A26F6">
        <w:t>8.1.4</w:t>
      </w:r>
      <w:r w:rsidR="00DC79D4">
        <w:fldChar w:fldCharType="end"/>
      </w:r>
      <w:r>
        <w:t>).</w:t>
      </w:r>
    </w:p>
    <w:p w:rsidR="00175800" w:rsidRDefault="00175800" w:rsidP="00175800">
      <w:r>
        <w:t>Patients randomized in the GLP-1 RA arm continue their treatment during the open-label randomized period as before the randomization.</w:t>
      </w:r>
    </w:p>
    <w:p w:rsidR="005E259D" w:rsidRDefault="006503D2" w:rsidP="006503D2">
      <w:pPr>
        <w:pStyle w:val="Heading4"/>
      </w:pPr>
      <w:bookmarkStart w:id="731" w:name="_Toc443035889"/>
      <w:r w:rsidRPr="006503D2">
        <w:t xml:space="preserve">Baseline visit (V3, </w:t>
      </w:r>
      <w:r w:rsidR="0007161F">
        <w:t xml:space="preserve">Week </w:t>
      </w:r>
      <w:r w:rsidRPr="006503D2">
        <w:t>0 and Day 1)</w:t>
      </w:r>
      <w:bookmarkEnd w:id="731"/>
    </w:p>
    <w:p w:rsidR="00DB0050" w:rsidRDefault="00DB0050" w:rsidP="00DB0050">
      <w:r>
        <w:t xml:space="preserve">For the complete list and contents of procedures/assessments scheduled for the baseline visit, please refer to the “Study Flow Chart” in </w:t>
      </w:r>
      <w:hyperlink w:anchor="_Ref442689738" w:history="1">
        <w:r w:rsidR="00DC79D4" w:rsidRPr="00DC79D4">
          <w:rPr>
            <w:rStyle w:val="Hyperlink"/>
            <w:u w:val="none"/>
          </w:rPr>
          <w:t>Section</w:t>
        </w:r>
      </w:hyperlink>
      <w:r w:rsidR="00DC79D4">
        <w:t xml:space="preserve"> </w:t>
      </w:r>
      <w:r w:rsidR="00DC79D4">
        <w:fldChar w:fldCharType="begin"/>
      </w:r>
      <w:r w:rsidR="00DC79D4">
        <w:instrText xml:space="preserve"> REF _Ref442689738 \r \h </w:instrText>
      </w:r>
      <w:r w:rsidR="00DC79D4">
        <w:fldChar w:fldCharType="separate"/>
      </w:r>
      <w:r w:rsidR="005A26F6">
        <w:t>1.2</w:t>
      </w:r>
      <w:r w:rsidR="00DC79D4">
        <w:fldChar w:fldCharType="end"/>
      </w:r>
      <w:r>
        <w:t xml:space="preserve"> and for detailed description of assessments to </w:t>
      </w:r>
      <w:hyperlink w:anchor="_Ref44315140" w:history="1">
        <w:r w:rsidR="00DC79D4" w:rsidRPr="00DC79D4">
          <w:rPr>
            <w:rStyle w:val="Hyperlink"/>
            <w:u w:val="none"/>
          </w:rPr>
          <w:t>Section</w:t>
        </w:r>
      </w:hyperlink>
      <w:r w:rsidR="00DC79D4">
        <w:t xml:space="preserve"> </w:t>
      </w:r>
      <w:r w:rsidR="00DC79D4">
        <w:fldChar w:fldCharType="begin"/>
      </w:r>
      <w:r w:rsidR="00DC79D4">
        <w:instrText xml:space="preserve"> REF _Ref44315140 \r \h </w:instrText>
      </w:r>
      <w:r w:rsidR="00DC79D4">
        <w:fldChar w:fldCharType="separate"/>
      </w:r>
      <w:r w:rsidR="005A26F6">
        <w:t>9</w:t>
      </w:r>
      <w:r w:rsidR="00DC79D4">
        <w:fldChar w:fldCharType="end"/>
      </w:r>
      <w:r>
        <w:t xml:space="preserve"> and </w:t>
      </w:r>
      <w:hyperlink w:anchor="_Ref442689761" w:history="1">
        <w:r w:rsidR="00DC79D4" w:rsidRPr="00DC79D4">
          <w:rPr>
            <w:rStyle w:val="Hyperlink"/>
            <w:u w:val="none"/>
          </w:rPr>
          <w:t>Section</w:t>
        </w:r>
      </w:hyperlink>
      <w:r w:rsidR="00DC79D4">
        <w:t xml:space="preserve"> </w:t>
      </w:r>
      <w:r w:rsidR="00DC79D4">
        <w:fldChar w:fldCharType="begin"/>
      </w:r>
      <w:r w:rsidR="00DC79D4">
        <w:instrText xml:space="preserve"> REF _Ref442689761 \r \h </w:instrText>
      </w:r>
      <w:r w:rsidR="00DC79D4">
        <w:fldChar w:fldCharType="separate"/>
      </w:r>
      <w:r w:rsidR="005A26F6">
        <w:t>10.6</w:t>
      </w:r>
      <w:r w:rsidR="00DC79D4">
        <w:fldChar w:fldCharType="end"/>
      </w:r>
      <w:r>
        <w:t>.</w:t>
      </w:r>
    </w:p>
    <w:p w:rsidR="00DB0050" w:rsidRDefault="00DB0050" w:rsidP="00DB0050">
      <w:r>
        <w:t>The details of the procedures/assessments to be performed at this visit and which are not described elsewhere are provided below:</w:t>
      </w:r>
    </w:p>
    <w:p w:rsidR="00DB0050" w:rsidRDefault="00DB0050" w:rsidP="00DB0050">
      <w:r>
        <w:t>At this visit, the patient must return to the investigation site in the morning after 8 hours fasting not having administered GLP-1 RA nor background therapy (metformin ± pioglitazone) at home. Patients will visit the site with their blood glucometer and diary.</w:t>
      </w:r>
    </w:p>
    <w:p w:rsidR="00DB0050" w:rsidRDefault="00DB0050" w:rsidP="00DB0050">
      <w:r w:rsidRPr="00446EC7">
        <w:rPr>
          <w:b/>
        </w:rPr>
        <w:t>Note:</w:t>
      </w:r>
      <w:r w:rsidRPr="00446EC7">
        <w:t xml:space="preserve"> Patients who are taking a once weekly formulation of GLP-1 RA (Bydureon®, Tanzeum®/Eperzan®, or Trulicity®) must have their baseline visit scheduled </w:t>
      </w:r>
      <w:r w:rsidRPr="00446EC7">
        <w:rPr>
          <w:b/>
        </w:rPr>
        <w:t>at least 1 week</w:t>
      </w:r>
      <w:r w:rsidRPr="00446EC7">
        <w:t xml:space="preserve"> after administering their last dose.</w:t>
      </w:r>
      <w:r w:rsidR="005E0974" w:rsidRPr="00446EC7">
        <w:t xml:space="preserve"> If </w:t>
      </w:r>
      <w:r w:rsidR="00A53022" w:rsidRPr="00446EC7">
        <w:t>a</w:t>
      </w:r>
      <w:r w:rsidR="005E0974" w:rsidRPr="00446EC7">
        <w:t xml:space="preserve"> patient </w:t>
      </w:r>
      <w:r w:rsidR="00A53022" w:rsidRPr="00446EC7">
        <w:t xml:space="preserve">arrives for their baseline visit and </w:t>
      </w:r>
      <w:r w:rsidR="005E0974" w:rsidRPr="00446EC7">
        <w:t xml:space="preserve">is found to have administered their last dose of a once weekly GLP-1 RA less than 1 week </w:t>
      </w:r>
      <w:r w:rsidR="00A53022" w:rsidRPr="00446EC7">
        <w:t>prior</w:t>
      </w:r>
      <w:r w:rsidR="005E0974" w:rsidRPr="00446EC7">
        <w:t>, the visit should be cancelled and rescheduled to occur at leas</w:t>
      </w:r>
      <w:r w:rsidR="00A53022" w:rsidRPr="00446EC7">
        <w:t>t 1 week after their last dose,</w:t>
      </w:r>
      <w:r w:rsidR="005E0974" w:rsidRPr="00446EC7">
        <w:t xml:space="preserve"> </w:t>
      </w:r>
      <w:r w:rsidR="003D2BD6" w:rsidRPr="00446EC7">
        <w:t xml:space="preserve">but </w:t>
      </w:r>
      <w:r w:rsidR="005E0974" w:rsidRPr="00446EC7">
        <w:t xml:space="preserve">within the allowed window of the screening period as per </w:t>
      </w:r>
      <w:hyperlink w:anchor="_Ref433985583" w:history="1">
        <w:r w:rsidR="00DC79D4" w:rsidRPr="00DC79D4">
          <w:rPr>
            <w:rStyle w:val="Hyperlink"/>
            <w:u w:val="none"/>
          </w:rPr>
          <w:t>Section</w:t>
        </w:r>
      </w:hyperlink>
      <w:r w:rsidR="00DC79D4">
        <w:t xml:space="preserve"> </w:t>
      </w:r>
      <w:r w:rsidR="00DC79D4">
        <w:fldChar w:fldCharType="begin"/>
      </w:r>
      <w:r w:rsidR="00DC79D4">
        <w:instrText xml:space="preserve"> REF _Ref433985583 \r \h </w:instrText>
      </w:r>
      <w:r w:rsidR="00DC79D4">
        <w:fldChar w:fldCharType="separate"/>
      </w:r>
      <w:r w:rsidR="005A26F6">
        <w:t>10.1.1</w:t>
      </w:r>
      <w:r w:rsidR="00DC79D4">
        <w:fldChar w:fldCharType="end"/>
      </w:r>
      <w:r w:rsidR="005E0974" w:rsidRPr="00446EC7">
        <w:t>.</w:t>
      </w:r>
    </w:p>
    <w:p w:rsidR="00DB0050" w:rsidRPr="00DB0050" w:rsidRDefault="00DB0050" w:rsidP="00DB0050">
      <w:pPr>
        <w:rPr>
          <w:b/>
        </w:rPr>
      </w:pPr>
      <w:r w:rsidRPr="00DB0050">
        <w:rPr>
          <w:b/>
        </w:rPr>
        <w:t>Compliance check</w:t>
      </w:r>
    </w:p>
    <w:p w:rsidR="00DB0050" w:rsidRDefault="00DB0050" w:rsidP="00DB0050">
      <w:r>
        <w:t>Compliance check includes compliance to metformin and pioglitazone (if appropriate) treatment and use of glucometer, review of fasting SMPG values, and the 7-point SMPG profile and patient diary. If patient is not appropriately compliant with the study procedures, the training will be repeated by the site staff.</w:t>
      </w:r>
    </w:p>
    <w:p w:rsidR="00DB0050" w:rsidRPr="00DB0050" w:rsidRDefault="00DB0050" w:rsidP="00DB0050">
      <w:pPr>
        <w:rPr>
          <w:b/>
        </w:rPr>
      </w:pPr>
      <w:r w:rsidRPr="00DB0050">
        <w:rPr>
          <w:b/>
        </w:rPr>
        <w:t>IVRS/IWRS contact</w:t>
      </w:r>
    </w:p>
    <w:p w:rsidR="00DB0050" w:rsidRDefault="00DB0050" w:rsidP="00DB0050">
      <w:r>
        <w:t xml:space="preserve">After the baseline assessments are completed and eligibility confirmed, the Investigator contacts IVRS/IWRS for randomization to the study. </w:t>
      </w:r>
    </w:p>
    <w:p w:rsidR="00DB0050" w:rsidRDefault="00DB0050" w:rsidP="00DB0050">
      <w:r>
        <w:t>The HbA</w:t>
      </w:r>
      <w:r w:rsidRPr="00BC66F9">
        <w:rPr>
          <w:vertAlign w:val="subscript"/>
        </w:rPr>
        <w:t>1c</w:t>
      </w:r>
      <w:r>
        <w:t xml:space="preserve"> will be entered in the IVRS/IWRS (directly by the laboratory or by the Investigator):</w:t>
      </w:r>
    </w:p>
    <w:p w:rsidR="00DB0050" w:rsidRDefault="00DB0050" w:rsidP="00DB0050">
      <w:r>
        <w:lastRenderedPageBreak/>
        <w:t>If the patient’s HbA</w:t>
      </w:r>
      <w:r w:rsidRPr="00BC66F9">
        <w:rPr>
          <w:vertAlign w:val="subscript"/>
        </w:rPr>
        <w:t>1c</w:t>
      </w:r>
      <w:r>
        <w:t xml:space="preserve"> at the scre</w:t>
      </w:r>
      <w:r w:rsidR="005A26F6">
        <w:t>ening (V1) results are 7% ≤</w:t>
      </w:r>
      <w:r>
        <w:t>HbA</w:t>
      </w:r>
      <w:r w:rsidRPr="00BC66F9">
        <w:rPr>
          <w:vertAlign w:val="subscript"/>
        </w:rPr>
        <w:t>1c</w:t>
      </w:r>
      <w:r w:rsidR="009A6873">
        <w:t xml:space="preserve"> ≤</w:t>
      </w:r>
      <w:r w:rsidR="005A26F6">
        <w:t>9%, the treatment group (ie, </w:t>
      </w:r>
      <w:r w:rsidR="00F52CBA" w:rsidRPr="00446EC7">
        <w:t>FRC</w:t>
      </w:r>
      <w:r>
        <w:t xml:space="preserve">, GLP-1 RA arm) will be notified by IVRS/IWRS. </w:t>
      </w:r>
    </w:p>
    <w:p w:rsidR="00DB0050" w:rsidRPr="003D2BD6" w:rsidRDefault="00DB0050" w:rsidP="00DB0050">
      <w:pPr>
        <w:rPr>
          <w:b/>
        </w:rPr>
      </w:pPr>
      <w:r w:rsidRPr="003D2BD6">
        <w:rPr>
          <w:b/>
        </w:rPr>
        <w:t>Training on self-injection devices and dispensation of IMP</w:t>
      </w:r>
    </w:p>
    <w:p w:rsidR="00DB0050" w:rsidRDefault="00DB0050" w:rsidP="00DB0050">
      <w:r>
        <w:t xml:space="preserve">Patients randomized to the </w:t>
      </w:r>
      <w:r w:rsidR="00F52CBA" w:rsidRPr="00446EC7">
        <w:t>FRC</w:t>
      </w:r>
      <w:r w:rsidR="00F52CBA">
        <w:t xml:space="preserve"> </w:t>
      </w:r>
      <w:r>
        <w:t xml:space="preserve">group are instructed by the study staff how to properly use the combination </w:t>
      </w:r>
      <w:r w:rsidR="00F52CBA">
        <w:t>P</w:t>
      </w:r>
      <w:r>
        <w:t xml:space="preserve">each </w:t>
      </w:r>
      <w:r w:rsidR="00F52CBA">
        <w:t>P</w:t>
      </w:r>
      <w:r>
        <w:t xml:space="preserve">en and </w:t>
      </w:r>
      <w:r w:rsidR="00F52CBA">
        <w:t>O</w:t>
      </w:r>
      <w:r>
        <w:t xml:space="preserve">live </w:t>
      </w:r>
      <w:r w:rsidR="00F52CBA">
        <w:t>P</w:t>
      </w:r>
      <w:r>
        <w:t xml:space="preserve">en as well as how to store it. Instructions on self-injection technique are also given. Injection pen device with the instruction leaflet is dispensed. Please refer to </w:t>
      </w:r>
      <w:hyperlink w:anchor="_Ref433986085" w:history="1">
        <w:r w:rsidR="00DC79D4" w:rsidRPr="00DC79D4">
          <w:rPr>
            <w:rStyle w:val="Hyperlink"/>
            <w:u w:val="none"/>
          </w:rPr>
          <w:t>Section</w:t>
        </w:r>
      </w:hyperlink>
      <w:r w:rsidR="00DC79D4">
        <w:t xml:space="preserve"> </w:t>
      </w:r>
      <w:r w:rsidR="00DC79D4">
        <w:fldChar w:fldCharType="begin"/>
      </w:r>
      <w:r w:rsidR="00DC79D4">
        <w:instrText xml:space="preserve"> REF _Ref433986085 \r \h </w:instrText>
      </w:r>
      <w:r w:rsidR="00DC79D4">
        <w:fldChar w:fldCharType="separate"/>
      </w:r>
      <w:r w:rsidR="005A26F6">
        <w:t>8.1.2.2</w:t>
      </w:r>
      <w:r w:rsidR="00DC79D4">
        <w:fldChar w:fldCharType="end"/>
      </w:r>
      <w:r>
        <w:t>.</w:t>
      </w:r>
    </w:p>
    <w:p w:rsidR="00DB0050" w:rsidRDefault="00DB0050" w:rsidP="00DB0050">
      <w:r>
        <w:t xml:space="preserve">Patients randomized to the GLP-1 RA group are instructed to continue their treatment as before the randomization. Please refer to </w:t>
      </w:r>
      <w:hyperlink w:anchor="_Ref440281282" w:history="1">
        <w:r w:rsidR="00DC79D4" w:rsidRPr="00DC79D4">
          <w:rPr>
            <w:rStyle w:val="Hyperlink"/>
            <w:u w:val="none"/>
          </w:rPr>
          <w:t>Section</w:t>
        </w:r>
      </w:hyperlink>
      <w:r w:rsidR="00DC79D4">
        <w:t xml:space="preserve"> </w:t>
      </w:r>
      <w:r w:rsidR="00DC79D4">
        <w:fldChar w:fldCharType="begin"/>
      </w:r>
      <w:r w:rsidR="00DC79D4">
        <w:instrText xml:space="preserve"> REF _Ref440281282 \r \h </w:instrText>
      </w:r>
      <w:r w:rsidR="00DC79D4">
        <w:fldChar w:fldCharType="separate"/>
      </w:r>
      <w:r w:rsidR="005A26F6">
        <w:t>8.1.3</w:t>
      </w:r>
      <w:r w:rsidR="00DC79D4">
        <w:fldChar w:fldCharType="end"/>
      </w:r>
      <w:r>
        <w:t>.</w:t>
      </w:r>
    </w:p>
    <w:p w:rsidR="00DB0050" w:rsidRPr="00DB0050" w:rsidRDefault="00DB0050" w:rsidP="00DB0050">
      <w:pPr>
        <w:rPr>
          <w:b/>
        </w:rPr>
      </w:pPr>
      <w:r w:rsidRPr="00DB0050">
        <w:rPr>
          <w:b/>
        </w:rPr>
        <w:t>Starting dose and dose adjustment of IMP</w:t>
      </w:r>
    </w:p>
    <w:p w:rsidR="00DB0050" w:rsidRDefault="00DB0050" w:rsidP="00DB0050">
      <w:r>
        <w:t xml:space="preserve">Eligible patients will enter a 26-week open-label randomized treatment period to receive either </w:t>
      </w:r>
      <w:r w:rsidR="00F52CBA" w:rsidRPr="00446EC7">
        <w:t>FRC</w:t>
      </w:r>
      <w:r w:rsidR="00F52CBA">
        <w:t xml:space="preserve"> </w:t>
      </w:r>
      <w:r>
        <w:t xml:space="preserve">or </w:t>
      </w:r>
      <w:r w:rsidR="003D2BD6" w:rsidRPr="00446EC7">
        <w:t>continue</w:t>
      </w:r>
      <w:r w:rsidR="003D2BD6">
        <w:t xml:space="preserve"> </w:t>
      </w:r>
      <w:r>
        <w:t>GLP-1 RA (Victoza®</w:t>
      </w:r>
      <w:r w:rsidR="00497264">
        <w:t>,</w:t>
      </w:r>
      <w:r>
        <w:t xml:space="preserve"> Byetta®</w:t>
      </w:r>
      <w:r w:rsidR="00497264">
        <w:t xml:space="preserve">, </w:t>
      </w:r>
      <w:r w:rsidR="00497264" w:rsidRPr="00446EC7">
        <w:t>Bydureon®, Tanzeum®/Eperzan®, or Trulicity®</w:t>
      </w:r>
      <w:r w:rsidRPr="00446EC7">
        <w:t>)</w:t>
      </w:r>
      <w:r>
        <w:t xml:space="preserve"> (see details in </w:t>
      </w:r>
      <w:hyperlink w:anchor="_Ref433978151" w:history="1">
        <w:r w:rsidR="00DC79D4" w:rsidRPr="00DC79D4">
          <w:rPr>
            <w:rStyle w:val="Hyperlink"/>
            <w:u w:val="none"/>
          </w:rPr>
          <w:t>Section</w:t>
        </w:r>
      </w:hyperlink>
      <w:r w:rsidR="00DC79D4">
        <w:t xml:space="preserve"> </w:t>
      </w:r>
      <w:r w:rsidR="00DC79D4">
        <w:fldChar w:fldCharType="begin"/>
      </w:r>
      <w:r w:rsidR="00DC79D4">
        <w:instrText xml:space="preserve"> REF _Ref433978151 \r \h </w:instrText>
      </w:r>
      <w:r w:rsidR="00DC79D4">
        <w:fldChar w:fldCharType="separate"/>
      </w:r>
      <w:r w:rsidR="005A26F6">
        <w:t>8.1.4</w:t>
      </w:r>
      <w:r w:rsidR="00DC79D4">
        <w:fldChar w:fldCharType="end"/>
      </w:r>
      <w:r>
        <w:t xml:space="preserve">. </w:t>
      </w:r>
    </w:p>
    <w:p w:rsidR="006503D2" w:rsidRDefault="00DB0050" w:rsidP="00DB0050">
      <w:r>
        <w:t xml:space="preserve">For patients in the control arm, an appointment for one week later is given to the patient for the next phone call visit. For patients in the </w:t>
      </w:r>
      <w:r w:rsidR="001168EE" w:rsidRPr="00446EC7">
        <w:t>FRC</w:t>
      </w:r>
      <w:r w:rsidR="001168EE">
        <w:t xml:space="preserve"> </w:t>
      </w:r>
      <w:r>
        <w:t xml:space="preserve">arms, an appointment is given for 3-4 days later for the first titration phone call visit (see </w:t>
      </w:r>
      <w:hyperlink w:anchor="_Ref434493666" w:history="1">
        <w:r w:rsidR="00DC79D4" w:rsidRPr="00DC79D4">
          <w:rPr>
            <w:rStyle w:val="Hyperlink"/>
            <w:u w:val="none"/>
          </w:rPr>
          <w:t>Section</w:t>
        </w:r>
      </w:hyperlink>
      <w:r w:rsidR="00DC79D4">
        <w:t xml:space="preserve"> </w:t>
      </w:r>
      <w:r w:rsidR="00DC79D4">
        <w:fldChar w:fldCharType="begin"/>
      </w:r>
      <w:r w:rsidR="00DC79D4">
        <w:instrText xml:space="preserve"> REF _Ref434493666 \r \h </w:instrText>
      </w:r>
      <w:r w:rsidR="00DC79D4">
        <w:fldChar w:fldCharType="separate"/>
      </w:r>
      <w:r w:rsidR="005A26F6">
        <w:t>10.1.2.4</w:t>
      </w:r>
      <w:r w:rsidR="00DC79D4">
        <w:fldChar w:fldCharType="end"/>
      </w:r>
      <w:r>
        <w:t>).</w:t>
      </w:r>
    </w:p>
    <w:p w:rsidR="00497264" w:rsidRDefault="00497264" w:rsidP="00497264">
      <w:pPr>
        <w:pStyle w:val="Heading4"/>
      </w:pPr>
      <w:bookmarkStart w:id="732" w:name="_Toc443035890"/>
      <w:r w:rsidRPr="00497264">
        <w:t>Phone call visits: V5 (</w:t>
      </w:r>
      <w:r w:rsidR="0007161F">
        <w:t xml:space="preserve">Week </w:t>
      </w:r>
      <w:r w:rsidRPr="00497264">
        <w:t>1); V9 (</w:t>
      </w:r>
      <w:r w:rsidR="0007161F">
        <w:t xml:space="preserve">Week </w:t>
      </w:r>
      <w:r w:rsidRPr="00497264">
        <w:t>3); V13 (</w:t>
      </w:r>
      <w:r w:rsidR="0007161F">
        <w:t xml:space="preserve">Week </w:t>
      </w:r>
      <w:r w:rsidRPr="00497264">
        <w:t>5); V15 (</w:t>
      </w:r>
      <w:r w:rsidR="0007161F">
        <w:t xml:space="preserve">Week </w:t>
      </w:r>
      <w:r w:rsidRPr="00497264">
        <w:t>6); V17 (</w:t>
      </w:r>
      <w:r w:rsidR="0007161F">
        <w:t xml:space="preserve">Week </w:t>
      </w:r>
      <w:r w:rsidRPr="00497264">
        <w:t>7); V20 (</w:t>
      </w:r>
      <w:r w:rsidR="0007161F">
        <w:t xml:space="preserve">Week </w:t>
      </w:r>
      <w:r w:rsidRPr="00497264">
        <w:t>10); V22 (</w:t>
      </w:r>
      <w:r w:rsidR="0007161F">
        <w:t xml:space="preserve">Week </w:t>
      </w:r>
      <w:r w:rsidRPr="00497264">
        <w:t>V1</w:t>
      </w:r>
      <w:r w:rsidR="00FB5A4F">
        <w:t>4); V23 (</w:t>
      </w:r>
      <w:r w:rsidR="0007161F">
        <w:t xml:space="preserve">Week </w:t>
      </w:r>
      <w:r w:rsidR="00FB5A4F">
        <w:t>16); V25 (</w:t>
      </w:r>
      <w:r w:rsidR="0007161F">
        <w:t xml:space="preserve">Week </w:t>
      </w:r>
      <w:r w:rsidR="00FB5A4F">
        <w:t>20</w:t>
      </w:r>
      <w:r w:rsidRPr="00497264">
        <w:t>); V27 (</w:t>
      </w:r>
      <w:r w:rsidR="0007161F">
        <w:t xml:space="preserve">Week </w:t>
      </w:r>
      <w:r w:rsidRPr="00497264">
        <w:t>24)</w:t>
      </w:r>
      <w:bookmarkEnd w:id="732"/>
    </w:p>
    <w:p w:rsidR="00497264" w:rsidRDefault="00497264" w:rsidP="00497264">
      <w:r>
        <w:t>The patient is called by the Investigator or qualified designee at a scheduled time. If the call has been completed by site staff other than the Investigator, the Investigator has to be consulted if AE/SAE is suspected and informed in case AE/SAE occurred. In case of an AE the patient may be asked to come to the investigational site, as appropriate. A phone call visit can optionally be performed as a clinical visit in case of symptomatic hypoglycemia/AE or other reasons.</w:t>
      </w:r>
    </w:p>
    <w:p w:rsidR="00497264" w:rsidRDefault="00497264" w:rsidP="00497264">
      <w:r>
        <w:t>During the phone call, the following questions are to be asked:</w:t>
      </w:r>
    </w:p>
    <w:p w:rsidR="00497264" w:rsidRDefault="00497264" w:rsidP="00CC67B4">
      <w:pPr>
        <w:pStyle w:val="ListBulletLevel1"/>
        <w:numPr>
          <w:ilvl w:val="0"/>
          <w:numId w:val="87"/>
        </w:numPr>
      </w:pPr>
      <w:r>
        <w:t>Did you experience any new medical event, disease or symptom since the last visit?</w:t>
      </w:r>
    </w:p>
    <w:p w:rsidR="00497264" w:rsidRDefault="00497264" w:rsidP="00CC67B4">
      <w:pPr>
        <w:pStyle w:val="ListBulletLevel1"/>
        <w:numPr>
          <w:ilvl w:val="0"/>
          <w:numId w:val="88"/>
        </w:numPr>
      </w:pPr>
      <w:r>
        <w:t>Did you experience any hypoglycemic events or symptoms?</w:t>
      </w:r>
    </w:p>
    <w:p w:rsidR="00497264" w:rsidRDefault="00497264" w:rsidP="00CC67B4">
      <w:pPr>
        <w:pStyle w:val="ListBulletLevel1"/>
        <w:numPr>
          <w:ilvl w:val="0"/>
          <w:numId w:val="89"/>
        </w:numPr>
      </w:pPr>
      <w:r>
        <w:t>Did you experience any possible allergic symptoms, or skin reactions?</w:t>
      </w:r>
    </w:p>
    <w:p w:rsidR="00497264" w:rsidRDefault="00497264" w:rsidP="00CC67B4">
      <w:pPr>
        <w:pStyle w:val="ListBulletLevel1"/>
        <w:numPr>
          <w:ilvl w:val="0"/>
          <w:numId w:val="90"/>
        </w:numPr>
      </w:pPr>
      <w:r>
        <w:t xml:space="preserve">Do you feel comfortable in handling </w:t>
      </w:r>
      <w:r w:rsidR="004E1CA1">
        <w:t xml:space="preserve">the </w:t>
      </w:r>
      <w:r>
        <w:t>diary, glucose meter and IMP injection device or do you need any more explanation?</w:t>
      </w:r>
    </w:p>
    <w:p w:rsidR="00497264" w:rsidRDefault="00497264" w:rsidP="00CC67B4">
      <w:pPr>
        <w:pStyle w:val="ListBulletLevel1"/>
        <w:numPr>
          <w:ilvl w:val="0"/>
          <w:numId w:val="91"/>
        </w:numPr>
      </w:pPr>
      <w:r>
        <w:t>Did you adjust IMP since last visit (if appropriate)? What is your IMP dose?</w:t>
      </w:r>
    </w:p>
    <w:p w:rsidR="00497264" w:rsidRDefault="00497264" w:rsidP="00CC67B4">
      <w:pPr>
        <w:pStyle w:val="ListBulletLevel1"/>
        <w:numPr>
          <w:ilvl w:val="0"/>
          <w:numId w:val="92"/>
        </w:numPr>
      </w:pPr>
      <w:r>
        <w:t xml:space="preserve">Which pen you are using? What is the daily dose you are using? Did you adjust IMP since last phone call/visit? In case the patient has used two pens </w:t>
      </w:r>
      <w:r w:rsidR="004E1CA1">
        <w:t>(</w:t>
      </w:r>
      <w:r>
        <w:t>a peach pen and an olive pen</w:t>
      </w:r>
      <w:r w:rsidR="004E1CA1">
        <w:t>)</w:t>
      </w:r>
      <w:r>
        <w:t xml:space="preserve">, it should be reported and documented in the diary as well as the doses administrated. </w:t>
      </w:r>
    </w:p>
    <w:p w:rsidR="00497264" w:rsidRDefault="00497264" w:rsidP="00CC67B4">
      <w:pPr>
        <w:pStyle w:val="ListBulletLevel1"/>
        <w:numPr>
          <w:ilvl w:val="0"/>
          <w:numId w:val="93"/>
        </w:numPr>
      </w:pPr>
      <w:r>
        <w:lastRenderedPageBreak/>
        <w:t>Did you experience any changes in a pre-existing medical condition, disease or symptom since the last visit?</w:t>
      </w:r>
    </w:p>
    <w:p w:rsidR="00497264" w:rsidRDefault="00497264" w:rsidP="00CC67B4">
      <w:pPr>
        <w:pStyle w:val="ListBulletLevel1"/>
        <w:numPr>
          <w:ilvl w:val="0"/>
          <w:numId w:val="94"/>
        </w:numPr>
      </w:pPr>
      <w:r>
        <w:t>Did you miss, change, take or add any new medications (including OAD if appropriate) since the last visit?</w:t>
      </w:r>
    </w:p>
    <w:p w:rsidR="00497264" w:rsidRDefault="00497264" w:rsidP="00CC67B4">
      <w:pPr>
        <w:pStyle w:val="ListBulletLevel1"/>
        <w:numPr>
          <w:ilvl w:val="0"/>
          <w:numId w:val="95"/>
        </w:numPr>
      </w:pPr>
      <w:r>
        <w:t>Did you measure any fasting SMPG value outside of the range 80 to 100 mg/dL (4.4 to 5.6</w:t>
      </w:r>
      <w:r w:rsidR="006F6929">
        <w:t> </w:t>
      </w:r>
      <w:r>
        <w:t>mmol/L) (patients in the insulin glargine/lixisenatide combination)?</w:t>
      </w:r>
    </w:p>
    <w:p w:rsidR="00497264" w:rsidRDefault="00497264" w:rsidP="00497264">
      <w:r>
        <w:t>The phone visits will also include:</w:t>
      </w:r>
    </w:p>
    <w:p w:rsidR="00497264" w:rsidRDefault="00497264" w:rsidP="00CC67B4">
      <w:pPr>
        <w:pStyle w:val="ListBulletLevel1"/>
        <w:numPr>
          <w:ilvl w:val="0"/>
          <w:numId w:val="96"/>
        </w:numPr>
      </w:pPr>
      <w:r>
        <w:t>Asking patient’s fasting pre-breakfast SMPG and the insulin glargine/lixisenatide combination dose on the last 3 measurements including day of visit; (patients in the insulin glargine/lixisenatide combination);</w:t>
      </w:r>
    </w:p>
    <w:p w:rsidR="00497264" w:rsidRDefault="00497264" w:rsidP="00CC67B4">
      <w:pPr>
        <w:pStyle w:val="ListBulletLevel1"/>
        <w:numPr>
          <w:ilvl w:val="0"/>
          <w:numId w:val="97"/>
        </w:numPr>
      </w:pPr>
      <w:r>
        <w:t>Adjustment of the dose of IMP (insulin glargine/lixisenatide combination), to continue treatment toward the target fasting SMPG between 80 and 100 mg/dL (4.4 and 5.6</w:t>
      </w:r>
      <w:r w:rsidR="00BA0D26">
        <w:t> </w:t>
      </w:r>
      <w:r>
        <w:t>mmol/L), inclusive;</w:t>
      </w:r>
    </w:p>
    <w:p w:rsidR="00497264" w:rsidRDefault="00497264" w:rsidP="00CC67B4">
      <w:pPr>
        <w:pStyle w:val="ListBulletLevel1"/>
        <w:numPr>
          <w:ilvl w:val="0"/>
          <w:numId w:val="98"/>
        </w:numPr>
      </w:pPr>
      <w:r>
        <w:t>Recording of AE and symptomatic hypoglycemia events (if any);</w:t>
      </w:r>
    </w:p>
    <w:p w:rsidR="00497264" w:rsidRDefault="00497264" w:rsidP="00CC67B4">
      <w:pPr>
        <w:pStyle w:val="ListBulletLevel1"/>
        <w:numPr>
          <w:ilvl w:val="0"/>
          <w:numId w:val="99"/>
        </w:numPr>
      </w:pPr>
      <w:r>
        <w:t>Recording of the use or change of any concomitant medication.</w:t>
      </w:r>
    </w:p>
    <w:p w:rsidR="00497264" w:rsidRDefault="00497264" w:rsidP="00497264">
      <w:r>
        <w:t>The patient will be instructed to:</w:t>
      </w:r>
    </w:p>
    <w:p w:rsidR="00497264" w:rsidRDefault="00497264" w:rsidP="00CC67B4">
      <w:pPr>
        <w:pStyle w:val="ListBulletLevel1"/>
        <w:numPr>
          <w:ilvl w:val="0"/>
          <w:numId w:val="100"/>
        </w:numPr>
      </w:pPr>
      <w:r>
        <w:t>Perform required SMPG measurements;</w:t>
      </w:r>
    </w:p>
    <w:p w:rsidR="00497264" w:rsidRDefault="00497264" w:rsidP="00CC67B4">
      <w:pPr>
        <w:pStyle w:val="ListBulletLevel1"/>
        <w:numPr>
          <w:ilvl w:val="0"/>
          <w:numId w:val="101"/>
        </w:numPr>
      </w:pPr>
      <w:r>
        <w:t>Complete the diary;</w:t>
      </w:r>
    </w:p>
    <w:p w:rsidR="00497264" w:rsidRDefault="00497264" w:rsidP="00CC67B4">
      <w:pPr>
        <w:pStyle w:val="ListBulletLevel1"/>
        <w:numPr>
          <w:ilvl w:val="0"/>
          <w:numId w:val="102"/>
        </w:numPr>
      </w:pPr>
      <w:r>
        <w:t>Self-inject once daily</w:t>
      </w:r>
      <w:r w:rsidR="004E1CA1">
        <w:t>,</w:t>
      </w:r>
      <w:r w:rsidR="00446EC7">
        <w:t xml:space="preserve"> </w:t>
      </w:r>
      <w:r>
        <w:t>twice daily (only for Byetta®)</w:t>
      </w:r>
      <w:r w:rsidR="004E1CA1">
        <w:t xml:space="preserve">, </w:t>
      </w:r>
      <w:r w:rsidR="004E1CA1" w:rsidRPr="00446EC7">
        <w:t>or once weekly (for Bydureon®, Tanzeum®/Eperzan®, and Trulicity®)</w:t>
      </w:r>
      <w:r w:rsidR="004E1CA1">
        <w:t xml:space="preserve"> </w:t>
      </w:r>
      <w:r>
        <w:t>IMP at the dose prescribed by the Investigator;</w:t>
      </w:r>
    </w:p>
    <w:p w:rsidR="00497264" w:rsidRDefault="00497264" w:rsidP="00CC67B4">
      <w:pPr>
        <w:pStyle w:val="ListBulletLevel1"/>
        <w:numPr>
          <w:ilvl w:val="0"/>
          <w:numId w:val="103"/>
        </w:numPr>
      </w:pPr>
      <w:r>
        <w:t>Contact the site in case of occurrence of an adverse event, record the event in the patient’s diary and return to the site as deemed appropriate.</w:t>
      </w:r>
    </w:p>
    <w:p w:rsidR="00175800" w:rsidRDefault="00497264" w:rsidP="00175800">
      <w:r>
        <w:t>Give an appointment to the patient for subsequent visits (on-site visit or phone call visit) and remind them to come fasting if planned at next on-site visit.</w:t>
      </w:r>
    </w:p>
    <w:p w:rsidR="00F24527" w:rsidRDefault="00812F44" w:rsidP="00812F44">
      <w:pPr>
        <w:pStyle w:val="Heading4"/>
      </w:pPr>
      <w:bookmarkStart w:id="733" w:name="_Toc443035891"/>
      <w:r w:rsidRPr="00812F44">
        <w:t>On-Site visits: V7 (</w:t>
      </w:r>
      <w:r w:rsidR="0007161F">
        <w:t xml:space="preserve">Week </w:t>
      </w:r>
      <w:r w:rsidRPr="00812F44">
        <w:t>2); V11 (</w:t>
      </w:r>
      <w:r w:rsidR="0007161F">
        <w:t xml:space="preserve">Week </w:t>
      </w:r>
      <w:r w:rsidRPr="00812F44">
        <w:t>4); V19 (</w:t>
      </w:r>
      <w:r w:rsidR="0007161F">
        <w:t xml:space="preserve">Week </w:t>
      </w:r>
      <w:r w:rsidRPr="00812F44">
        <w:t>8); V21 (</w:t>
      </w:r>
      <w:r w:rsidR="0007161F">
        <w:t xml:space="preserve">Week </w:t>
      </w:r>
      <w:r w:rsidRPr="00812F44">
        <w:t>12); V24 (</w:t>
      </w:r>
      <w:r w:rsidR="005A26F6">
        <w:t>Week </w:t>
      </w:r>
      <w:r w:rsidRPr="00812F44">
        <w:t>18); V26 (</w:t>
      </w:r>
      <w:r w:rsidR="0007161F">
        <w:t xml:space="preserve">Week </w:t>
      </w:r>
      <w:r w:rsidRPr="00812F44">
        <w:t>22); V28 (</w:t>
      </w:r>
      <w:r w:rsidR="0007161F">
        <w:t xml:space="preserve">Week </w:t>
      </w:r>
      <w:r w:rsidRPr="00812F44">
        <w:t>26)</w:t>
      </w:r>
      <w:bookmarkEnd w:id="733"/>
    </w:p>
    <w:p w:rsidR="00507168" w:rsidRDefault="00507168" w:rsidP="00507168">
      <w:r>
        <w:t xml:space="preserve">For the complete list and contents of procedures/assessments scheduled for the open-label treatment period, please refer to the “Study Flow Chart” in </w:t>
      </w:r>
      <w:hyperlink w:anchor="_Ref442689829" w:history="1">
        <w:r w:rsidR="00DC79D4" w:rsidRPr="00DC79D4">
          <w:rPr>
            <w:rStyle w:val="Hyperlink"/>
            <w:u w:val="none"/>
          </w:rPr>
          <w:t>Section</w:t>
        </w:r>
      </w:hyperlink>
      <w:r w:rsidR="00DC79D4">
        <w:t xml:space="preserve"> </w:t>
      </w:r>
      <w:r w:rsidR="00DC79D4">
        <w:fldChar w:fldCharType="begin"/>
      </w:r>
      <w:r w:rsidR="00DC79D4">
        <w:instrText xml:space="preserve"> REF _Ref442689829 \r \h </w:instrText>
      </w:r>
      <w:r w:rsidR="00DC79D4">
        <w:fldChar w:fldCharType="separate"/>
      </w:r>
      <w:r w:rsidR="005A26F6">
        <w:t>1.2</w:t>
      </w:r>
      <w:r w:rsidR="00DC79D4">
        <w:fldChar w:fldCharType="end"/>
      </w:r>
      <w:r>
        <w:t xml:space="preserve"> and for detailed description of assessments to </w:t>
      </w:r>
      <w:hyperlink w:anchor="_Ref44315140" w:history="1">
        <w:r w:rsidR="00DC79D4" w:rsidRPr="00DC79D4">
          <w:rPr>
            <w:rStyle w:val="Hyperlink"/>
            <w:u w:val="none"/>
          </w:rPr>
          <w:t>Section</w:t>
        </w:r>
      </w:hyperlink>
      <w:r w:rsidR="00DC79D4">
        <w:t xml:space="preserve"> </w:t>
      </w:r>
      <w:r w:rsidR="00DC79D4">
        <w:fldChar w:fldCharType="begin"/>
      </w:r>
      <w:r w:rsidR="00DC79D4">
        <w:instrText xml:space="preserve"> REF _Ref44315140 \r \h </w:instrText>
      </w:r>
      <w:r w:rsidR="00DC79D4">
        <w:fldChar w:fldCharType="separate"/>
      </w:r>
      <w:r w:rsidR="005A26F6">
        <w:t>9</w:t>
      </w:r>
      <w:r w:rsidR="00DC79D4">
        <w:fldChar w:fldCharType="end"/>
      </w:r>
      <w:r w:rsidR="00BA0D26">
        <w:t xml:space="preserve"> and </w:t>
      </w:r>
      <w:hyperlink w:anchor="_Ref442689853" w:history="1">
        <w:r w:rsidR="00DC79D4" w:rsidRPr="00DC79D4">
          <w:rPr>
            <w:rStyle w:val="Hyperlink"/>
            <w:u w:val="none"/>
          </w:rPr>
          <w:t>Section</w:t>
        </w:r>
      </w:hyperlink>
      <w:r w:rsidR="00DC79D4">
        <w:t xml:space="preserve"> </w:t>
      </w:r>
      <w:r w:rsidR="00DC79D4">
        <w:fldChar w:fldCharType="begin"/>
      </w:r>
      <w:r w:rsidR="00DC79D4">
        <w:instrText xml:space="preserve"> REF _Ref442689853 \r \h </w:instrText>
      </w:r>
      <w:r w:rsidR="00DC79D4">
        <w:fldChar w:fldCharType="separate"/>
      </w:r>
      <w:r w:rsidR="005A26F6">
        <w:t>10.6</w:t>
      </w:r>
      <w:r w:rsidR="00DC79D4">
        <w:fldChar w:fldCharType="end"/>
      </w:r>
      <w:r>
        <w:t>.</w:t>
      </w:r>
    </w:p>
    <w:p w:rsidR="00507168" w:rsidRDefault="00507168" w:rsidP="00507168">
      <w:r>
        <w:t xml:space="preserve">For on-site visits, the Investigator or qualified designee contacts IVRS/IWRS treatments in order to allocate the IMP for the patient. </w:t>
      </w:r>
    </w:p>
    <w:p w:rsidR="00507168" w:rsidRDefault="00507168" w:rsidP="00507168">
      <w:r>
        <w:t>As the patients return their unused kits on these visits, the Investigators or qualified designee will enter in the IVRS/IWRS the quantity of kit(s) unused, and the IVRS/IWRS will take in account this data in order to define the quantity of kits to be allocated.</w:t>
      </w:r>
    </w:p>
    <w:p w:rsidR="00507168" w:rsidRDefault="00507168" w:rsidP="00507168">
      <w:r>
        <w:lastRenderedPageBreak/>
        <w:t>The details of the procedures/assessments to be performed at visits and which are not described elsewhere are provided bellow.</w:t>
      </w:r>
    </w:p>
    <w:p w:rsidR="00507168" w:rsidRPr="00507168" w:rsidRDefault="00507168" w:rsidP="00507168">
      <w:pPr>
        <w:rPr>
          <w:b/>
        </w:rPr>
      </w:pPr>
      <w:r w:rsidRPr="00507168">
        <w:rPr>
          <w:b/>
        </w:rPr>
        <w:t>Compliance check</w:t>
      </w:r>
    </w:p>
    <w:p w:rsidR="00507168" w:rsidRDefault="00507168" w:rsidP="00507168">
      <w:r>
        <w:t>Compliance check includes compliance to IMP and metformin and pioglitazone (if appropriate) treatment and use of glucometer, review of fasting SMPG values, and the 7-point SMPG profile and patient diary.</w:t>
      </w:r>
    </w:p>
    <w:p w:rsidR="00507168" w:rsidRDefault="00507168" w:rsidP="00507168">
      <w:r>
        <w:t>For all on-site visits patients are instructed to return to the site in the morning in fasting condition with the glucose meter, the diary, and the used /in-use pens. For the on-site visits where a resupply is planned, patients will also bring the unused pens. If patient is not compliant to the study, the training has to be repeated by the site staff.</w:t>
      </w:r>
    </w:p>
    <w:p w:rsidR="00812F44" w:rsidRDefault="00507168" w:rsidP="00507168">
      <w:r>
        <w:t>Upon completion of each on-site visit, an appointment for the next visit (on-site visit or Phone call visit) will be made.</w:t>
      </w:r>
    </w:p>
    <w:p w:rsidR="00507168" w:rsidRDefault="00453EDB" w:rsidP="00453EDB">
      <w:pPr>
        <w:pStyle w:val="Heading4"/>
      </w:pPr>
      <w:bookmarkStart w:id="734" w:name="_Ref434493666"/>
      <w:bookmarkStart w:id="735" w:name="_Ref434493863"/>
      <w:bookmarkStart w:id="736" w:name="_Toc443035892"/>
      <w:r w:rsidRPr="00453EDB">
        <w:t>Additional titration phone call visits: V4 (</w:t>
      </w:r>
      <w:r w:rsidR="0007161F">
        <w:t xml:space="preserve">Week </w:t>
      </w:r>
      <w:r w:rsidRPr="00453EDB">
        <w:t>0.5), V6 (</w:t>
      </w:r>
      <w:r w:rsidR="0007161F">
        <w:t xml:space="preserve">Week </w:t>
      </w:r>
      <w:r w:rsidRPr="00453EDB">
        <w:t>1.5), V8 (</w:t>
      </w:r>
      <w:r w:rsidR="0007161F">
        <w:t xml:space="preserve">Week </w:t>
      </w:r>
      <w:r w:rsidRPr="00453EDB">
        <w:t>2.5), V10 (</w:t>
      </w:r>
      <w:r w:rsidR="0007161F">
        <w:t xml:space="preserve">Week </w:t>
      </w:r>
      <w:r w:rsidRPr="00453EDB">
        <w:t>3.5), V12 (</w:t>
      </w:r>
      <w:r w:rsidR="0007161F">
        <w:t xml:space="preserve">Week </w:t>
      </w:r>
      <w:r w:rsidRPr="00453EDB">
        <w:t>4.5), V14 (</w:t>
      </w:r>
      <w:r w:rsidR="0007161F">
        <w:t xml:space="preserve">Week </w:t>
      </w:r>
      <w:r w:rsidRPr="00453EDB">
        <w:t>5.5), V16 (</w:t>
      </w:r>
      <w:r w:rsidR="0007161F">
        <w:t xml:space="preserve">Week </w:t>
      </w:r>
      <w:r w:rsidRPr="00453EDB">
        <w:t>6.5) and V18 (</w:t>
      </w:r>
      <w:r w:rsidR="0007161F">
        <w:t xml:space="preserve">Week </w:t>
      </w:r>
      <w:r w:rsidRPr="00453EDB">
        <w:t>7.5)</w:t>
      </w:r>
      <w:bookmarkEnd w:id="734"/>
      <w:bookmarkEnd w:id="735"/>
      <w:bookmarkEnd w:id="736"/>
      <w:r w:rsidRPr="00453EDB">
        <w:t xml:space="preserve"> </w:t>
      </w:r>
    </w:p>
    <w:p w:rsidR="00453EDB" w:rsidRDefault="00453EDB" w:rsidP="00453EDB">
      <w:r>
        <w:t xml:space="preserve">Twice weekly titrations are recommended as far as possible during the first 8 weeks of treatment in the LixiLan arms (please see </w:t>
      </w:r>
      <w:hyperlink w:anchor="_Ref434174781" w:history="1">
        <w:r w:rsidR="00DC79D4" w:rsidRPr="00DC79D4">
          <w:rPr>
            <w:rStyle w:val="Hyperlink"/>
            <w:u w:val="none"/>
          </w:rPr>
          <w:t>Section</w:t>
        </w:r>
      </w:hyperlink>
      <w:r w:rsidR="00DC79D4">
        <w:t xml:space="preserve"> </w:t>
      </w:r>
      <w:r w:rsidR="00DC79D4">
        <w:fldChar w:fldCharType="begin"/>
      </w:r>
      <w:r w:rsidR="00DC79D4">
        <w:instrText xml:space="preserve"> REF _Ref434174781 \r \h </w:instrText>
      </w:r>
      <w:r w:rsidR="00DC79D4">
        <w:fldChar w:fldCharType="separate"/>
      </w:r>
      <w:r w:rsidR="005A26F6">
        <w:t>8.1.4.1</w:t>
      </w:r>
      <w:r w:rsidR="00DC79D4">
        <w:fldChar w:fldCharType="end"/>
      </w:r>
      <w:r>
        <w:t>). Titrations will be done at the scheduled weekly visits (V5, V7, V9, V11, V13, V15, V17, V19) plus at one additional weekly titration phone call visit to be scheduled between the weekly visits (V4, V6, V8, V10, V12, V14, V16, V18). The additional titration phone call visit should be scheduled to allow for at least two days in between successive visits (example: weekly visits to occur on Mondays and titration phone calls to occur on Thursdays or Fridays). In case the additional phone call is missed during the week, the titration should continue as per the originally planned schedule. These additional phone calls are only for titration purposes, and recommendations should be based on the SMPG measurements and IMP dose administrated.</w:t>
      </w:r>
    </w:p>
    <w:p w:rsidR="00453EDB" w:rsidRDefault="00453EDB" w:rsidP="00453EDB">
      <w:r>
        <w:t>The following 2 questions will be asked to the patient:</w:t>
      </w:r>
    </w:p>
    <w:p w:rsidR="00453EDB" w:rsidRDefault="00453EDB" w:rsidP="00CC67B4">
      <w:pPr>
        <w:pStyle w:val="ListBulletLevel1"/>
        <w:numPr>
          <w:ilvl w:val="0"/>
          <w:numId w:val="104"/>
        </w:numPr>
      </w:pPr>
      <w:r>
        <w:t>Did you experience any new medical event, disease, or symptom since the last visit?</w:t>
      </w:r>
    </w:p>
    <w:p w:rsidR="00453EDB" w:rsidRDefault="00453EDB" w:rsidP="00CC67B4">
      <w:pPr>
        <w:pStyle w:val="ListBulletLevel1"/>
        <w:numPr>
          <w:ilvl w:val="0"/>
          <w:numId w:val="104"/>
        </w:numPr>
      </w:pPr>
      <w:r>
        <w:t>Did you experience any hypoglycemic events or symptoms?</w:t>
      </w:r>
    </w:p>
    <w:p w:rsidR="00453EDB" w:rsidRDefault="00453EDB" w:rsidP="00453EDB">
      <w:r>
        <w:t>If the answer is yes to any of these questions, the adverse event or hypoglycemic event is to be reported, and it needs to be taken into account for the titration recommendation.</w:t>
      </w:r>
    </w:p>
    <w:p w:rsidR="00453EDB" w:rsidRDefault="00ED29A5" w:rsidP="00ED29A5">
      <w:pPr>
        <w:pStyle w:val="Heading4"/>
      </w:pPr>
      <w:bookmarkStart w:id="737" w:name="_Toc443035893"/>
      <w:r w:rsidRPr="00ED29A5">
        <w:t xml:space="preserve">Final on-treatment assessment/end of treatment visit (V28, </w:t>
      </w:r>
      <w:r w:rsidR="0007161F">
        <w:t xml:space="preserve">Week </w:t>
      </w:r>
      <w:r w:rsidRPr="00ED29A5">
        <w:t>26)</w:t>
      </w:r>
      <w:bookmarkEnd w:id="737"/>
    </w:p>
    <w:p w:rsidR="00ED29A5" w:rsidRDefault="00ED29A5" w:rsidP="00ED29A5">
      <w:r>
        <w:t xml:space="preserve">For the complete list and contents of procedures/assessments scheduled for the open-label treatment period, please refer to the “Study Flow Chart” in </w:t>
      </w:r>
      <w:hyperlink w:anchor="_Ref442689875" w:history="1">
        <w:r w:rsidR="00DC79D4" w:rsidRPr="00DC79D4">
          <w:rPr>
            <w:rStyle w:val="Hyperlink"/>
            <w:u w:val="none"/>
          </w:rPr>
          <w:t>Section</w:t>
        </w:r>
      </w:hyperlink>
      <w:r w:rsidR="00DC79D4">
        <w:t xml:space="preserve"> </w:t>
      </w:r>
      <w:r w:rsidR="00DC79D4">
        <w:fldChar w:fldCharType="begin"/>
      </w:r>
      <w:r w:rsidR="00DC79D4">
        <w:instrText xml:space="preserve"> REF _Ref442689875 \r \h </w:instrText>
      </w:r>
      <w:r w:rsidR="00DC79D4">
        <w:fldChar w:fldCharType="separate"/>
      </w:r>
      <w:r w:rsidR="005A26F6">
        <w:t>1.2</w:t>
      </w:r>
      <w:r w:rsidR="00DC79D4">
        <w:fldChar w:fldCharType="end"/>
      </w:r>
      <w:r>
        <w:t xml:space="preserve"> and for detailed description of assessments to </w:t>
      </w:r>
      <w:hyperlink w:anchor="_Ref44315140" w:history="1">
        <w:r w:rsidR="00DC79D4" w:rsidRPr="00DC79D4">
          <w:rPr>
            <w:rStyle w:val="Hyperlink"/>
            <w:u w:val="none"/>
          </w:rPr>
          <w:t>Section</w:t>
        </w:r>
      </w:hyperlink>
      <w:r w:rsidR="00DC79D4">
        <w:t xml:space="preserve"> </w:t>
      </w:r>
      <w:r w:rsidR="00DC79D4">
        <w:fldChar w:fldCharType="begin"/>
      </w:r>
      <w:r w:rsidR="00DC79D4">
        <w:instrText xml:space="preserve"> REF _Ref44315140 \r \h </w:instrText>
      </w:r>
      <w:r w:rsidR="00DC79D4">
        <w:fldChar w:fldCharType="separate"/>
      </w:r>
      <w:r w:rsidR="005A26F6">
        <w:t>9</w:t>
      </w:r>
      <w:r w:rsidR="00DC79D4">
        <w:fldChar w:fldCharType="end"/>
      </w:r>
      <w:r w:rsidR="00BA0D26">
        <w:t xml:space="preserve"> and </w:t>
      </w:r>
      <w:hyperlink w:anchor="_Ref442689901" w:history="1">
        <w:r w:rsidR="00DC79D4" w:rsidRPr="00DC79D4">
          <w:rPr>
            <w:rStyle w:val="Hyperlink"/>
            <w:u w:val="none"/>
          </w:rPr>
          <w:t>Section</w:t>
        </w:r>
      </w:hyperlink>
      <w:r w:rsidR="00DC79D4">
        <w:t xml:space="preserve"> </w:t>
      </w:r>
      <w:r w:rsidR="00DC79D4">
        <w:fldChar w:fldCharType="begin"/>
      </w:r>
      <w:r w:rsidR="00DC79D4">
        <w:instrText xml:space="preserve"> REF _Ref442689901 \r \h </w:instrText>
      </w:r>
      <w:r w:rsidR="00DC79D4">
        <w:fldChar w:fldCharType="separate"/>
      </w:r>
      <w:r w:rsidR="005A26F6">
        <w:t>10.6</w:t>
      </w:r>
      <w:r w:rsidR="00DC79D4">
        <w:fldChar w:fldCharType="end"/>
      </w:r>
      <w:r>
        <w:t>.</w:t>
      </w:r>
    </w:p>
    <w:p w:rsidR="00ED29A5" w:rsidRDefault="00ED29A5" w:rsidP="00ED29A5">
      <w:r>
        <w:lastRenderedPageBreak/>
        <w:t>The same procedures/assessments including IVRS /IWRS contact as planned at V28 (</w:t>
      </w:r>
      <w:r w:rsidR="0007161F">
        <w:t xml:space="preserve">Week </w:t>
      </w:r>
      <w:r>
        <w:t>26) have to be performed in case of prematurely permanent treatment discontinuation (</w:t>
      </w:r>
      <w:hyperlink w:anchor="_Ref442689915" w:history="1">
        <w:r w:rsidR="00DC79D4" w:rsidRPr="00DC79D4">
          <w:rPr>
            <w:rStyle w:val="Hyperlink"/>
            <w:u w:val="none"/>
          </w:rPr>
          <w:t>Section</w:t>
        </w:r>
      </w:hyperlink>
      <w:r w:rsidR="00DC79D4">
        <w:t> </w:t>
      </w:r>
      <w:r w:rsidR="00DC79D4">
        <w:fldChar w:fldCharType="begin"/>
      </w:r>
      <w:r w:rsidR="00DC79D4">
        <w:instrText xml:space="preserve"> REF _Ref442689915 \r \h </w:instrText>
      </w:r>
      <w:r w:rsidR="00DC79D4">
        <w:fldChar w:fldCharType="separate"/>
      </w:r>
      <w:r w:rsidR="005A26F6">
        <w:t>10.3.2</w:t>
      </w:r>
      <w:r w:rsidR="00DC79D4">
        <w:fldChar w:fldCharType="end"/>
      </w:r>
      <w:r>
        <w:t>). The IVRS/IWRS has to be contacted in order to register the end of treatment.</w:t>
      </w:r>
    </w:p>
    <w:p w:rsidR="00ED29A5" w:rsidRDefault="00ED29A5" w:rsidP="00ED29A5">
      <w:r>
        <w:t>An appointment for the post-treatment follow-up phone call visit will be made.</w:t>
      </w:r>
    </w:p>
    <w:p w:rsidR="00ED29A5" w:rsidRDefault="00ED29A5" w:rsidP="00596921">
      <w:pPr>
        <w:pStyle w:val="Heading3"/>
      </w:pPr>
      <w:bookmarkStart w:id="738" w:name="_Toc443035894"/>
      <w:r w:rsidRPr="00ED29A5">
        <w:t>Post-treatment follow-up phone call visit (V29)</w:t>
      </w:r>
      <w:bookmarkEnd w:id="738"/>
    </w:p>
    <w:p w:rsidR="007E1B54" w:rsidRDefault="007E1B54" w:rsidP="007E1B54">
      <w:r>
        <w:t xml:space="preserve">Following the last injection of </w:t>
      </w:r>
      <w:r w:rsidR="00DB1B56" w:rsidRPr="00446EC7">
        <w:t>FRC</w:t>
      </w:r>
      <w:r>
        <w:t>, or GLP-1 RA, either as scheduled or prematurely, a post-treatment follow-up phone call visit is performed 3 (-1/+3) days after the end of treatment visit for patients who completed the study or withdrew from the study at the time of the open-label IMP discontinuation. The post-treatment follow-up phone call visit is not performed for patients who prematurely discontinued the open-label IMP treatment and stay in the study. This visit can be a phone call visit, or an on-site visit in case of ongoing or new adverse event during the post-treatment period, if necessary.</w:t>
      </w:r>
    </w:p>
    <w:p w:rsidR="007E1B54" w:rsidRDefault="007E1B54" w:rsidP="007E1B54">
      <w:r>
        <w:t>The patient is called by the Investigator or medically qualified designee at a certain, previously agreed time point.</w:t>
      </w:r>
    </w:p>
    <w:p w:rsidR="007E1B54" w:rsidRDefault="007E1B54" w:rsidP="007E1B54">
      <w:r>
        <w:t>During the phone call, the following questions are to be asked:</w:t>
      </w:r>
    </w:p>
    <w:p w:rsidR="007E1B54" w:rsidRDefault="007E1B54" w:rsidP="00CC67B4">
      <w:pPr>
        <w:pStyle w:val="ListBulletLevel1"/>
        <w:numPr>
          <w:ilvl w:val="0"/>
          <w:numId w:val="105"/>
        </w:numPr>
      </w:pPr>
      <w:r>
        <w:t>Did you experience any new medical event, disease or symptom since the last visit?</w:t>
      </w:r>
    </w:p>
    <w:p w:rsidR="007E1B54" w:rsidRDefault="007E1B54" w:rsidP="00CC67B4">
      <w:pPr>
        <w:pStyle w:val="ListBulletLevel1"/>
        <w:numPr>
          <w:ilvl w:val="0"/>
          <w:numId w:val="106"/>
        </w:numPr>
      </w:pPr>
      <w:r>
        <w:t>Did you experience any changes in a pre-existing medical condition, disease or symptom since the last visit?</w:t>
      </w:r>
    </w:p>
    <w:p w:rsidR="007E1B54" w:rsidRDefault="007E1B54" w:rsidP="00CC67B4">
      <w:pPr>
        <w:pStyle w:val="ListBulletLevel1"/>
        <w:numPr>
          <w:ilvl w:val="0"/>
          <w:numId w:val="106"/>
        </w:numPr>
      </w:pPr>
      <w:r>
        <w:t>Did you change, take or add any new medications since the last visit?</w:t>
      </w:r>
    </w:p>
    <w:p w:rsidR="007E1B54" w:rsidRDefault="007E1B54" w:rsidP="00CC67B4">
      <w:pPr>
        <w:pStyle w:val="ListBulletLevel1"/>
        <w:numPr>
          <w:ilvl w:val="0"/>
          <w:numId w:val="106"/>
        </w:numPr>
      </w:pPr>
      <w:r>
        <w:t>Did you experience any hypoglycemic symptoms or events?</w:t>
      </w:r>
    </w:p>
    <w:p w:rsidR="007E1B54" w:rsidRDefault="007E1B54" w:rsidP="007E1B54">
      <w:r>
        <w:t>All reports of hypoglycemic events (if any) or any adverse events are recorded. The use or change of any concomitant medications, including rescue therapy, is recorded.</w:t>
      </w:r>
    </w:p>
    <w:p w:rsidR="00ED29A5" w:rsidRPr="00ED29A5" w:rsidRDefault="007E1B54" w:rsidP="007E1B54">
      <w:r>
        <w:t>IVRS/IWRS is contacted for notification of the end of study.</w:t>
      </w:r>
    </w:p>
    <w:p w:rsidR="00812F44" w:rsidRDefault="00596921" w:rsidP="00596921">
      <w:pPr>
        <w:pStyle w:val="Heading3"/>
      </w:pPr>
      <w:bookmarkStart w:id="739" w:name="_Toc443035895"/>
      <w:r w:rsidRPr="00596921">
        <w:t>Unscheduled phone call</w:t>
      </w:r>
      <w:bookmarkEnd w:id="739"/>
      <w:r w:rsidRPr="00596921">
        <w:t xml:space="preserve"> </w:t>
      </w:r>
    </w:p>
    <w:p w:rsidR="00596921" w:rsidRDefault="00596921" w:rsidP="00596921">
      <w:r>
        <w:t xml:space="preserve">In case that an unscheduled telephone visit during the treatment period occurs, the following information should be asked for: </w:t>
      </w:r>
    </w:p>
    <w:p w:rsidR="00596921" w:rsidRDefault="00596921" w:rsidP="00CC67B4">
      <w:pPr>
        <w:pStyle w:val="ListBulletLevel1"/>
        <w:numPr>
          <w:ilvl w:val="0"/>
          <w:numId w:val="107"/>
        </w:numPr>
      </w:pPr>
      <w:r>
        <w:t>During the phone call, ask the patient:</w:t>
      </w:r>
    </w:p>
    <w:p w:rsidR="00596921" w:rsidRDefault="00596921" w:rsidP="00CC67B4">
      <w:pPr>
        <w:pStyle w:val="ListBulletLevel2"/>
        <w:numPr>
          <w:ilvl w:val="0"/>
          <w:numId w:val="108"/>
        </w:numPr>
      </w:pPr>
      <w:r>
        <w:t>Did you experience any new medical event, disease or symptom since the last visit? (Please pay attention to any possible hypoglycemic event or symptom, possible allergic or injection site reactions).</w:t>
      </w:r>
    </w:p>
    <w:p w:rsidR="00596921" w:rsidRDefault="00596921" w:rsidP="00CC67B4">
      <w:pPr>
        <w:pStyle w:val="ListBulletLevel2"/>
        <w:numPr>
          <w:ilvl w:val="0"/>
          <w:numId w:val="108"/>
        </w:numPr>
      </w:pPr>
      <w:r>
        <w:t>Did you experience any change in a pre-existing medical event or disease or symptom since the last visit?</w:t>
      </w:r>
    </w:p>
    <w:p w:rsidR="00596921" w:rsidRDefault="00596921" w:rsidP="00CC67B4">
      <w:pPr>
        <w:pStyle w:val="ListBulletLevel2"/>
        <w:numPr>
          <w:ilvl w:val="0"/>
          <w:numId w:val="108"/>
        </w:numPr>
      </w:pPr>
      <w:r>
        <w:t>Did you change or add any concomitant medication since the last visit?</w:t>
      </w:r>
    </w:p>
    <w:p w:rsidR="00596921" w:rsidRDefault="00596921" w:rsidP="00CC67B4">
      <w:pPr>
        <w:pStyle w:val="ListBulletLevel2"/>
        <w:numPr>
          <w:ilvl w:val="0"/>
          <w:numId w:val="108"/>
        </w:numPr>
      </w:pPr>
      <w:r>
        <w:t>Did you have any technical difficulties with use of the glucometer?</w:t>
      </w:r>
    </w:p>
    <w:p w:rsidR="00596921" w:rsidRDefault="00596921" w:rsidP="00CC67B4">
      <w:pPr>
        <w:pStyle w:val="ListBulletLevel1"/>
        <w:numPr>
          <w:ilvl w:val="0"/>
          <w:numId w:val="109"/>
        </w:numPr>
      </w:pPr>
      <w:r>
        <w:lastRenderedPageBreak/>
        <w:t>Review with the patient:</w:t>
      </w:r>
    </w:p>
    <w:p w:rsidR="00596921" w:rsidRDefault="00596921" w:rsidP="00CC67B4">
      <w:pPr>
        <w:pStyle w:val="ListBulletLevel2"/>
        <w:numPr>
          <w:ilvl w:val="0"/>
          <w:numId w:val="110"/>
        </w:numPr>
      </w:pPr>
      <w:r>
        <w:t>Diet and lifestyle counseling.</w:t>
      </w:r>
    </w:p>
    <w:p w:rsidR="00596921" w:rsidRDefault="00596921" w:rsidP="00CC67B4">
      <w:pPr>
        <w:pStyle w:val="ListBulletLevel1"/>
        <w:numPr>
          <w:ilvl w:val="0"/>
          <w:numId w:val="111"/>
        </w:numPr>
      </w:pPr>
      <w:r>
        <w:t>Instruct patients by:</w:t>
      </w:r>
    </w:p>
    <w:p w:rsidR="00596921" w:rsidRDefault="00596921" w:rsidP="00CC67B4">
      <w:pPr>
        <w:pStyle w:val="ListBulletLevel2"/>
        <w:numPr>
          <w:ilvl w:val="0"/>
          <w:numId w:val="112"/>
        </w:numPr>
      </w:pPr>
      <w:r>
        <w:t>Providing information on how to adjust dose according to their SMPG values;</w:t>
      </w:r>
    </w:p>
    <w:p w:rsidR="00596921" w:rsidRDefault="00596921" w:rsidP="00CC67B4">
      <w:pPr>
        <w:pStyle w:val="ListBulletLevel2"/>
        <w:numPr>
          <w:ilvl w:val="0"/>
          <w:numId w:val="112"/>
        </w:numPr>
      </w:pPr>
      <w:r>
        <w:t>Encourage patients to continue to measure required SMPGs in the Sponsor provided glucometer and complete the insulin doses and hypoglycemic form in the diary for all hypoglycemic events.</w:t>
      </w:r>
    </w:p>
    <w:p w:rsidR="00596921" w:rsidRDefault="00596921" w:rsidP="00CC67B4">
      <w:pPr>
        <w:pStyle w:val="ListBulletLevel1"/>
        <w:numPr>
          <w:ilvl w:val="0"/>
          <w:numId w:val="113"/>
        </w:numPr>
      </w:pPr>
      <w:r>
        <w:t>Record in the clinical database:</w:t>
      </w:r>
    </w:p>
    <w:p w:rsidR="00596921" w:rsidRDefault="00596921" w:rsidP="00CC67B4">
      <w:pPr>
        <w:pStyle w:val="ListBulletLevel2"/>
        <w:numPr>
          <w:ilvl w:val="0"/>
          <w:numId w:val="114"/>
        </w:numPr>
      </w:pPr>
      <w:r>
        <w:t>Any changes to concomitant medication;</w:t>
      </w:r>
    </w:p>
    <w:p w:rsidR="00596921" w:rsidRDefault="00596921" w:rsidP="00CC67B4">
      <w:pPr>
        <w:pStyle w:val="ListBulletLevel2"/>
        <w:numPr>
          <w:ilvl w:val="0"/>
          <w:numId w:val="114"/>
        </w:numPr>
      </w:pPr>
      <w:r>
        <w:t>AE/SAE, injection site reaction, allergic reaction, and hypoglycemia if any;</w:t>
      </w:r>
    </w:p>
    <w:p w:rsidR="00596921" w:rsidRDefault="00596921" w:rsidP="00CC67B4">
      <w:pPr>
        <w:pStyle w:val="ListBulletLevel2"/>
        <w:numPr>
          <w:ilvl w:val="0"/>
          <w:numId w:val="114"/>
        </w:numPr>
      </w:pPr>
      <w:r>
        <w:t xml:space="preserve">Any fasting SMPG leading to titration of the </w:t>
      </w:r>
      <w:r w:rsidR="00DB1B56" w:rsidRPr="00446EC7">
        <w:t>FRC</w:t>
      </w:r>
      <w:r w:rsidR="00DB1B56">
        <w:t xml:space="preserve"> </w:t>
      </w:r>
      <w:r>
        <w:t>dose in the interim since the last visit (3 fasting SMPG measurements for each dose adjustment), which is entered into the clinical database.</w:t>
      </w:r>
    </w:p>
    <w:p w:rsidR="00596921" w:rsidRDefault="00596921" w:rsidP="00CC67B4">
      <w:pPr>
        <w:pStyle w:val="ListBulletLevel1"/>
        <w:numPr>
          <w:ilvl w:val="0"/>
          <w:numId w:val="115"/>
        </w:numPr>
      </w:pPr>
      <w:r>
        <w:t xml:space="preserve">Other SMPG and </w:t>
      </w:r>
      <w:r w:rsidR="00DB1B56" w:rsidRPr="00446EC7">
        <w:t>FRC</w:t>
      </w:r>
      <w:r w:rsidR="00DB1B56">
        <w:t xml:space="preserve"> </w:t>
      </w:r>
      <w:r>
        <w:t>doses for these telephone visits related to usual care may be reviewed in the glucometer and patient diary and are not transferred into the clinical database unless there has been titration of basal insulin or hypoglycemia.</w:t>
      </w:r>
    </w:p>
    <w:p w:rsidR="00596921" w:rsidRPr="00596921" w:rsidRDefault="00596921" w:rsidP="00596921">
      <w:r>
        <w:t>Patient is called by the Investigator or qualified designee at a scheduled time. Patient may at the discretion of the Investigator, communicate SMPG and AE/SAE via email or fax, which is then, placed into the source documents.</w:t>
      </w:r>
    </w:p>
    <w:p w:rsidR="002F41EE" w:rsidRDefault="002F41EE">
      <w:pPr>
        <w:pStyle w:val="Heading2"/>
      </w:pPr>
      <w:bookmarkStart w:id="740" w:name="_Toc89161755"/>
      <w:bookmarkStart w:id="741" w:name="_Toc128558663"/>
      <w:bookmarkStart w:id="742" w:name="_Toc129597750"/>
      <w:bookmarkStart w:id="743" w:name="_Toc130200200"/>
      <w:bookmarkStart w:id="744" w:name="_Toc130368781"/>
      <w:bookmarkStart w:id="745" w:name="_Toc130368911"/>
      <w:bookmarkStart w:id="746" w:name="_Toc130703419"/>
      <w:bookmarkStart w:id="747" w:name="_Toc382298116"/>
      <w:bookmarkStart w:id="748" w:name="_Toc443035896"/>
      <w:r>
        <w:t>Definition of source data</w:t>
      </w:r>
      <w:bookmarkEnd w:id="740"/>
      <w:bookmarkEnd w:id="741"/>
      <w:bookmarkEnd w:id="742"/>
      <w:bookmarkEnd w:id="743"/>
      <w:bookmarkEnd w:id="744"/>
      <w:bookmarkEnd w:id="745"/>
      <w:bookmarkEnd w:id="746"/>
      <w:bookmarkEnd w:id="747"/>
      <w:bookmarkEnd w:id="748"/>
    </w:p>
    <w:p w:rsidR="00596921" w:rsidRDefault="00596921" w:rsidP="00596921">
      <w:pPr>
        <w:pStyle w:val="Heading3"/>
      </w:pPr>
      <w:bookmarkStart w:id="749" w:name="_Ref434492953"/>
      <w:bookmarkStart w:id="750" w:name="_Toc443035897"/>
      <w:r w:rsidRPr="00596921">
        <w:t>Source data to be found in the patient's file</w:t>
      </w:r>
      <w:bookmarkEnd w:id="749"/>
      <w:bookmarkEnd w:id="750"/>
    </w:p>
    <w:p w:rsidR="00596921" w:rsidRDefault="00596921" w:rsidP="00596921">
      <w:r>
        <w:t>Evaluations that are reported in the e-CRF must be supported by appropriately signed identified source documentation related but not limited to the following:</w:t>
      </w:r>
    </w:p>
    <w:p w:rsidR="00596921" w:rsidRDefault="00596921" w:rsidP="00CC67B4">
      <w:pPr>
        <w:pStyle w:val="ListBulletLevel1"/>
        <w:numPr>
          <w:ilvl w:val="0"/>
          <w:numId w:val="116"/>
        </w:numPr>
      </w:pPr>
      <w:r>
        <w:t>Agreement and signature of informed consent mentioning the study identification;</w:t>
      </w:r>
    </w:p>
    <w:p w:rsidR="00596921" w:rsidRDefault="00596921" w:rsidP="00CC67B4">
      <w:pPr>
        <w:pStyle w:val="ListBulletLevel1"/>
        <w:numPr>
          <w:ilvl w:val="0"/>
          <w:numId w:val="116"/>
        </w:numPr>
      </w:pPr>
      <w:r>
        <w:t>Patient identification, last participation in a clinical trial (if any), medical history, associated diseases, and data related to the studied pathology;</w:t>
      </w:r>
    </w:p>
    <w:p w:rsidR="00596921" w:rsidRDefault="00596921" w:rsidP="00CC67B4">
      <w:pPr>
        <w:pStyle w:val="ListBulletLevel1"/>
        <w:numPr>
          <w:ilvl w:val="0"/>
          <w:numId w:val="117"/>
        </w:numPr>
      </w:pPr>
      <w:r>
        <w:t>Contraception method(s) for women of childbearing potential;</w:t>
      </w:r>
    </w:p>
    <w:p w:rsidR="00596921" w:rsidRDefault="00596921" w:rsidP="00CC67B4">
      <w:pPr>
        <w:pStyle w:val="ListBulletLevel1"/>
        <w:numPr>
          <w:ilvl w:val="0"/>
          <w:numId w:val="117"/>
        </w:numPr>
      </w:pPr>
      <w:r>
        <w:t>Reason for lack of childbearing potential for concerned women (eg, postmenopausal, history of hysterectomy);</w:t>
      </w:r>
    </w:p>
    <w:p w:rsidR="00596921" w:rsidRDefault="00596921" w:rsidP="00CC67B4">
      <w:pPr>
        <w:pStyle w:val="ListBulletLevel1"/>
        <w:numPr>
          <w:ilvl w:val="0"/>
          <w:numId w:val="117"/>
        </w:numPr>
      </w:pPr>
      <w:r>
        <w:t>Previous and concomitant medication (including background metformin and rescue therapy);</w:t>
      </w:r>
    </w:p>
    <w:p w:rsidR="00596921" w:rsidRDefault="00596921" w:rsidP="00CC67B4">
      <w:pPr>
        <w:pStyle w:val="ListBulletLevel1"/>
        <w:numPr>
          <w:ilvl w:val="0"/>
          <w:numId w:val="117"/>
        </w:numPr>
      </w:pPr>
      <w:r>
        <w:t>Study identification;</w:t>
      </w:r>
    </w:p>
    <w:p w:rsidR="00596921" w:rsidRDefault="00596921" w:rsidP="00CC67B4">
      <w:pPr>
        <w:pStyle w:val="ListBulletLevel1"/>
        <w:numPr>
          <w:ilvl w:val="0"/>
          <w:numId w:val="117"/>
        </w:numPr>
      </w:pPr>
      <w:r>
        <w:t xml:space="preserve">Treatment kit number, dates of administration and doses of </w:t>
      </w:r>
      <w:r w:rsidR="007659AA" w:rsidRPr="00446EC7">
        <w:t>FRC</w:t>
      </w:r>
      <w:r w:rsidR="007659AA">
        <w:t xml:space="preserve"> </w:t>
      </w:r>
      <w:r>
        <w:t>or GLP-1 RA (Peach pen, Olive pen, Victoza®</w:t>
      </w:r>
      <w:r w:rsidR="00BE64F8">
        <w:t>,</w:t>
      </w:r>
      <w:r>
        <w:t xml:space="preserve"> Byetta®</w:t>
      </w:r>
      <w:r w:rsidR="00BE64F8">
        <w:t xml:space="preserve">, </w:t>
      </w:r>
      <w:r w:rsidR="00BE64F8" w:rsidRPr="00446EC7">
        <w:t>Bydureon®, Tanzeum®/Eperzan®, or Trulicity®</w:t>
      </w:r>
      <w:r>
        <w:t xml:space="preserve"> injectors);</w:t>
      </w:r>
    </w:p>
    <w:p w:rsidR="00596921" w:rsidRDefault="00596921" w:rsidP="00CC67B4">
      <w:pPr>
        <w:pStyle w:val="ListBulletLevel1"/>
        <w:numPr>
          <w:ilvl w:val="0"/>
          <w:numId w:val="118"/>
        </w:numPr>
      </w:pPr>
      <w:r>
        <w:lastRenderedPageBreak/>
        <w:t>Compliance to metformin and pioglitazone (if applicable) assessed by interview and patient’s diary;</w:t>
      </w:r>
    </w:p>
    <w:p w:rsidR="00596921" w:rsidRDefault="00596921" w:rsidP="00CC67B4">
      <w:pPr>
        <w:pStyle w:val="ListBulletLevel1"/>
        <w:numPr>
          <w:ilvl w:val="0"/>
          <w:numId w:val="118"/>
        </w:numPr>
      </w:pPr>
      <w:r>
        <w:t>Dates of visits and assessments including the examination report;</w:t>
      </w:r>
    </w:p>
    <w:p w:rsidR="00596921" w:rsidRDefault="00596921" w:rsidP="00CC67B4">
      <w:pPr>
        <w:pStyle w:val="ListBulletLevel1"/>
        <w:numPr>
          <w:ilvl w:val="0"/>
          <w:numId w:val="118"/>
        </w:numPr>
      </w:pPr>
      <w:r>
        <w:t>Vital signs, height, body weight;</w:t>
      </w:r>
    </w:p>
    <w:p w:rsidR="00596921" w:rsidRDefault="00596921" w:rsidP="00CC67B4">
      <w:pPr>
        <w:pStyle w:val="ListBulletLevel1"/>
        <w:numPr>
          <w:ilvl w:val="0"/>
          <w:numId w:val="118"/>
        </w:numPr>
      </w:pPr>
      <w:r>
        <w:t>Faxed central lab reports and original report received at site (dated and signed by the Principal Investigator or Sub-Investigator);</w:t>
      </w:r>
    </w:p>
    <w:p w:rsidR="00596921" w:rsidRDefault="00596921" w:rsidP="00CC67B4">
      <w:pPr>
        <w:pStyle w:val="ListBulletLevel1"/>
        <w:numPr>
          <w:ilvl w:val="0"/>
          <w:numId w:val="118"/>
        </w:numPr>
      </w:pPr>
      <w:r>
        <w:t xml:space="preserve">IVRS/IWRS confirmation notifications by fax or e-mail (screening, screen failure, randomization, treatment reallocation, treatment/study discontinuation, end of study treatment replacement </w:t>
      </w:r>
      <w:r w:rsidR="00E37F9A">
        <w:t>if applicable, etc</w:t>
      </w:r>
      <w:r>
        <w:t>);</w:t>
      </w:r>
    </w:p>
    <w:p w:rsidR="00596921" w:rsidRDefault="00596921" w:rsidP="00CC67B4">
      <w:pPr>
        <w:pStyle w:val="ListBulletLevel1"/>
        <w:numPr>
          <w:ilvl w:val="0"/>
          <w:numId w:val="118"/>
        </w:numPr>
      </w:pPr>
      <w:r>
        <w:t>ECG records signed and dated;</w:t>
      </w:r>
    </w:p>
    <w:p w:rsidR="00596921" w:rsidRDefault="00596921" w:rsidP="00CC67B4">
      <w:pPr>
        <w:pStyle w:val="ListBulletLevel1"/>
        <w:numPr>
          <w:ilvl w:val="0"/>
          <w:numId w:val="118"/>
        </w:numPr>
      </w:pPr>
      <w:r>
        <w:t>Adverse events and follow-up;</w:t>
      </w:r>
    </w:p>
    <w:p w:rsidR="00596921" w:rsidRDefault="00596921" w:rsidP="00CC67B4">
      <w:pPr>
        <w:pStyle w:val="ListBulletLevel1"/>
        <w:numPr>
          <w:ilvl w:val="0"/>
          <w:numId w:val="119"/>
        </w:numPr>
      </w:pPr>
      <w:r>
        <w:t>In case of SAE or AEs requiring specific monitoring, eg, increased lipase/amylase &gt;2 x ULN, increased calcitonin, the site should file in the source document at least copies of the hospitalization reports if applicable and any relevant examination reports (eg, imagin</w:t>
      </w:r>
      <w:r w:rsidR="00E37F9A">
        <w:t>g reports, specialists’ reports…</w:t>
      </w:r>
      <w:r>
        <w:t>) documenting the follow-up of the SAE or the specific AE;</w:t>
      </w:r>
    </w:p>
    <w:p w:rsidR="00596921" w:rsidRDefault="00596921" w:rsidP="00CC67B4">
      <w:pPr>
        <w:pStyle w:val="ListBulletLevel1"/>
        <w:numPr>
          <w:ilvl w:val="0"/>
          <w:numId w:val="119"/>
        </w:numPr>
      </w:pPr>
      <w:r>
        <w:t>Date of premature study discontinuation (if any) and reason.</w:t>
      </w:r>
    </w:p>
    <w:p w:rsidR="00596921" w:rsidRDefault="00596921" w:rsidP="00596921">
      <w:r>
        <w:t>Source documentation may be found in the following:</w:t>
      </w:r>
    </w:p>
    <w:p w:rsidR="00596921" w:rsidRDefault="00596921" w:rsidP="00CC67B4">
      <w:pPr>
        <w:pStyle w:val="ListBulletLevel1"/>
        <w:numPr>
          <w:ilvl w:val="0"/>
          <w:numId w:val="120"/>
        </w:numPr>
      </w:pPr>
      <w:r>
        <w:t>Patient’s identity;</w:t>
      </w:r>
    </w:p>
    <w:p w:rsidR="00596921" w:rsidRDefault="00596921" w:rsidP="00CC67B4">
      <w:pPr>
        <w:pStyle w:val="ListBulletLevel1"/>
        <w:numPr>
          <w:ilvl w:val="0"/>
          <w:numId w:val="120"/>
        </w:numPr>
      </w:pPr>
      <w:r>
        <w:t>Medical history;</w:t>
      </w:r>
    </w:p>
    <w:p w:rsidR="00596921" w:rsidRDefault="00596921" w:rsidP="00CC67B4">
      <w:pPr>
        <w:pStyle w:val="ListBulletLevel1"/>
        <w:numPr>
          <w:ilvl w:val="0"/>
          <w:numId w:val="120"/>
        </w:numPr>
      </w:pPr>
      <w:r>
        <w:t>Nursing notes;</w:t>
      </w:r>
    </w:p>
    <w:p w:rsidR="00596921" w:rsidRDefault="00596921" w:rsidP="00CC67B4">
      <w:pPr>
        <w:pStyle w:val="ListBulletLevel1"/>
        <w:numPr>
          <w:ilvl w:val="0"/>
          <w:numId w:val="120"/>
        </w:numPr>
      </w:pPr>
      <w:r>
        <w:t>Dietician’s notes;</w:t>
      </w:r>
    </w:p>
    <w:p w:rsidR="00596921" w:rsidRDefault="00596921" w:rsidP="00CC67B4">
      <w:pPr>
        <w:pStyle w:val="ListBulletLevel1"/>
        <w:numPr>
          <w:ilvl w:val="0"/>
          <w:numId w:val="120"/>
        </w:numPr>
      </w:pPr>
      <w:r>
        <w:t>Physician’s notes;</w:t>
      </w:r>
    </w:p>
    <w:p w:rsidR="00596921" w:rsidRDefault="00596921" w:rsidP="00CC67B4">
      <w:pPr>
        <w:pStyle w:val="ListBulletLevel1"/>
        <w:numPr>
          <w:ilvl w:val="0"/>
          <w:numId w:val="120"/>
        </w:numPr>
      </w:pPr>
      <w:r>
        <w:t>Patient’s diaries;</w:t>
      </w:r>
    </w:p>
    <w:p w:rsidR="00596921" w:rsidRDefault="00596921" w:rsidP="00CC67B4">
      <w:pPr>
        <w:pStyle w:val="ListBulletLevel1"/>
        <w:numPr>
          <w:ilvl w:val="0"/>
          <w:numId w:val="120"/>
        </w:numPr>
      </w:pPr>
      <w:r>
        <w:t>Dated and signed print-outs with SMPG downloaded from glucose meter.</w:t>
      </w:r>
    </w:p>
    <w:p w:rsidR="00BE64F8" w:rsidRDefault="00BE64F8" w:rsidP="00BE64F8">
      <w:pPr>
        <w:pStyle w:val="Heading3"/>
      </w:pPr>
      <w:bookmarkStart w:id="751" w:name="_Toc443035898"/>
      <w:r w:rsidRPr="00BE64F8">
        <w:t>Source data verification requirements for patients not randomized</w:t>
      </w:r>
      <w:bookmarkEnd w:id="751"/>
    </w:p>
    <w:p w:rsidR="00BE64F8" w:rsidRPr="00BE64F8" w:rsidRDefault="00BE64F8" w:rsidP="00BE64F8">
      <w:r w:rsidRPr="00BE64F8">
        <w:t>For patients not randomized, the source data that must be checked include the patient's identification details, the informed consent signed by the patient, the study identification, the dates of study visits and the main reasons preventing randomization.</w:t>
      </w:r>
    </w:p>
    <w:p w:rsidR="002F41EE" w:rsidRDefault="002F41EE">
      <w:pPr>
        <w:pStyle w:val="Heading2"/>
      </w:pPr>
      <w:bookmarkStart w:id="752" w:name="_Toc382298117"/>
      <w:bookmarkStart w:id="753" w:name="_Ref434493578"/>
      <w:bookmarkStart w:id="754" w:name="_Ref434493580"/>
      <w:bookmarkStart w:id="755" w:name="_Ref442276558"/>
      <w:bookmarkStart w:id="756" w:name="_Ref442277605"/>
      <w:bookmarkStart w:id="757" w:name="_Ref442689493"/>
      <w:bookmarkStart w:id="758" w:name="_Ref442689518"/>
      <w:bookmarkStart w:id="759" w:name="_Toc443035899"/>
      <w:r>
        <w:t>Handling of patient TEMPORARY OR permanent TREATMENT DISCONTINUATION AND OF PATIENT STUDY DISCONTINUATION</w:t>
      </w:r>
      <w:bookmarkEnd w:id="752"/>
      <w:bookmarkEnd w:id="753"/>
      <w:bookmarkEnd w:id="754"/>
      <w:bookmarkEnd w:id="755"/>
      <w:bookmarkEnd w:id="756"/>
      <w:bookmarkEnd w:id="757"/>
      <w:bookmarkEnd w:id="758"/>
      <w:bookmarkEnd w:id="759"/>
      <w:r>
        <w:t xml:space="preserve"> </w:t>
      </w:r>
    </w:p>
    <w:p w:rsidR="002F41EE" w:rsidRDefault="002F41EE">
      <w:r>
        <w:t>The IMP should be continued whenever possible. In case the IMP is stopped, it should be determined whether the stop can be made temporarily; permanent IMP discontinuation should be a last resort. Any IMP discontinuation should be fully documented in the CRF. In any case, the patient should remain in the study as long as possible.</w:t>
      </w:r>
    </w:p>
    <w:p w:rsidR="002F41EE" w:rsidRPr="00BC6283" w:rsidRDefault="002F41EE">
      <w:pPr>
        <w:pStyle w:val="Heading3"/>
      </w:pPr>
      <w:bookmarkStart w:id="760" w:name="_Toc382298118"/>
      <w:bookmarkStart w:id="761" w:name="_Toc443035900"/>
      <w:r w:rsidRPr="00BC6283">
        <w:lastRenderedPageBreak/>
        <w:t>Temporary treatment discontinuation with investigational medicinal product(s)</w:t>
      </w:r>
      <w:bookmarkEnd w:id="760"/>
      <w:bookmarkEnd w:id="761"/>
    </w:p>
    <w:p w:rsidR="002B482B" w:rsidRDefault="002B482B" w:rsidP="002B482B">
      <w:r>
        <w:t xml:space="preserve">Temporary treatment discontinuation may be considered by the Investigator because of suspected AEs or for other reasons. In case of treatment interruption due to an AE, reinitiation of treatment with the IMP will be done under close and appropriate clinical/and or laboratory monitoring once the Investigator will have considered according to his/her best medical judgment that the responsibility of the IMP(s) in the occurrence of the concerned event was unlikely and if the selection criteria for the study are still met (refer to </w:t>
      </w:r>
      <w:hyperlink w:anchor="_Ref442689934" w:history="1">
        <w:r w:rsidR="00DC79D4" w:rsidRPr="00DC79D4">
          <w:rPr>
            <w:rStyle w:val="Hyperlink"/>
            <w:u w:val="none"/>
          </w:rPr>
          <w:t>Section</w:t>
        </w:r>
      </w:hyperlink>
      <w:r w:rsidR="00DC79D4">
        <w:t xml:space="preserve"> </w:t>
      </w:r>
      <w:r w:rsidR="00DC79D4">
        <w:fldChar w:fldCharType="begin"/>
      </w:r>
      <w:r w:rsidR="00DC79D4">
        <w:instrText xml:space="preserve"> REF _Ref442689934 \r \h </w:instrText>
      </w:r>
      <w:r w:rsidR="00DC79D4">
        <w:fldChar w:fldCharType="separate"/>
      </w:r>
      <w:r w:rsidR="005A26F6">
        <w:t>7.1</w:t>
      </w:r>
      <w:r w:rsidR="00DC79D4">
        <w:fldChar w:fldCharType="end"/>
      </w:r>
      <w:r w:rsidRPr="00BA0D26">
        <w:rPr>
          <w:color w:val="auto"/>
        </w:rPr>
        <w:t xml:space="preserve"> and </w:t>
      </w:r>
      <w:hyperlink w:anchor="_Ref442689944" w:history="1">
        <w:r w:rsidR="00DC79D4" w:rsidRPr="00DC79D4">
          <w:rPr>
            <w:rStyle w:val="Hyperlink"/>
            <w:u w:val="none"/>
          </w:rPr>
          <w:t>Section</w:t>
        </w:r>
      </w:hyperlink>
      <w:r w:rsidR="00DC79D4">
        <w:t xml:space="preserve"> </w:t>
      </w:r>
      <w:r w:rsidR="00DC79D4">
        <w:fldChar w:fldCharType="begin"/>
      </w:r>
      <w:r w:rsidR="00DC79D4">
        <w:instrText xml:space="preserve"> REF _Ref442689944 \r \h </w:instrText>
      </w:r>
      <w:r w:rsidR="00DC79D4">
        <w:fldChar w:fldCharType="separate"/>
      </w:r>
      <w:r w:rsidR="005A26F6">
        <w:t>7.2</w:t>
      </w:r>
      <w:r w:rsidR="00DC79D4">
        <w:fldChar w:fldCharType="end"/>
      </w:r>
      <w:r>
        <w:t>).</w:t>
      </w:r>
    </w:p>
    <w:p w:rsidR="002F41EE" w:rsidRPr="002B482B" w:rsidRDefault="002F41EE">
      <w:r w:rsidRPr="002B482B">
        <w:t>For all temporary treatment discontinuations, duration should be recorded by the Investigator in the appropriate pages</w:t>
      </w:r>
      <w:r w:rsidR="00AA419A" w:rsidRPr="002B482B">
        <w:t xml:space="preserve"> of the </w:t>
      </w:r>
      <w:r w:rsidR="002B482B" w:rsidRPr="002B482B">
        <w:t>e-</w:t>
      </w:r>
      <w:r w:rsidR="00AA419A" w:rsidRPr="002B482B">
        <w:t>CRF</w:t>
      </w:r>
      <w:r w:rsidR="002B482B" w:rsidRPr="002B482B">
        <w:t xml:space="preserve"> when considered as confirmed</w:t>
      </w:r>
      <w:r w:rsidR="00AA419A" w:rsidRPr="002B482B">
        <w:t>.</w:t>
      </w:r>
      <w:r w:rsidRPr="002B482B">
        <w:t xml:space="preserve"> </w:t>
      </w:r>
    </w:p>
    <w:p w:rsidR="002F41EE" w:rsidRDefault="002F41EE">
      <w:pPr>
        <w:pStyle w:val="Heading3"/>
      </w:pPr>
      <w:bookmarkStart w:id="762" w:name="_Toc382298119"/>
      <w:bookmarkStart w:id="763" w:name="_Ref434175262"/>
      <w:bookmarkStart w:id="764" w:name="_Ref434330076"/>
      <w:bookmarkStart w:id="765" w:name="_Ref442278922"/>
      <w:bookmarkStart w:id="766" w:name="_Ref442689915"/>
      <w:bookmarkStart w:id="767" w:name="_Toc443035901"/>
      <w:r>
        <w:t>Permanent treatment discontinuation with investigational medicinal product(s)</w:t>
      </w:r>
      <w:bookmarkEnd w:id="762"/>
      <w:bookmarkEnd w:id="763"/>
      <w:bookmarkEnd w:id="764"/>
      <w:bookmarkEnd w:id="765"/>
      <w:bookmarkEnd w:id="766"/>
      <w:bookmarkEnd w:id="767"/>
    </w:p>
    <w:p w:rsidR="002F41EE" w:rsidRDefault="002F41EE">
      <w:r>
        <w:t>Permanent treatment discontinuation is any treatment discontinuation associated with the definitive decision from the Investigator or the patient not to re-expose the patient to the IMP at any time.</w:t>
      </w:r>
    </w:p>
    <w:p w:rsidR="002F41EE" w:rsidRDefault="002F41EE">
      <w:pPr>
        <w:pStyle w:val="Heading3"/>
      </w:pPr>
      <w:bookmarkStart w:id="768" w:name="_Toc382298120"/>
      <w:bookmarkStart w:id="769" w:name="_Toc443035902"/>
      <w:r>
        <w:t>List of criteria for permanent treatment discontinuation</w:t>
      </w:r>
      <w:bookmarkEnd w:id="768"/>
      <w:bookmarkEnd w:id="769"/>
    </w:p>
    <w:p w:rsidR="008A071C" w:rsidRDefault="002F41EE">
      <w:pPr>
        <w:keepLines/>
        <w:rPr>
          <w:shd w:val="clear" w:color="auto" w:fill="00FFFF"/>
        </w:rPr>
      </w:pPr>
      <w:r>
        <w:t xml:space="preserve">The patients may withdraw from treatment with the IMP if they decide to do so, at any time and irrespective of the reason, or this may be the Investigator’s decision. All efforts should be made to document the reasons for treatment discontinuation and this </w:t>
      </w:r>
      <w:r w:rsidR="008A071C">
        <w:t>should be documented in the e-CRF.</w:t>
      </w:r>
    </w:p>
    <w:p w:rsidR="008A071C" w:rsidRPr="008A071C" w:rsidRDefault="008A071C" w:rsidP="008A071C">
      <w:r w:rsidRPr="008A071C">
        <w:t>Patients may withdraw from treatment with IMP in case of the following reasons:</w:t>
      </w:r>
    </w:p>
    <w:p w:rsidR="008A071C" w:rsidRPr="008A071C" w:rsidRDefault="008A071C" w:rsidP="00CC67B4">
      <w:pPr>
        <w:pStyle w:val="ListBulletLevel1"/>
        <w:numPr>
          <w:ilvl w:val="0"/>
          <w:numId w:val="121"/>
        </w:numPr>
      </w:pPr>
      <w:r w:rsidRPr="008A071C">
        <w:t>At patient’s own request</w:t>
      </w:r>
      <w:r w:rsidR="00DC30DC" w:rsidRPr="00DC30DC">
        <w:t>, ie, withdrawal of consent for treatment</w:t>
      </w:r>
      <w:r w:rsidRPr="008A071C">
        <w:t>;</w:t>
      </w:r>
    </w:p>
    <w:p w:rsidR="008A071C" w:rsidRPr="008A071C" w:rsidRDefault="008A071C" w:rsidP="00CC67B4">
      <w:pPr>
        <w:pStyle w:val="ListBulletLevel1"/>
        <w:numPr>
          <w:ilvl w:val="0"/>
          <w:numId w:val="122"/>
        </w:numPr>
      </w:pPr>
      <w:r w:rsidRPr="008A071C">
        <w:t>If, in the Investigator's opinion, continuation with the administration of IMP would be detrimental to the patient's well-being;</w:t>
      </w:r>
    </w:p>
    <w:p w:rsidR="008A071C" w:rsidRPr="008A071C" w:rsidRDefault="008A071C" w:rsidP="00CC67B4">
      <w:pPr>
        <w:pStyle w:val="ListBulletLevel1"/>
        <w:numPr>
          <w:ilvl w:val="0"/>
          <w:numId w:val="123"/>
        </w:numPr>
      </w:pPr>
      <w:r w:rsidRPr="008A071C">
        <w:t>At the specific request of the Sponsor.</w:t>
      </w:r>
    </w:p>
    <w:p w:rsidR="008A071C" w:rsidRPr="008A071C" w:rsidRDefault="008A071C" w:rsidP="008A071C">
      <w:r w:rsidRPr="008A071C">
        <w:t>A patient must withdraw from treatment with IMP in case of the following:</w:t>
      </w:r>
    </w:p>
    <w:p w:rsidR="008A071C" w:rsidRPr="008A071C" w:rsidRDefault="008A071C" w:rsidP="00CC67B4">
      <w:pPr>
        <w:pStyle w:val="ListBulletLevel1"/>
        <w:numPr>
          <w:ilvl w:val="0"/>
          <w:numId w:val="124"/>
        </w:numPr>
      </w:pPr>
      <w:r w:rsidRPr="008A071C">
        <w:t xml:space="preserve">Intercurrent condition that requires discontinuation of IMP: eg, laboratory abnormalities (see decision tree and general guidance for the follow up of laboratory abnormalities in </w:t>
      </w:r>
      <w:r w:rsidR="001E1AC7" w:rsidRPr="00BA0D26">
        <w:rPr>
          <w:rStyle w:val="BlueReplace"/>
        </w:rPr>
        <w:fldChar w:fldCharType="begin"/>
      </w:r>
      <w:r w:rsidR="001E1AC7" w:rsidRPr="00BA0D26">
        <w:rPr>
          <w:rStyle w:val="BlueReplace"/>
        </w:rPr>
        <w:instrText xml:space="preserve"> REF _Ref435182833 \r \h </w:instrText>
      </w:r>
      <w:r w:rsidR="001E1AC7" w:rsidRPr="00BA0D26">
        <w:rPr>
          <w:rStyle w:val="BlueReplace"/>
        </w:rPr>
      </w:r>
      <w:r w:rsidR="00C24D12" w:rsidRPr="00BA0D26">
        <w:rPr>
          <w:rStyle w:val="BlueReplace"/>
        </w:rPr>
        <w:instrText xml:space="preserve"> \* MERGEFORMAT </w:instrText>
      </w:r>
      <w:r w:rsidR="001E1AC7" w:rsidRPr="00BA0D26">
        <w:rPr>
          <w:rStyle w:val="BlueReplace"/>
        </w:rPr>
        <w:fldChar w:fldCharType="separate"/>
      </w:r>
      <w:r w:rsidR="005A26F6">
        <w:rPr>
          <w:rStyle w:val="BlueReplace"/>
        </w:rPr>
        <w:t>Appendix C</w:t>
      </w:r>
      <w:r w:rsidR="001E1AC7" w:rsidRPr="00BA0D26">
        <w:rPr>
          <w:rStyle w:val="BlueReplace"/>
        </w:rPr>
        <w:fldChar w:fldCharType="end"/>
      </w:r>
      <w:r w:rsidRPr="008A071C">
        <w:t>), diagnosis of acute pancreatitis confirmed by gastroenterologic evaluation and imaging (</w:t>
      </w:r>
      <w:r w:rsidR="00F45C76">
        <w:t xml:space="preserve">see </w:t>
      </w:r>
      <w:hyperlink w:anchor="_Ref434491927" w:history="1">
        <w:r w:rsidR="00DC79D4" w:rsidRPr="00DC79D4">
          <w:rPr>
            <w:rStyle w:val="Hyperlink"/>
            <w:u w:val="none"/>
          </w:rPr>
          <w:t>Section</w:t>
        </w:r>
      </w:hyperlink>
      <w:r w:rsidR="00DC79D4">
        <w:t xml:space="preserve"> </w:t>
      </w:r>
      <w:r w:rsidR="00DC79D4">
        <w:fldChar w:fldCharType="begin"/>
      </w:r>
      <w:r w:rsidR="00DC79D4">
        <w:instrText xml:space="preserve"> REF _Ref434491927 \r \h </w:instrText>
      </w:r>
      <w:r w:rsidR="00DC79D4">
        <w:fldChar w:fldCharType="separate"/>
      </w:r>
      <w:r w:rsidR="005A26F6">
        <w:t>10.6.4</w:t>
      </w:r>
      <w:r w:rsidR="00DC79D4">
        <w:fldChar w:fldCharType="end"/>
      </w:r>
      <w:r w:rsidRPr="008A071C">
        <w:t xml:space="preserve">) calcitonin value ≥50 pg/mL (see </w:t>
      </w:r>
      <w:hyperlink w:anchor="_Ref434493644" w:history="1">
        <w:r w:rsidR="00DC79D4" w:rsidRPr="00DC79D4">
          <w:rPr>
            <w:rStyle w:val="Hyperlink"/>
            <w:u w:val="none"/>
          </w:rPr>
          <w:t>Section</w:t>
        </w:r>
      </w:hyperlink>
      <w:r w:rsidR="00DC79D4">
        <w:t xml:space="preserve"> </w:t>
      </w:r>
      <w:r w:rsidR="00DC79D4">
        <w:fldChar w:fldCharType="begin"/>
      </w:r>
      <w:r w:rsidR="00DC79D4">
        <w:instrText xml:space="preserve"> REF _Ref434493644 \r \h </w:instrText>
      </w:r>
      <w:r w:rsidR="00DC79D4">
        <w:fldChar w:fldCharType="separate"/>
      </w:r>
      <w:r w:rsidR="005A26F6">
        <w:t>10.6.5</w:t>
      </w:r>
      <w:r w:rsidR="00DC79D4">
        <w:fldChar w:fldCharType="end"/>
      </w:r>
      <w:r w:rsidRPr="008A071C">
        <w:t>);</w:t>
      </w:r>
    </w:p>
    <w:p w:rsidR="008A071C" w:rsidRPr="008A071C" w:rsidRDefault="008A071C" w:rsidP="00CC67B4">
      <w:pPr>
        <w:pStyle w:val="ListBulletLevel1"/>
        <w:numPr>
          <w:ilvl w:val="0"/>
          <w:numId w:val="125"/>
        </w:numPr>
      </w:pPr>
      <w:r w:rsidRPr="008A071C">
        <w:t>Pregnancy.</w:t>
      </w:r>
    </w:p>
    <w:p w:rsidR="008A071C" w:rsidRPr="008A071C" w:rsidRDefault="008A071C" w:rsidP="008A071C">
      <w:r w:rsidRPr="008A071C">
        <w:t xml:space="preserve">Any abnormal laboratory value or ECG parameter will be immediately rechecked for confirmation </w:t>
      </w:r>
      <w:r w:rsidR="00EE3C65" w:rsidRPr="00446EC7">
        <w:t>(eg, after 24 hours)</w:t>
      </w:r>
      <w:r w:rsidR="00EE3C65">
        <w:t xml:space="preserve"> </w:t>
      </w:r>
      <w:r w:rsidRPr="008A071C">
        <w:t>before making a decision of permanent discontinuation of the IMP for the patient concerned.</w:t>
      </w:r>
    </w:p>
    <w:p w:rsidR="002F41EE" w:rsidRDefault="002F41EE">
      <w:pPr>
        <w:pStyle w:val="Heading3"/>
      </w:pPr>
      <w:bookmarkStart w:id="770" w:name="_Toc382298121"/>
      <w:bookmarkStart w:id="771" w:name="_Ref434265449"/>
      <w:bookmarkStart w:id="772" w:name="_Ref442279982"/>
      <w:bookmarkStart w:id="773" w:name="_Ref442690128"/>
      <w:bookmarkStart w:id="774" w:name="_Toc443035903"/>
      <w:r>
        <w:lastRenderedPageBreak/>
        <w:t>Handling of patients after permanent treatment discontinuation</w:t>
      </w:r>
      <w:bookmarkEnd w:id="770"/>
      <w:bookmarkEnd w:id="771"/>
      <w:bookmarkEnd w:id="772"/>
      <w:bookmarkEnd w:id="773"/>
      <w:bookmarkEnd w:id="774"/>
    </w:p>
    <w:p w:rsidR="00C60EEB" w:rsidRDefault="00C60EEB">
      <w:r>
        <w:t xml:space="preserve">Patients will be maintained in the study as much as possible and followed-up according to the study procedures as specified in this protocol (except for the 3 day safety post-treatment follow-up assessment) up to the scheduled date of study completion, or up to recovery or stabilization of any AE requiring follow-up as specified in this protocol, whichever comes last. </w:t>
      </w:r>
    </w:p>
    <w:p w:rsidR="00C60EEB" w:rsidRDefault="00C60EEB" w:rsidP="00C60EEB">
      <w:r>
        <w:t>If possible, after the permanent discontinuation of treatment regardless of the reason, the patients will be assessed as soon as possible using the procedure normally planned for the last dosing day with the IMP (V28/End of treatment visit).</w:t>
      </w:r>
    </w:p>
    <w:p w:rsidR="00BD67D9" w:rsidRDefault="00C60EEB">
      <w:r>
        <w:t xml:space="preserve">For the meal test, please refer to </w:t>
      </w:r>
      <w:hyperlink w:anchor="_Ref434179901" w:history="1">
        <w:r w:rsidR="00DC79D4" w:rsidRPr="00DC79D4">
          <w:rPr>
            <w:rStyle w:val="Hyperlink"/>
            <w:u w:val="none"/>
          </w:rPr>
          <w:t>Section</w:t>
        </w:r>
      </w:hyperlink>
      <w:r w:rsidR="00DC79D4">
        <w:t xml:space="preserve"> </w:t>
      </w:r>
      <w:r w:rsidR="00DC79D4">
        <w:fldChar w:fldCharType="begin"/>
      </w:r>
      <w:r w:rsidR="00DC79D4">
        <w:instrText xml:space="preserve"> REF _Ref434179901 \r \h </w:instrText>
      </w:r>
      <w:r w:rsidR="00DC79D4">
        <w:fldChar w:fldCharType="separate"/>
      </w:r>
      <w:r w:rsidR="005A26F6">
        <w:t>9.2.1.2.2</w:t>
      </w:r>
      <w:r w:rsidR="00DC79D4">
        <w:fldChar w:fldCharType="end"/>
      </w:r>
      <w:r>
        <w:t>.</w:t>
      </w:r>
    </w:p>
    <w:p w:rsidR="00BD67D9" w:rsidRDefault="00BD67D9" w:rsidP="00BD67D9">
      <w:r>
        <w:t>All cases of permanent treatment discontinuation should be recorded by the Investigator in the appropriate pages of the e-CRF and in the patient’s medical records when considered as confirmed. IVRS/IWRS should be notified when a patient prematurely discontinues treatment.</w:t>
      </w:r>
    </w:p>
    <w:p w:rsidR="002F41EE" w:rsidRDefault="002F41EE">
      <w:pPr>
        <w:pStyle w:val="Heading3"/>
        <w:rPr>
          <w:rStyle w:val="InstructionsTextChar"/>
          <w:color w:val="auto"/>
          <w:sz w:val="22"/>
        </w:rPr>
      </w:pPr>
      <w:bookmarkStart w:id="775" w:name="_Toc382298122"/>
      <w:bookmarkStart w:id="776" w:name="_Toc443035904"/>
      <w:r>
        <w:t>Procedure and consequence for patient withdrawal from study</w:t>
      </w:r>
      <w:bookmarkEnd w:id="775"/>
      <w:bookmarkEnd w:id="776"/>
    </w:p>
    <w:p w:rsidR="00FF39F0" w:rsidRDefault="00FF39F0" w:rsidP="00FF39F0">
      <w:r w:rsidRPr="00DC30DC">
        <w:t xml:space="preserve">The patients may withdraw from the study before study completion if they decide to do so, at any time and irrespective of the reason. </w:t>
      </w:r>
      <w:r w:rsidRPr="00446EC7">
        <w:t>Withdrawal of consent for treatment should be distinguished from withdrawal of consent for follow-up visits and from withdrawal of consent for non-patient contact follow-up, eg, medical records check. Patients requesting withdrawal should be informed that withdrawal of consent for follow-up may jeopardize the public health value of the study.</w:t>
      </w:r>
      <w:r w:rsidRPr="00DC30DC">
        <w:t xml:space="preserve"> If possible, the patients are assessed using the procedure normally planned for the end-of-study visit.</w:t>
      </w:r>
    </w:p>
    <w:p w:rsidR="00FF39F0" w:rsidRPr="00446EC7" w:rsidRDefault="00FF39F0" w:rsidP="00FF39F0">
      <w:r w:rsidRPr="00446EC7">
        <w:t xml:space="preserve">Patients who withdraw should be explicitly asked about the contribution of possible AEs to their decision to withdraw consent, and any AE information elicited should be documented. Preferably the patient should withdraw consent in writing and, if the patient or the patient’s representative refuses or is physically unavailable, the site should document and sign the reason for the patient’s failure to withdraw consent in writing. </w:t>
      </w:r>
    </w:p>
    <w:p w:rsidR="00FF39F0" w:rsidRDefault="00FF39F0" w:rsidP="00FF39F0">
      <w:r w:rsidRPr="00446EC7">
        <w:t xml:space="preserve">All </w:t>
      </w:r>
      <w:r w:rsidR="00041627">
        <w:t xml:space="preserve">cases of </w:t>
      </w:r>
      <w:r w:rsidRPr="00446EC7">
        <w:t>study withdrawals should be recorded by the Investigator in the appropriate screens of the e-CRF and in the patient’s medical records when considered as confirmed. In the medical record, at least the date of the withdrawal and the reason should be documented.</w:t>
      </w:r>
      <w:r w:rsidR="006F5C6F" w:rsidRPr="006F5C6F">
        <w:t xml:space="preserve"> IVRS/IWRS should be notified when a patient withdraws from the study.</w:t>
      </w:r>
    </w:p>
    <w:p w:rsidR="00FF39F0" w:rsidRDefault="00FF39F0" w:rsidP="00FF39F0">
      <w:r>
        <w:t xml:space="preserve">For patients who fail to return to the site, </w:t>
      </w:r>
      <w:r w:rsidRPr="00446EC7">
        <w:t>unless the patient withdraws the consent for follow-up</w:t>
      </w:r>
      <w:r>
        <w:t>, the Investigator should make the best effort to re-contact the patient (eg, contacting patient’s family or private physician, reviewing available registries or health care databases), and to determine his/her health status, including at least his/her vital status. Attempts to contact such patients must be documented in the patient’s records (eg, times and dates of attempted telephone contact, receipt for sending a registered letter).</w:t>
      </w:r>
    </w:p>
    <w:p w:rsidR="00FF39F0" w:rsidRDefault="00FF39F0" w:rsidP="00FF39F0">
      <w:r>
        <w:t>The statistical analysis plan will specify how these patients lost to follow-up for their primary endpoints will be considered.</w:t>
      </w:r>
    </w:p>
    <w:p w:rsidR="00DC30DC" w:rsidRDefault="00DC30DC" w:rsidP="00DC30DC">
      <w:r>
        <w:lastRenderedPageBreak/>
        <w:t>Patients who have withdrawn from the study cannot be re-randomized (treated) in the study. Their inclusion and treatment numbers must not be reused.</w:t>
      </w:r>
    </w:p>
    <w:p w:rsidR="002F41EE" w:rsidRDefault="002F41EE">
      <w:pPr>
        <w:pStyle w:val="Heading2"/>
      </w:pPr>
      <w:bookmarkStart w:id="777" w:name="_Ref304215734"/>
      <w:bookmarkStart w:id="778" w:name="_Toc382298123"/>
      <w:bookmarkStart w:id="779" w:name="_Toc443035905"/>
      <w:r>
        <w:t>Obligation of the Investigator regarding safety reporting</w:t>
      </w:r>
      <w:bookmarkEnd w:id="777"/>
      <w:bookmarkEnd w:id="778"/>
      <w:bookmarkEnd w:id="779"/>
    </w:p>
    <w:p w:rsidR="002F41EE" w:rsidRDefault="002F41EE">
      <w:pPr>
        <w:pStyle w:val="Heading3"/>
      </w:pPr>
      <w:bookmarkStart w:id="780" w:name="_Toc382298124"/>
      <w:bookmarkStart w:id="781" w:name="_Toc443035906"/>
      <w:r>
        <w:t>Definitions of adverse events</w:t>
      </w:r>
      <w:bookmarkEnd w:id="780"/>
      <w:bookmarkEnd w:id="781"/>
      <w:r>
        <w:t xml:space="preserve"> </w:t>
      </w:r>
    </w:p>
    <w:p w:rsidR="002F41EE" w:rsidRDefault="002F41EE">
      <w:pPr>
        <w:pStyle w:val="Heading4"/>
      </w:pPr>
      <w:bookmarkStart w:id="782" w:name="_Toc382298125"/>
      <w:bookmarkStart w:id="783" w:name="_Toc443035907"/>
      <w:r>
        <w:t>Adverse event</w:t>
      </w:r>
      <w:bookmarkEnd w:id="782"/>
      <w:bookmarkEnd w:id="783"/>
    </w:p>
    <w:p w:rsidR="002F41EE" w:rsidRDefault="002F41EE">
      <w:r>
        <w:t xml:space="preserve">An </w:t>
      </w:r>
      <w:r>
        <w:rPr>
          <w:b/>
          <w:bCs/>
        </w:rPr>
        <w:t>adverse event</w:t>
      </w:r>
      <w:r>
        <w:t xml:space="preserve"> (AE) is any untoward medical occurrence in a patient or clinical investigation patient administered a pharmaceutical product and which does not necessarily have to have a causal relationship with this treatment.</w:t>
      </w:r>
    </w:p>
    <w:p w:rsidR="002F41EE" w:rsidRDefault="002F41EE">
      <w:pPr>
        <w:pStyle w:val="Heading4"/>
      </w:pPr>
      <w:bookmarkStart w:id="784" w:name="_Ref356210483"/>
      <w:bookmarkStart w:id="785" w:name="_Toc382298126"/>
      <w:bookmarkStart w:id="786" w:name="_Toc443035908"/>
      <w:r>
        <w:t>Serious adverse event</w:t>
      </w:r>
      <w:bookmarkEnd w:id="784"/>
      <w:bookmarkEnd w:id="785"/>
      <w:bookmarkEnd w:id="786"/>
    </w:p>
    <w:p w:rsidR="002F41EE" w:rsidRDefault="002F41EE">
      <w:r>
        <w:t xml:space="preserve">A </w:t>
      </w:r>
      <w:r>
        <w:rPr>
          <w:b/>
          <w:bCs/>
        </w:rPr>
        <w:t>serious adverse event</w:t>
      </w:r>
      <w:r>
        <w:t xml:space="preserve"> (SAE) is any untoward medical occurrence that at any dose:</w:t>
      </w:r>
    </w:p>
    <w:p w:rsidR="002F41EE" w:rsidRDefault="002F41EE">
      <w:pPr>
        <w:pStyle w:val="ListBulletLevel1"/>
      </w:pPr>
      <w:r>
        <w:t>Results in death, or</w:t>
      </w:r>
    </w:p>
    <w:p w:rsidR="002F41EE" w:rsidRDefault="002F41EE">
      <w:pPr>
        <w:pStyle w:val="ListBulletLevel1"/>
      </w:pPr>
      <w:r>
        <w:t>Is life-threatening, or</w:t>
      </w:r>
    </w:p>
    <w:p w:rsidR="002F41EE" w:rsidRDefault="00FF4FE5" w:rsidP="009A24BA">
      <w:pPr>
        <w:pStyle w:val="Normalnospace"/>
        <w:ind w:left="357"/>
      </w:pPr>
      <w:r>
        <w:tab/>
      </w:r>
      <w:r w:rsidR="002F41EE">
        <w:t xml:space="preserve">Note: The term “life-threatening” in the definition of “serious” refers to an event in which </w:t>
      </w:r>
      <w:r>
        <w:tab/>
      </w:r>
      <w:r w:rsidR="002F41EE">
        <w:t xml:space="preserve">the patient was at risk of death at the time of the event; it does not refer to an event which </w:t>
      </w:r>
      <w:r>
        <w:tab/>
      </w:r>
      <w:r w:rsidR="002F41EE">
        <w:t>hypothetically might have caused death if it were more severe.</w:t>
      </w:r>
    </w:p>
    <w:p w:rsidR="002F41EE" w:rsidRDefault="002F41EE">
      <w:pPr>
        <w:pStyle w:val="ListBulletLevel1"/>
      </w:pPr>
      <w:r>
        <w:t>Requires inpatient hospitalization or prolongation of existing hospitalization, or</w:t>
      </w:r>
    </w:p>
    <w:p w:rsidR="002F41EE" w:rsidRDefault="002F41EE">
      <w:pPr>
        <w:pStyle w:val="ListBulletLevel1"/>
      </w:pPr>
      <w:r>
        <w:t>Results in persistent or significant disability/incapacity, or</w:t>
      </w:r>
    </w:p>
    <w:p w:rsidR="002F41EE" w:rsidRDefault="002F41EE">
      <w:pPr>
        <w:pStyle w:val="ListBulletLevel1"/>
      </w:pPr>
      <w:r>
        <w:t>Is a congenital anomaly/birth defect</w:t>
      </w:r>
    </w:p>
    <w:p w:rsidR="002F41EE" w:rsidRDefault="002F41EE">
      <w:pPr>
        <w:pStyle w:val="ListBulletLevel1"/>
      </w:pPr>
      <w:r>
        <w:t>Is a medically important event</w:t>
      </w:r>
    </w:p>
    <w:p w:rsidR="002F41EE" w:rsidRDefault="00FF4FE5" w:rsidP="009A24BA">
      <w:pPr>
        <w:pStyle w:val="Normalnospace"/>
        <w:ind w:left="357"/>
      </w:pPr>
      <w:r>
        <w:tab/>
      </w:r>
      <w:r w:rsidR="002F41EE">
        <w:t xml:space="preserve">Medical and scientific judgment should be exercised in deciding whether expedited </w:t>
      </w:r>
      <w:r>
        <w:tab/>
      </w:r>
      <w:r w:rsidR="002F41EE">
        <w:t xml:space="preserve">reporting is appropriate in other situations, such as important medical events that may not </w:t>
      </w:r>
      <w:r>
        <w:tab/>
      </w:r>
      <w:r w:rsidR="002F41EE">
        <w:t xml:space="preserve">be immediately life-threatening or result in death or hospitalization but may jeopardize the </w:t>
      </w:r>
      <w:r>
        <w:tab/>
      </w:r>
      <w:r w:rsidR="002F41EE">
        <w:t xml:space="preserve">patient or may require </w:t>
      </w:r>
      <w:r w:rsidR="001639B0">
        <w:t xml:space="preserve">medical or surgical </w:t>
      </w:r>
      <w:r w:rsidR="002F41EE">
        <w:t xml:space="preserve">intervention (ie, specific measures or corrective </w:t>
      </w:r>
      <w:r>
        <w:tab/>
      </w:r>
      <w:r w:rsidR="002F41EE">
        <w:t>treatment) to prevent one of the other outcomes listed in the definition above.</w:t>
      </w:r>
    </w:p>
    <w:p w:rsidR="002F41EE" w:rsidRDefault="002F41EE" w:rsidP="009A24BA">
      <w:pPr>
        <w:ind w:left="357"/>
      </w:pPr>
      <w:r>
        <w:t>Note: The following list of medically important events is intended to serve as a guideline for determining which condition has to be considered as a medically important event. The list is not intended to be exhaustive:</w:t>
      </w:r>
    </w:p>
    <w:p w:rsidR="002F41EE" w:rsidRDefault="002F41EE" w:rsidP="000310F2">
      <w:pPr>
        <w:pStyle w:val="ListBulletLevel2"/>
        <w:numPr>
          <w:ilvl w:val="0"/>
          <w:numId w:val="5"/>
        </w:numPr>
      </w:pPr>
      <w:r>
        <w:t>Intensive treatment in an emergency room or at home for:</w:t>
      </w:r>
    </w:p>
    <w:p w:rsidR="002F41EE" w:rsidRDefault="002F41EE" w:rsidP="000310F2">
      <w:pPr>
        <w:numPr>
          <w:ilvl w:val="0"/>
          <w:numId w:val="4"/>
        </w:numPr>
        <w:spacing w:before="120"/>
        <w:ind w:left="1434" w:hanging="357"/>
      </w:pPr>
      <w:r>
        <w:t>Allergic bronchospasm</w:t>
      </w:r>
      <w:r w:rsidR="00CC7EDB">
        <w:t>,</w:t>
      </w:r>
    </w:p>
    <w:p w:rsidR="002F41EE" w:rsidRDefault="002F41EE" w:rsidP="000310F2">
      <w:pPr>
        <w:numPr>
          <w:ilvl w:val="0"/>
          <w:numId w:val="4"/>
        </w:numPr>
        <w:spacing w:before="120"/>
        <w:ind w:left="1434" w:hanging="357"/>
      </w:pPr>
      <w:r>
        <w:t>Blood dyscrasias (ie, agranulocytosis, aplastic anemia, bone marrow aplasi</w:t>
      </w:r>
      <w:r w:rsidR="00E37F9A">
        <w:t>a, myelodysplasia, pancytopenia</w:t>
      </w:r>
      <w:r>
        <w:t xml:space="preserve">), </w:t>
      </w:r>
    </w:p>
    <w:p w:rsidR="002F41EE" w:rsidRDefault="002F41EE" w:rsidP="000310F2">
      <w:pPr>
        <w:numPr>
          <w:ilvl w:val="0"/>
          <w:numId w:val="4"/>
        </w:numPr>
        <w:spacing w:before="120"/>
        <w:ind w:left="1434" w:hanging="357"/>
        <w:rPr>
          <w:lang w:val="fr-FR"/>
        </w:rPr>
      </w:pPr>
      <w:r>
        <w:rPr>
          <w:lang w:val="fr-FR"/>
        </w:rPr>
        <w:t>Convulsions (seizures, epilepsy, epileptic fit, absence</w:t>
      </w:r>
      <w:r w:rsidR="00B86DB7">
        <w:rPr>
          <w:lang w:val="fr-FR"/>
        </w:rPr>
        <w:t xml:space="preserve"> seizures</w:t>
      </w:r>
      <w:r>
        <w:rPr>
          <w:lang w:val="fr-FR"/>
        </w:rPr>
        <w:t>, etc).</w:t>
      </w:r>
    </w:p>
    <w:p w:rsidR="002F41EE" w:rsidRDefault="002F41EE" w:rsidP="000310F2">
      <w:pPr>
        <w:pStyle w:val="ListBulletLevel2"/>
        <w:numPr>
          <w:ilvl w:val="0"/>
          <w:numId w:val="3"/>
        </w:numPr>
      </w:pPr>
      <w:r>
        <w:t xml:space="preserve">Development of drug </w:t>
      </w:r>
      <w:r w:rsidR="002F2AC4">
        <w:t xml:space="preserve">dependence </w:t>
      </w:r>
      <w:r>
        <w:t>or drug abuse</w:t>
      </w:r>
      <w:r w:rsidR="00CC7EDB">
        <w:t>,</w:t>
      </w:r>
    </w:p>
    <w:p w:rsidR="002F41EE" w:rsidRDefault="002F41EE" w:rsidP="000310F2">
      <w:pPr>
        <w:pStyle w:val="ListBulletLevel2"/>
        <w:numPr>
          <w:ilvl w:val="0"/>
          <w:numId w:val="3"/>
        </w:numPr>
      </w:pPr>
      <w:r>
        <w:lastRenderedPageBreak/>
        <w:t>ALT &gt;3 x ULN + total bilirubin &gt;2 x ULN or asymptomatic ALT increase &gt;10 x ULN</w:t>
      </w:r>
      <w:r w:rsidR="00CC7EDB">
        <w:t>,</w:t>
      </w:r>
    </w:p>
    <w:p w:rsidR="002F41EE" w:rsidRDefault="002F41EE" w:rsidP="000310F2">
      <w:pPr>
        <w:pStyle w:val="ListBulletLevel2"/>
        <w:numPr>
          <w:ilvl w:val="0"/>
          <w:numId w:val="3"/>
        </w:numPr>
      </w:pPr>
      <w:r>
        <w:t>Suicide attempt or any event suggestive of suicidality</w:t>
      </w:r>
      <w:r w:rsidR="00CC7EDB">
        <w:t>,</w:t>
      </w:r>
    </w:p>
    <w:p w:rsidR="002F41EE" w:rsidRDefault="002F41EE" w:rsidP="000310F2">
      <w:pPr>
        <w:pStyle w:val="ListBulletLevel2"/>
        <w:numPr>
          <w:ilvl w:val="0"/>
          <w:numId w:val="3"/>
        </w:numPr>
      </w:pPr>
      <w:r>
        <w:t>Syncope, loss of consciousness (except if documented as a consequence of blood sampling)</w:t>
      </w:r>
      <w:r w:rsidR="00CC7EDB">
        <w:t>,</w:t>
      </w:r>
    </w:p>
    <w:p w:rsidR="002F41EE" w:rsidRDefault="002F41EE" w:rsidP="000310F2">
      <w:pPr>
        <w:pStyle w:val="ListBulletLevel2"/>
        <w:numPr>
          <w:ilvl w:val="0"/>
          <w:numId w:val="3"/>
        </w:numPr>
      </w:pPr>
      <w:r>
        <w:t>Bullous cutaneous eruptions</w:t>
      </w:r>
      <w:r w:rsidR="00CC7EDB">
        <w:t>,</w:t>
      </w:r>
    </w:p>
    <w:p w:rsidR="002F41EE" w:rsidRPr="00090EAA" w:rsidRDefault="002F41EE" w:rsidP="000310F2">
      <w:pPr>
        <w:pStyle w:val="ListBulletLevel2"/>
        <w:numPr>
          <w:ilvl w:val="0"/>
          <w:numId w:val="3"/>
        </w:numPr>
        <w:rPr>
          <w:rStyle w:val="instructionstextchar0"/>
          <w:rFonts w:ascii="Times New Roman" w:hAnsi="Times New Roman" w:hint="default"/>
        </w:rPr>
      </w:pPr>
      <w:r w:rsidRPr="00090EAA">
        <w:t>Cancers diagnosed during the study</w:t>
      </w:r>
      <w:r w:rsidR="00090EAA">
        <w:t xml:space="preserve"> or aggravated during the study</w:t>
      </w:r>
      <w:r w:rsidR="00CC7EDB">
        <w:t>,</w:t>
      </w:r>
    </w:p>
    <w:p w:rsidR="001639B0" w:rsidRPr="00090EAA" w:rsidRDefault="00CC3712" w:rsidP="000310F2">
      <w:pPr>
        <w:pStyle w:val="ListBulletLevel2"/>
        <w:numPr>
          <w:ilvl w:val="0"/>
          <w:numId w:val="3"/>
        </w:numPr>
        <w:rPr>
          <w:shd w:val="clear" w:color="auto" w:fill="FFCC66"/>
        </w:rPr>
      </w:pPr>
      <w:r w:rsidRPr="00090EAA">
        <w:t>Chronic neurodegenerative diseases (newly diagnosed)</w:t>
      </w:r>
      <w:r w:rsidR="00090EAA" w:rsidRPr="00090EAA">
        <w:t xml:space="preserve"> </w:t>
      </w:r>
      <w:r w:rsidR="00090EAA">
        <w:t>or aggravated during the study</w:t>
      </w:r>
      <w:r w:rsidR="00CC7EDB">
        <w:t>.</w:t>
      </w:r>
    </w:p>
    <w:p w:rsidR="002F41EE" w:rsidRDefault="002F41EE">
      <w:pPr>
        <w:pStyle w:val="Heading4"/>
      </w:pPr>
      <w:bookmarkStart w:id="787" w:name="_Ref353553543"/>
      <w:bookmarkStart w:id="788" w:name="_Toc382298127"/>
      <w:bookmarkStart w:id="789" w:name="_Toc443035909"/>
      <w:r>
        <w:t>Adverse event of special interest</w:t>
      </w:r>
      <w:bookmarkEnd w:id="787"/>
      <w:bookmarkEnd w:id="788"/>
      <w:bookmarkEnd w:id="789"/>
    </w:p>
    <w:p w:rsidR="002F41EE" w:rsidRDefault="002F41EE">
      <w:pPr>
        <w:rPr>
          <w:szCs w:val="22"/>
        </w:rPr>
      </w:pPr>
      <w:r>
        <w:rPr>
          <w:szCs w:val="22"/>
        </w:rPr>
        <w:t>An adverse event of special interest (</w:t>
      </w:r>
      <w:r w:rsidRPr="00F45C76">
        <w:rPr>
          <w:szCs w:val="22"/>
        </w:rPr>
        <w:t>AESI</w:t>
      </w:r>
      <w:r>
        <w:rPr>
          <w:szCs w:val="22"/>
        </w:rPr>
        <w:t xml:space="preserve">) is an AE (serious or non-serious) of scientific and medical concern specific to the </w:t>
      </w:r>
      <w:r>
        <w:rPr>
          <w:szCs w:val="22"/>
          <w:lang w:eastAsia="ja-JP"/>
        </w:rPr>
        <w:t>S</w:t>
      </w:r>
      <w:r>
        <w:rPr>
          <w:szCs w:val="22"/>
        </w:rPr>
        <w:t xml:space="preserve">ponsor’s product or program, for which ongoing monitoring and </w:t>
      </w:r>
      <w:r w:rsidR="00284319">
        <w:rPr>
          <w:szCs w:val="22"/>
        </w:rPr>
        <w:t>immediate notification</w:t>
      </w:r>
      <w:r>
        <w:rPr>
          <w:szCs w:val="22"/>
        </w:rPr>
        <w:t xml:space="preserve"> by the </w:t>
      </w:r>
      <w:r>
        <w:rPr>
          <w:szCs w:val="22"/>
          <w:lang w:eastAsia="ja-JP"/>
        </w:rPr>
        <w:t>I</w:t>
      </w:r>
      <w:r>
        <w:rPr>
          <w:szCs w:val="22"/>
        </w:rPr>
        <w:t xml:space="preserve">nvestigator to the Sponsor </w:t>
      </w:r>
      <w:r w:rsidR="00284319">
        <w:rPr>
          <w:szCs w:val="22"/>
        </w:rPr>
        <w:t>is required</w:t>
      </w:r>
      <w:r>
        <w:rPr>
          <w:szCs w:val="22"/>
        </w:rPr>
        <w:t xml:space="preserve">. Such events may require further investigation in order to characterize and understand them. </w:t>
      </w:r>
      <w:r w:rsidR="00284319">
        <w:rPr>
          <w:szCs w:val="22"/>
        </w:rPr>
        <w:t xml:space="preserve">Adverse events of special interest </w:t>
      </w:r>
      <w:r>
        <w:rPr>
          <w:szCs w:val="22"/>
        </w:rPr>
        <w:t>may be added or removed during a study by protocol amendment.</w:t>
      </w:r>
    </w:p>
    <w:p w:rsidR="00DC0DC4" w:rsidRPr="00DC0DC4" w:rsidRDefault="00DC0DC4" w:rsidP="00DC0DC4">
      <w:pPr>
        <w:rPr>
          <w:szCs w:val="22"/>
        </w:rPr>
      </w:pPr>
      <w:r w:rsidRPr="00DC0DC4">
        <w:rPr>
          <w:szCs w:val="22"/>
        </w:rPr>
        <w:t xml:space="preserve">All AESI will be reported to the Sponsor in the same timeframe as SAEs, ie within 24 hours as detailed in </w:t>
      </w:r>
      <w:hyperlink w:anchor="_Ref356210483" w:history="1">
        <w:r w:rsidR="00DC79D4" w:rsidRPr="00DC79D4">
          <w:rPr>
            <w:rStyle w:val="Hyperlink"/>
            <w:u w:val="none"/>
          </w:rPr>
          <w:t>Section</w:t>
        </w:r>
      </w:hyperlink>
      <w:r w:rsidR="00DC79D4">
        <w:t xml:space="preserve"> </w:t>
      </w:r>
      <w:r w:rsidR="00DC79D4">
        <w:fldChar w:fldCharType="begin"/>
      </w:r>
      <w:r w:rsidR="00DC79D4">
        <w:instrText xml:space="preserve"> REF _Ref356210483 \r \h </w:instrText>
      </w:r>
      <w:r w:rsidR="00DC79D4">
        <w:fldChar w:fldCharType="separate"/>
      </w:r>
      <w:r w:rsidR="005A26F6">
        <w:t>10.4.1.2</w:t>
      </w:r>
      <w:r w:rsidR="00DC79D4">
        <w:fldChar w:fldCharType="end"/>
      </w:r>
      <w:r w:rsidRPr="00DC0DC4">
        <w:rPr>
          <w:szCs w:val="22"/>
        </w:rPr>
        <w:t>.</w:t>
      </w:r>
    </w:p>
    <w:p w:rsidR="00DC0DC4" w:rsidRPr="00DC0DC4" w:rsidRDefault="00DC0DC4" w:rsidP="00DC0DC4">
      <w:pPr>
        <w:rPr>
          <w:szCs w:val="22"/>
        </w:rPr>
      </w:pPr>
      <w:r w:rsidRPr="00DC0DC4">
        <w:rPr>
          <w:szCs w:val="22"/>
        </w:rPr>
        <w:t>AESI are listed below:</w:t>
      </w:r>
    </w:p>
    <w:p w:rsidR="00DC0DC4" w:rsidRPr="00DC0DC4" w:rsidRDefault="00DC0DC4" w:rsidP="00CC67B4">
      <w:pPr>
        <w:pStyle w:val="ListBulletLevel1"/>
        <w:numPr>
          <w:ilvl w:val="0"/>
          <w:numId w:val="126"/>
        </w:numPr>
      </w:pPr>
      <w:r w:rsidRPr="00DC0DC4">
        <w:t xml:space="preserve">ALT increase (&gt;3 x ULN) (see </w:t>
      </w:r>
      <w:r w:rsidR="001E1AC7" w:rsidRPr="00CC7EDB">
        <w:rPr>
          <w:rStyle w:val="BlueReplace"/>
        </w:rPr>
        <w:fldChar w:fldCharType="begin"/>
      </w:r>
      <w:r w:rsidR="001E1AC7" w:rsidRPr="00CC7EDB">
        <w:rPr>
          <w:rStyle w:val="BlueReplace"/>
        </w:rPr>
        <w:instrText xml:space="preserve"> REF _Ref435182833 \r \h </w:instrText>
      </w:r>
      <w:r w:rsidR="001E1AC7" w:rsidRPr="00CC7EDB">
        <w:rPr>
          <w:rStyle w:val="BlueReplace"/>
        </w:rPr>
      </w:r>
      <w:r w:rsidR="009A6873" w:rsidRPr="00CC7EDB">
        <w:rPr>
          <w:rStyle w:val="BlueReplace"/>
        </w:rPr>
        <w:instrText xml:space="preserve"> \* MERGEFORMAT </w:instrText>
      </w:r>
      <w:r w:rsidR="001E1AC7" w:rsidRPr="00CC7EDB">
        <w:rPr>
          <w:rStyle w:val="BlueReplace"/>
        </w:rPr>
        <w:fldChar w:fldCharType="separate"/>
      </w:r>
      <w:r w:rsidR="005A26F6">
        <w:rPr>
          <w:rStyle w:val="BlueReplace"/>
        </w:rPr>
        <w:t>Appendix C</w:t>
      </w:r>
      <w:r w:rsidR="001E1AC7" w:rsidRPr="00CC7EDB">
        <w:rPr>
          <w:rStyle w:val="BlueReplace"/>
        </w:rPr>
        <w:fldChar w:fldCharType="end"/>
      </w:r>
      <w:r w:rsidRPr="00DC0DC4">
        <w:t>);</w:t>
      </w:r>
    </w:p>
    <w:p w:rsidR="00DC0DC4" w:rsidRPr="00DC0DC4" w:rsidRDefault="00DC0DC4" w:rsidP="00CC67B4">
      <w:pPr>
        <w:pStyle w:val="ListBulletLevel1"/>
        <w:numPr>
          <w:ilvl w:val="0"/>
          <w:numId w:val="126"/>
        </w:numPr>
      </w:pPr>
      <w:r w:rsidRPr="00DC0DC4">
        <w:t>Pregnancy occurring in a female patient entered in the study as well as pregnancy occurring in a female partner of a male patient entered in a study with IMP/NIMP;</w:t>
      </w:r>
    </w:p>
    <w:p w:rsidR="00DC0DC4" w:rsidRPr="00DC0DC4" w:rsidRDefault="00DC0DC4" w:rsidP="00CC67B4">
      <w:pPr>
        <w:pStyle w:val="ListBulletLevel1"/>
        <w:numPr>
          <w:ilvl w:val="0"/>
          <w:numId w:val="126"/>
        </w:numPr>
      </w:pPr>
      <w:r w:rsidRPr="00DC0DC4">
        <w:t>Pregnancy will be recorded as an AESI with immediate notification in all cases.</w:t>
      </w:r>
    </w:p>
    <w:p w:rsidR="00DC0DC4" w:rsidRPr="00DC0DC4" w:rsidRDefault="00DC0DC4" w:rsidP="00DC0DC4">
      <w:pPr>
        <w:ind w:left="720"/>
        <w:rPr>
          <w:szCs w:val="22"/>
        </w:rPr>
      </w:pPr>
      <w:r w:rsidRPr="00DC0DC4">
        <w:rPr>
          <w:szCs w:val="22"/>
        </w:rPr>
        <w:t xml:space="preserve">It will be qualified as an SAE only if it fulfills one of the seriousness criteria (see </w:t>
      </w:r>
      <w:hyperlink w:anchor="_Ref356210483" w:history="1">
        <w:r w:rsidR="00DC79D4" w:rsidRPr="00DC79D4">
          <w:rPr>
            <w:rStyle w:val="Hyperlink"/>
            <w:u w:val="none"/>
          </w:rPr>
          <w:t>Section</w:t>
        </w:r>
      </w:hyperlink>
      <w:r w:rsidR="00DC79D4">
        <w:t> </w:t>
      </w:r>
      <w:r w:rsidR="00DC79D4">
        <w:fldChar w:fldCharType="begin"/>
      </w:r>
      <w:r w:rsidR="00DC79D4">
        <w:instrText xml:space="preserve"> REF _Ref356210483 \r \h </w:instrText>
      </w:r>
      <w:r w:rsidR="00DC79D4">
        <w:fldChar w:fldCharType="separate"/>
      </w:r>
      <w:r w:rsidR="005A26F6">
        <w:t>10.4.1.2</w:t>
      </w:r>
      <w:r w:rsidR="00DC79D4">
        <w:fldChar w:fldCharType="end"/>
      </w:r>
      <w:r w:rsidRPr="00DC0DC4">
        <w:rPr>
          <w:szCs w:val="22"/>
        </w:rPr>
        <w:t>);</w:t>
      </w:r>
    </w:p>
    <w:p w:rsidR="00DC0DC4" w:rsidRPr="00DC0DC4" w:rsidRDefault="00DC0DC4" w:rsidP="00CC67B4">
      <w:pPr>
        <w:pStyle w:val="ListBulletLevel2"/>
        <w:numPr>
          <w:ilvl w:val="0"/>
          <w:numId w:val="127"/>
        </w:numPr>
      </w:pPr>
      <w:r w:rsidRPr="00DC0DC4">
        <w:t>In the event of pregnancy in a female participant, IMP should be discontinued;</w:t>
      </w:r>
    </w:p>
    <w:p w:rsidR="00DC0DC4" w:rsidRPr="00DC0DC4" w:rsidRDefault="00DC0DC4" w:rsidP="00CC67B4">
      <w:pPr>
        <w:pStyle w:val="ListBulletLevel2"/>
        <w:numPr>
          <w:ilvl w:val="0"/>
          <w:numId w:val="127"/>
        </w:numPr>
      </w:pPr>
      <w:r w:rsidRPr="00DC0DC4">
        <w:t>Follow-up of the pregnancy in a female participant or in a female partner of a male participant is mandatory until the outcome has been determined.</w:t>
      </w:r>
    </w:p>
    <w:p w:rsidR="00DC0DC4" w:rsidRPr="007913F6" w:rsidRDefault="00DC0DC4" w:rsidP="00CC67B4">
      <w:pPr>
        <w:pStyle w:val="ListBulletLevel1"/>
        <w:numPr>
          <w:ilvl w:val="0"/>
          <w:numId w:val="128"/>
        </w:numPr>
      </w:pPr>
      <w:r w:rsidRPr="00DC0DC4">
        <w:t>Symptomatic overdose (serious or non-serious) with IMP/NIMP</w:t>
      </w:r>
    </w:p>
    <w:p w:rsidR="00DC0DC4" w:rsidRPr="00DC0DC4" w:rsidRDefault="00DC0DC4" w:rsidP="007913F6">
      <w:pPr>
        <w:ind w:left="720"/>
        <w:rPr>
          <w:szCs w:val="22"/>
        </w:rPr>
      </w:pPr>
      <w:r w:rsidRPr="00DC0DC4">
        <w:rPr>
          <w:szCs w:val="22"/>
        </w:rPr>
        <w:t xml:space="preserve">An overdose (accidental or intentional) with the IMP/NIMP is an event suspected by the Investigator or spontaneously notified by the patient (not based on systemic </w:t>
      </w:r>
      <w:r w:rsidR="0047104C" w:rsidRPr="00446EC7">
        <w:rPr>
          <w:szCs w:val="22"/>
        </w:rPr>
        <w:t>pen</w:t>
      </w:r>
      <w:r w:rsidR="0047104C">
        <w:rPr>
          <w:szCs w:val="22"/>
        </w:rPr>
        <w:t xml:space="preserve"> </w:t>
      </w:r>
      <w:r w:rsidRPr="00DC0DC4">
        <w:rPr>
          <w:szCs w:val="22"/>
        </w:rPr>
        <w:t>counts) and defined as follows:</w:t>
      </w:r>
    </w:p>
    <w:p w:rsidR="00DC0DC4" w:rsidRPr="00DC0DC4" w:rsidRDefault="00DC0DC4" w:rsidP="00CC67B4">
      <w:pPr>
        <w:pStyle w:val="ListBulletLevel2"/>
        <w:numPr>
          <w:ilvl w:val="0"/>
          <w:numId w:val="129"/>
        </w:numPr>
      </w:pPr>
      <w:r w:rsidRPr="00DC0DC4">
        <w:t>For insulin glargine/lixisenatide combination: any dose greater than 2-fold above the recommended/planned or prescribed dose administered per day within this Clinical Trial (ie, great</w:t>
      </w:r>
      <w:r w:rsidR="007913F6">
        <w:t xml:space="preserve">er than 40 μg for lixisenatide </w:t>
      </w:r>
      <w:r w:rsidRPr="00DC0DC4">
        <w:t xml:space="preserve">and greater than </w:t>
      </w:r>
      <w:r w:rsidR="00E51970" w:rsidRPr="00446EC7">
        <w:t>120</w:t>
      </w:r>
      <w:r w:rsidR="00E51970">
        <w:t xml:space="preserve"> </w:t>
      </w:r>
      <w:r w:rsidRPr="00DC0DC4">
        <w:t>U for insulin glargine);</w:t>
      </w:r>
    </w:p>
    <w:p w:rsidR="00DC0DC4" w:rsidRPr="00DC0DC4" w:rsidRDefault="00DC0DC4" w:rsidP="00CC67B4">
      <w:pPr>
        <w:pStyle w:val="ListBulletLevel2"/>
        <w:numPr>
          <w:ilvl w:val="0"/>
          <w:numId w:val="129"/>
        </w:numPr>
      </w:pPr>
      <w:r w:rsidRPr="00DC0DC4">
        <w:lastRenderedPageBreak/>
        <w:t>For GLP-1 RA: any dose greater than 2-fold above the recommended/planned or prescribed dose administrated per day within this Clinical Trial (ie, greater t</w:t>
      </w:r>
      <w:r w:rsidR="007913F6">
        <w:t xml:space="preserve">han 3.6 mg per day for Victoza®, </w:t>
      </w:r>
      <w:r w:rsidRPr="00DC0DC4">
        <w:t>greater than 40 μg per day for Byetta®</w:t>
      </w:r>
      <w:r w:rsidR="007913F6">
        <w:t xml:space="preserve">, </w:t>
      </w:r>
      <w:r w:rsidR="007913F6" w:rsidRPr="00446EC7">
        <w:t>greater than 4 mg per week for Bydureon®, greater than 100 mg per week for Tanzeum®/Eperzan®, and greater than 3 mg per week for Trulicity®</w:t>
      </w:r>
      <w:r w:rsidRPr="00446EC7">
        <w:t>);</w:t>
      </w:r>
    </w:p>
    <w:p w:rsidR="00DC0DC4" w:rsidRPr="00DC0DC4" w:rsidRDefault="00DC0DC4" w:rsidP="00CC67B4">
      <w:pPr>
        <w:pStyle w:val="ListBulletLevel2"/>
        <w:numPr>
          <w:ilvl w:val="0"/>
          <w:numId w:val="129"/>
        </w:numPr>
      </w:pPr>
      <w:r w:rsidRPr="00DC0DC4">
        <w:t>For OADs metformin and pioglitazone any dose greater than 2-fold above the recommended/planned or prescribed dose administrated per day within this Clinical trial.</w:t>
      </w:r>
    </w:p>
    <w:p w:rsidR="00DC0DC4" w:rsidRPr="00DC0DC4" w:rsidRDefault="00DC0DC4" w:rsidP="00DC0DC4">
      <w:pPr>
        <w:rPr>
          <w:szCs w:val="22"/>
        </w:rPr>
      </w:pPr>
      <w:r w:rsidRPr="00DC0DC4">
        <w:rPr>
          <w:szCs w:val="22"/>
        </w:rPr>
        <w:t>The circumstances of the overdose (ie, accidental or intentional) should be clearly specified in the verbatim and symptoms, if any, entered on separate AE forms.</w:t>
      </w:r>
    </w:p>
    <w:p w:rsidR="00DC0DC4" w:rsidRDefault="00DC0DC4" w:rsidP="00DC0DC4">
      <w:pPr>
        <w:rPr>
          <w:szCs w:val="22"/>
        </w:rPr>
      </w:pPr>
      <w:r w:rsidRPr="00DC0DC4">
        <w:rPr>
          <w:szCs w:val="22"/>
        </w:rPr>
        <w:t>Note: Asymptomatic overdose with IMP does not need immediate notification, and thus is to be reported in the standard AE pages in the e-CRF.</w:t>
      </w:r>
    </w:p>
    <w:p w:rsidR="0047104C" w:rsidRDefault="0047104C" w:rsidP="0047104C">
      <w:pPr>
        <w:pStyle w:val="Heading4"/>
      </w:pPr>
      <w:bookmarkStart w:id="790" w:name="_Toc443035910"/>
      <w:r w:rsidRPr="0047104C">
        <w:t>AEs requiring specific monitoring and reporting on specific e-CRFs</w:t>
      </w:r>
      <w:bookmarkEnd w:id="790"/>
    </w:p>
    <w:p w:rsidR="00BC34C7" w:rsidRDefault="00BC34C7" w:rsidP="00BC34C7">
      <w:r>
        <w:t>The following AEs require specific monitoring and should be reported on the specific e-CRF for completion. These AEs will only qualify for expedited reporting when Serious (fulfilling SAE criteria).</w:t>
      </w:r>
    </w:p>
    <w:p w:rsidR="00BC34C7" w:rsidRPr="00CC7EDB" w:rsidRDefault="00BC34C7" w:rsidP="00CC67B4">
      <w:pPr>
        <w:pStyle w:val="ListBulletLevel1"/>
        <w:numPr>
          <w:ilvl w:val="0"/>
          <w:numId w:val="130"/>
        </w:numPr>
        <w:rPr>
          <w:color w:val="auto"/>
        </w:rPr>
      </w:pPr>
      <w:r>
        <w:t xml:space="preserve">Suspected allergic reactions (please refer to </w:t>
      </w:r>
      <w:hyperlink w:anchor="_Ref434494022" w:history="1">
        <w:r w:rsidR="00DC79D4" w:rsidRPr="00DC79D4">
          <w:rPr>
            <w:rStyle w:val="Hyperlink"/>
            <w:u w:val="none"/>
          </w:rPr>
          <w:t>Section</w:t>
        </w:r>
      </w:hyperlink>
      <w:r w:rsidR="00DC79D4">
        <w:t xml:space="preserve"> </w:t>
      </w:r>
      <w:r w:rsidR="00DC79D4">
        <w:fldChar w:fldCharType="begin"/>
      </w:r>
      <w:r w:rsidR="00DC79D4">
        <w:instrText xml:space="preserve"> REF _Ref434494022 \r \h </w:instrText>
      </w:r>
      <w:r w:rsidR="00DC79D4">
        <w:fldChar w:fldCharType="separate"/>
      </w:r>
      <w:r w:rsidR="005A26F6">
        <w:t>10.6.3</w:t>
      </w:r>
      <w:r w:rsidR="00DC79D4">
        <w:fldChar w:fldCharType="end"/>
      </w:r>
      <w:r w:rsidRPr="00CC7EDB">
        <w:rPr>
          <w:color w:val="auto"/>
        </w:rPr>
        <w:t>);</w:t>
      </w:r>
    </w:p>
    <w:p w:rsidR="00BC34C7" w:rsidRPr="00CC7EDB" w:rsidRDefault="00BC34C7" w:rsidP="00CC67B4">
      <w:pPr>
        <w:pStyle w:val="ListBulletLevel1"/>
        <w:numPr>
          <w:ilvl w:val="0"/>
          <w:numId w:val="130"/>
        </w:numPr>
        <w:rPr>
          <w:color w:val="auto"/>
        </w:rPr>
      </w:pPr>
      <w:r w:rsidRPr="00CC7EDB">
        <w:rPr>
          <w:color w:val="auto"/>
        </w:rPr>
        <w:t xml:space="preserve">Monitoring of patients with increased pancreatic enzymes &gt;2 x ULN/suspected pancreatitis (please refer to </w:t>
      </w:r>
      <w:hyperlink w:anchor="_Ref434491927" w:history="1">
        <w:r w:rsidR="00DC79D4" w:rsidRPr="00DC79D4">
          <w:rPr>
            <w:rStyle w:val="Hyperlink"/>
            <w:u w:val="none"/>
          </w:rPr>
          <w:t>Section</w:t>
        </w:r>
      </w:hyperlink>
      <w:r w:rsidR="00DC79D4">
        <w:t xml:space="preserve"> </w:t>
      </w:r>
      <w:r w:rsidR="00DC79D4">
        <w:fldChar w:fldCharType="begin"/>
      </w:r>
      <w:r w:rsidR="00DC79D4">
        <w:instrText xml:space="preserve"> REF _Ref434491927 \r \h </w:instrText>
      </w:r>
      <w:r w:rsidR="00DC79D4">
        <w:fldChar w:fldCharType="separate"/>
      </w:r>
      <w:r w:rsidR="005A26F6">
        <w:t>10.6.4</w:t>
      </w:r>
      <w:r w:rsidR="00DC79D4">
        <w:fldChar w:fldCharType="end"/>
      </w:r>
      <w:r w:rsidRPr="00CC7EDB">
        <w:rPr>
          <w:color w:val="auto"/>
        </w:rPr>
        <w:t>);</w:t>
      </w:r>
    </w:p>
    <w:p w:rsidR="00BC34C7" w:rsidRPr="00CC7EDB" w:rsidRDefault="00BC34C7" w:rsidP="00CC67B4">
      <w:pPr>
        <w:pStyle w:val="ListBulletLevel1"/>
        <w:numPr>
          <w:ilvl w:val="0"/>
          <w:numId w:val="130"/>
        </w:numPr>
        <w:rPr>
          <w:color w:val="auto"/>
        </w:rPr>
      </w:pPr>
      <w:r w:rsidRPr="00CC7EDB">
        <w:rPr>
          <w:color w:val="auto"/>
        </w:rPr>
        <w:t xml:space="preserve">Monitoring of patients with increased calcitonin ≥20 pg/ mL (please refer to </w:t>
      </w:r>
      <w:hyperlink w:anchor="_Ref434493644" w:history="1">
        <w:r w:rsidR="00DC79D4" w:rsidRPr="00DC79D4">
          <w:rPr>
            <w:rStyle w:val="Hyperlink"/>
            <w:u w:val="none"/>
          </w:rPr>
          <w:t>Section</w:t>
        </w:r>
      </w:hyperlink>
      <w:r w:rsidR="00DC79D4">
        <w:t> </w:t>
      </w:r>
      <w:r w:rsidR="00DC79D4">
        <w:fldChar w:fldCharType="begin"/>
      </w:r>
      <w:r w:rsidR="00DC79D4">
        <w:instrText xml:space="preserve"> REF _Ref434493644 \r \h </w:instrText>
      </w:r>
      <w:r w:rsidR="00DC79D4">
        <w:fldChar w:fldCharType="separate"/>
      </w:r>
      <w:r w:rsidR="005A26F6">
        <w:t>10.6.5</w:t>
      </w:r>
      <w:r w:rsidR="00DC79D4">
        <w:fldChar w:fldCharType="end"/>
      </w:r>
      <w:r w:rsidRPr="00CC7EDB">
        <w:rPr>
          <w:color w:val="auto"/>
        </w:rPr>
        <w:t>);</w:t>
      </w:r>
    </w:p>
    <w:p w:rsidR="0047104C" w:rsidRPr="0047104C" w:rsidRDefault="00BC34C7" w:rsidP="00CC67B4">
      <w:pPr>
        <w:pStyle w:val="ListBulletLevel1"/>
        <w:numPr>
          <w:ilvl w:val="0"/>
          <w:numId w:val="130"/>
        </w:numPr>
      </w:pPr>
      <w:r w:rsidRPr="00CC7EDB">
        <w:rPr>
          <w:color w:val="auto"/>
        </w:rPr>
        <w:t xml:space="preserve">Monitoring of pen-related events (please refer to </w:t>
      </w:r>
      <w:hyperlink w:anchor="_Ref434492583" w:history="1">
        <w:r w:rsidR="00DC79D4" w:rsidRPr="00DC79D4">
          <w:rPr>
            <w:rStyle w:val="Hyperlink"/>
            <w:u w:val="none"/>
          </w:rPr>
          <w:t>Section</w:t>
        </w:r>
      </w:hyperlink>
      <w:r w:rsidR="00DC79D4">
        <w:t xml:space="preserve"> </w:t>
      </w:r>
      <w:r w:rsidR="00DC79D4">
        <w:fldChar w:fldCharType="begin"/>
      </w:r>
      <w:r w:rsidR="00DC79D4">
        <w:instrText xml:space="preserve"> REF _Ref434492583 \r \h </w:instrText>
      </w:r>
      <w:r w:rsidR="00DC79D4">
        <w:fldChar w:fldCharType="separate"/>
      </w:r>
      <w:r w:rsidR="005A26F6">
        <w:t>10.6.8</w:t>
      </w:r>
      <w:r w:rsidR="00DC79D4">
        <w:fldChar w:fldCharType="end"/>
      </w:r>
      <w:r>
        <w:t>).</w:t>
      </w:r>
    </w:p>
    <w:p w:rsidR="0047104C" w:rsidRDefault="0047104C" w:rsidP="00DC0DC4">
      <w:pPr>
        <w:rPr>
          <w:szCs w:val="22"/>
        </w:rPr>
      </w:pPr>
    </w:p>
    <w:p w:rsidR="002F41EE" w:rsidRDefault="002F41EE">
      <w:pPr>
        <w:pStyle w:val="Heading3"/>
      </w:pPr>
      <w:bookmarkStart w:id="791" w:name="_Toc352790614"/>
      <w:bookmarkStart w:id="792" w:name="_Toc382298129"/>
      <w:bookmarkStart w:id="793" w:name="_Ref420076249"/>
      <w:bookmarkStart w:id="794" w:name="_Ref434493579"/>
      <w:bookmarkStart w:id="795" w:name="_Ref434493581"/>
      <w:bookmarkStart w:id="796" w:name="_Ref442276587"/>
      <w:bookmarkStart w:id="797" w:name="_Ref442277639"/>
      <w:bookmarkStart w:id="798" w:name="_Ref442689528"/>
      <w:bookmarkStart w:id="799" w:name="_Ref442690362"/>
      <w:bookmarkStart w:id="800" w:name="_Ref442971694"/>
      <w:bookmarkStart w:id="801" w:name="_Toc443035911"/>
      <w:bookmarkEnd w:id="791"/>
      <w:r>
        <w:t>General guidelines for reporting adverse events</w:t>
      </w:r>
      <w:bookmarkEnd w:id="792"/>
      <w:bookmarkEnd w:id="793"/>
      <w:bookmarkEnd w:id="794"/>
      <w:bookmarkEnd w:id="795"/>
      <w:bookmarkEnd w:id="796"/>
      <w:bookmarkEnd w:id="797"/>
      <w:bookmarkEnd w:id="798"/>
      <w:bookmarkEnd w:id="799"/>
      <w:bookmarkEnd w:id="800"/>
      <w:bookmarkEnd w:id="801"/>
    </w:p>
    <w:p w:rsidR="008C65C2" w:rsidRDefault="008C65C2" w:rsidP="00CC67B4">
      <w:pPr>
        <w:pStyle w:val="ListBulletLevel1"/>
        <w:numPr>
          <w:ilvl w:val="0"/>
          <w:numId w:val="131"/>
        </w:numPr>
      </w:pPr>
      <w:r>
        <w:t>All AEs, regardless of seriousness or relationship to IMP/NIMP, spanning from the signature of the informed consent form until the end of the study as defined by the protocol for that patient, are to be recorded on the corresponding screen(s) of the e-CRF.</w:t>
      </w:r>
    </w:p>
    <w:p w:rsidR="008C65C2" w:rsidRDefault="008C65C2" w:rsidP="00CC67B4">
      <w:pPr>
        <w:pStyle w:val="ListBulletLevel1"/>
        <w:numPr>
          <w:ilvl w:val="0"/>
          <w:numId w:val="131"/>
        </w:numPr>
      </w:pPr>
      <w:r>
        <w:t xml:space="preserve">Whenever possible, diagnosis or single syndrome should be reported instead of symptoms. The Investigator should specify the date of onset, intensity, action taken with respect to IMP, corrective treatment/therapy given, additional investigations performed, outcome, and his/her opinion as to whether there is a reasonable possibility that the AE was caused by the IMP or by the study procedure(s). </w:t>
      </w:r>
    </w:p>
    <w:p w:rsidR="008C65C2" w:rsidRDefault="008C65C2" w:rsidP="00CC67B4">
      <w:pPr>
        <w:pStyle w:val="ListBulletLevel1"/>
        <w:numPr>
          <w:ilvl w:val="0"/>
          <w:numId w:val="131"/>
        </w:numPr>
      </w:pPr>
      <w:r>
        <w:t xml:space="preserve">The Investigator should take appropriate measures to follow all AEs until clinical recovery is complete and laboratory results have returned to normal, or until progression has been stabilized, or until death, in order to ensure the safety of the patients. This may imply that observations will continue beyond the last planned visit per protocol, and that additional investigations may be requested by the monitoring team up to as noticed by the Sponsor. </w:t>
      </w:r>
    </w:p>
    <w:p w:rsidR="008C65C2" w:rsidRDefault="008C65C2" w:rsidP="00CC67B4">
      <w:pPr>
        <w:pStyle w:val="ListBulletLevel1"/>
        <w:numPr>
          <w:ilvl w:val="0"/>
          <w:numId w:val="131"/>
        </w:numPr>
      </w:pPr>
      <w:r>
        <w:lastRenderedPageBreak/>
        <w:t>When treatment is prematurely discontinued, the patient’s observations will continue until the end of the study as defined by the protocol for that patient.</w:t>
      </w:r>
    </w:p>
    <w:p w:rsidR="008C65C2" w:rsidRDefault="008C65C2" w:rsidP="00CC67B4">
      <w:pPr>
        <w:pStyle w:val="ListBulletLevel1"/>
        <w:numPr>
          <w:ilvl w:val="0"/>
          <w:numId w:val="131"/>
        </w:numPr>
      </w:pPr>
      <w:r>
        <w:t xml:space="preserve">Laboratory, vital signs or ECG abnormalities are to be recorded as AEs only if: </w:t>
      </w:r>
    </w:p>
    <w:p w:rsidR="008C65C2" w:rsidRDefault="008C65C2" w:rsidP="00CC67B4">
      <w:pPr>
        <w:pStyle w:val="ListBulletLevel2"/>
        <w:numPr>
          <w:ilvl w:val="0"/>
          <w:numId w:val="132"/>
        </w:numPr>
      </w:pPr>
      <w:r>
        <w:t>Symptomatic and/or</w:t>
      </w:r>
      <w:r w:rsidR="00C522CD">
        <w:t>;</w:t>
      </w:r>
    </w:p>
    <w:p w:rsidR="008C65C2" w:rsidRDefault="008C65C2" w:rsidP="00CC67B4">
      <w:pPr>
        <w:pStyle w:val="ListBulletLevel2"/>
        <w:numPr>
          <w:ilvl w:val="0"/>
          <w:numId w:val="132"/>
        </w:numPr>
      </w:pPr>
      <w:r>
        <w:t>Requiring either corrective treatment or consultation, and/or</w:t>
      </w:r>
      <w:r w:rsidR="00C522CD">
        <w:t>;</w:t>
      </w:r>
    </w:p>
    <w:p w:rsidR="008C65C2" w:rsidRDefault="008C65C2" w:rsidP="00CC67B4">
      <w:pPr>
        <w:pStyle w:val="ListBulletLevel2"/>
        <w:numPr>
          <w:ilvl w:val="0"/>
          <w:numId w:val="132"/>
        </w:numPr>
      </w:pPr>
      <w:r>
        <w:t>Leading to IMP discontinuation or modification of dosing, and/or</w:t>
      </w:r>
      <w:r w:rsidR="00C522CD">
        <w:t>;</w:t>
      </w:r>
    </w:p>
    <w:p w:rsidR="008C65C2" w:rsidRDefault="008C65C2" w:rsidP="00CC67B4">
      <w:pPr>
        <w:pStyle w:val="ListBulletLevel2"/>
        <w:numPr>
          <w:ilvl w:val="0"/>
          <w:numId w:val="132"/>
        </w:numPr>
      </w:pPr>
      <w:r>
        <w:t>Fulfilling a seriousness criterion, and/or</w:t>
      </w:r>
      <w:r w:rsidR="00C522CD">
        <w:t>;</w:t>
      </w:r>
    </w:p>
    <w:p w:rsidR="008C65C2" w:rsidRPr="008C65C2" w:rsidRDefault="008C65C2" w:rsidP="00CC67B4">
      <w:pPr>
        <w:pStyle w:val="ListBulletLevel2"/>
        <w:numPr>
          <w:ilvl w:val="0"/>
          <w:numId w:val="132"/>
        </w:numPr>
      </w:pPr>
      <w:r>
        <w:t>Defined as an AESI.</w:t>
      </w:r>
    </w:p>
    <w:p w:rsidR="002F41EE" w:rsidRDefault="002F41EE">
      <w:pPr>
        <w:pStyle w:val="Heading3"/>
      </w:pPr>
      <w:bookmarkStart w:id="802" w:name="_Ref298702972"/>
      <w:bookmarkStart w:id="803" w:name="_Toc382298130"/>
      <w:bookmarkStart w:id="804" w:name="_Toc443035912"/>
      <w:r>
        <w:t>Instructions for reporting serious adverse events</w:t>
      </w:r>
      <w:bookmarkEnd w:id="802"/>
      <w:bookmarkEnd w:id="803"/>
      <w:bookmarkEnd w:id="804"/>
    </w:p>
    <w:p w:rsidR="002F41EE" w:rsidRDefault="002F41EE">
      <w:r>
        <w:t xml:space="preserve">In the case of occurrence of an SAE, the Investigator </w:t>
      </w:r>
      <w:r w:rsidR="00BE01AC">
        <w:t xml:space="preserve">or any designees </w:t>
      </w:r>
      <w:r>
        <w:t>must immediately:</w:t>
      </w:r>
    </w:p>
    <w:p w:rsidR="002F41EE" w:rsidRPr="004B1F05" w:rsidRDefault="002F41EE" w:rsidP="00942F60">
      <w:pPr>
        <w:pStyle w:val="ListBulletLevel1"/>
        <w:keepNext/>
      </w:pPr>
      <w:r w:rsidRPr="004B1F05">
        <w:t xml:space="preserve">ENTER (within </w:t>
      </w:r>
      <w:r w:rsidR="00411AB7" w:rsidRPr="004B1F05">
        <w:t>24 hours</w:t>
      </w:r>
      <w:r w:rsidRPr="004B1F05">
        <w:t>) the information related to the SAE in the appropriate screens of the e-CRF; the system will automatically send a notification to the monitoring team after approval of the Investigator within the e-CRF or after a standard delay.</w:t>
      </w:r>
    </w:p>
    <w:p w:rsidR="002F41EE" w:rsidRPr="004B1F05" w:rsidRDefault="002F41EE">
      <w:pPr>
        <w:pStyle w:val="ListBulletLevel1"/>
      </w:pPr>
      <w:r w:rsidRPr="004B1F05">
        <w:t>SEND (preferably by fax or e-mail) a photocopy of all examinations carried out and the dates on which these examinations were performed, to the representative of the monitoring team whose name, fax number, and email address appear on the clinical trial protocol. Care should be taken to ensure that the patient's identity is protected and the patient's identifiers in the clinical trial are properly mentioned on any copy of a source document provided to the Sponsor. For laboratory results, include the laboratory normal ranges.</w:t>
      </w:r>
    </w:p>
    <w:p w:rsidR="002F41EE" w:rsidRPr="004B1F05" w:rsidRDefault="002F41EE">
      <w:pPr>
        <w:pStyle w:val="ListBulletLevel1"/>
      </w:pPr>
      <w:r w:rsidRPr="004B1F05">
        <w:t xml:space="preserve">All further data updates should be recorded in the e-CRF as appropriate, and further documentation as well as additional information (for laboratory data, concomitant medications, patient status, etc) should be sent (by fax or e-mail) to the monitoring team within </w:t>
      </w:r>
      <w:r w:rsidR="00411AB7" w:rsidRPr="004B1F05">
        <w:t>24 hours</w:t>
      </w:r>
      <w:r w:rsidRPr="004B1F05">
        <w:t xml:space="preserve"> of knowledge of the SAE. In addition, every effort should be made to further document any SAE that is fatal or life threatening within a week (7 days) of the initial notification.</w:t>
      </w:r>
    </w:p>
    <w:p w:rsidR="002F41EE" w:rsidRPr="004B1F05" w:rsidRDefault="002F41EE" w:rsidP="004B1F05">
      <w:pPr>
        <w:pStyle w:val="ListBulletLevel1"/>
      </w:pPr>
      <w:r w:rsidRPr="004B1F05">
        <w:t>A back-up plan (using a paper CRF process) is available and should be used when the e</w:t>
      </w:r>
      <w:r w:rsidRPr="004B1F05">
        <w:noBreakHyphen/>
        <w:t>CRF system does not work</w:t>
      </w:r>
      <w:r w:rsidR="004B1F05" w:rsidRPr="004B1F05">
        <w:t xml:space="preserve"> (please see </w:t>
      </w:r>
      <w:r w:rsidR="001E1AC7" w:rsidRPr="00CC7EDB">
        <w:rPr>
          <w:rStyle w:val="BlueReplace"/>
        </w:rPr>
        <w:fldChar w:fldCharType="begin"/>
      </w:r>
      <w:r w:rsidR="001E1AC7" w:rsidRPr="00CC7EDB">
        <w:rPr>
          <w:rStyle w:val="BlueReplace"/>
        </w:rPr>
        <w:instrText xml:space="preserve"> REF _Ref435182880 \r \h </w:instrText>
      </w:r>
      <w:r w:rsidR="001E1AC7" w:rsidRPr="00CC7EDB">
        <w:rPr>
          <w:rStyle w:val="BlueReplace"/>
        </w:rPr>
      </w:r>
      <w:r w:rsidR="009A6873" w:rsidRPr="00CC7EDB">
        <w:rPr>
          <w:rStyle w:val="BlueReplace"/>
        </w:rPr>
        <w:instrText xml:space="preserve"> \* MERGEFORMAT </w:instrText>
      </w:r>
      <w:r w:rsidR="001E1AC7" w:rsidRPr="00CC7EDB">
        <w:rPr>
          <w:rStyle w:val="BlueReplace"/>
        </w:rPr>
        <w:fldChar w:fldCharType="separate"/>
      </w:r>
      <w:r w:rsidR="005A26F6">
        <w:rPr>
          <w:rStyle w:val="BlueReplace"/>
        </w:rPr>
        <w:t>Appendix D</w:t>
      </w:r>
      <w:r w:rsidR="001E1AC7" w:rsidRPr="00CC7EDB">
        <w:rPr>
          <w:rStyle w:val="BlueReplace"/>
        </w:rPr>
        <w:fldChar w:fldCharType="end"/>
      </w:r>
      <w:r w:rsidR="004B1F05" w:rsidRPr="004B1F05">
        <w:t>)</w:t>
      </w:r>
      <w:r w:rsidRPr="004B1F05">
        <w:t>.</w:t>
      </w:r>
    </w:p>
    <w:p w:rsidR="002F41EE" w:rsidRDefault="002F41EE">
      <w:pPr>
        <w:pStyle w:val="ListBulletLevel1"/>
        <w:numPr>
          <w:ilvl w:val="0"/>
          <w:numId w:val="0"/>
        </w:numPr>
      </w:pPr>
      <w:r>
        <w:t>Any SAE brought to the attention of the Investigator at any time after the end of the study for the patient and considered by him/her to be caused by the IMP with a reasonable possibility, should be reported to the monitoring team.</w:t>
      </w:r>
    </w:p>
    <w:p w:rsidR="002F41EE" w:rsidRDefault="002F41EE">
      <w:pPr>
        <w:pStyle w:val="Heading3"/>
      </w:pPr>
      <w:bookmarkStart w:id="805" w:name="_Ref353554124"/>
      <w:bookmarkStart w:id="806" w:name="_Toc382298131"/>
      <w:bookmarkStart w:id="807" w:name="_Toc443035913"/>
      <w:r>
        <w:t>Guidelines for reporting adverse events of special interest</w:t>
      </w:r>
      <w:bookmarkEnd w:id="805"/>
      <w:bookmarkEnd w:id="806"/>
      <w:bookmarkEnd w:id="807"/>
      <w:r>
        <w:t xml:space="preserve">  </w:t>
      </w:r>
    </w:p>
    <w:p w:rsidR="00556BCF" w:rsidRPr="007F1BCF" w:rsidRDefault="002F41EE" w:rsidP="00EB7462">
      <w:pPr>
        <w:rPr>
          <w:rStyle w:val="InstructionsTextChar"/>
          <w:shd w:val="clear" w:color="auto" w:fill="auto"/>
        </w:rPr>
      </w:pPr>
      <w:r>
        <w:t xml:space="preserve">For AESIs, the Sponsor </w:t>
      </w:r>
      <w:r w:rsidR="00BD0B07">
        <w:t>must be</w:t>
      </w:r>
      <w:r>
        <w:t xml:space="preserve"> informed immediately (ie, within </w:t>
      </w:r>
      <w:r w:rsidR="00BD0B07">
        <w:t>24 hours</w:t>
      </w:r>
      <w:r>
        <w:t xml:space="preserve">), as per SAE notification </w:t>
      </w:r>
      <w:r w:rsidR="00BD0B07">
        <w:t xml:space="preserve">guidelines </w:t>
      </w:r>
      <w:r>
        <w:t>described in</w:t>
      </w:r>
      <w:r w:rsidR="00CC7EDB">
        <w:t xml:space="preserve"> </w:t>
      </w:r>
      <w:hyperlink w:anchor="_Ref353553543" w:history="1">
        <w:r w:rsidR="00DC79D4" w:rsidRPr="00DC79D4">
          <w:rPr>
            <w:rStyle w:val="Hyperlink"/>
            <w:u w:val="none"/>
          </w:rPr>
          <w:t>Section</w:t>
        </w:r>
      </w:hyperlink>
      <w:r w:rsidR="00DC79D4">
        <w:t xml:space="preserve"> </w:t>
      </w:r>
      <w:r w:rsidR="00DC79D4">
        <w:fldChar w:fldCharType="begin"/>
      </w:r>
      <w:r w:rsidR="00DC79D4">
        <w:instrText xml:space="preserve"> REF _Ref353553543 \r \h </w:instrText>
      </w:r>
      <w:r w:rsidR="00DC79D4">
        <w:fldChar w:fldCharType="separate"/>
      </w:r>
      <w:r w:rsidR="005A26F6">
        <w:t>10.4.1.3</w:t>
      </w:r>
      <w:r w:rsidR="00DC79D4">
        <w:fldChar w:fldCharType="end"/>
      </w:r>
      <w:r>
        <w:t xml:space="preserve">, even if not fulfilling a seriousness criterion, using the corresponding pages </w:t>
      </w:r>
      <w:r w:rsidR="00BD0B07">
        <w:t xml:space="preserve">of </w:t>
      </w:r>
      <w:r>
        <w:t>the CRF (to be sent) or screens in the e</w:t>
      </w:r>
      <w:r>
        <w:noBreakHyphen/>
        <w:t>CRF.</w:t>
      </w:r>
    </w:p>
    <w:p w:rsidR="00270A52" w:rsidRPr="00EB7462" w:rsidRDefault="00270A52" w:rsidP="00EB7462">
      <w:r w:rsidRPr="00EB7462">
        <w:t>Instructions for AE reporting are summarized in</w:t>
      </w:r>
      <w:r w:rsidR="0017359F">
        <w:t xml:space="preserve"> </w:t>
      </w:r>
      <w:r w:rsidR="00203E0B" w:rsidRPr="00203E0B">
        <w:rPr>
          <w:color w:val="0000FF"/>
        </w:rPr>
        <w:fldChar w:fldCharType="begin"/>
      </w:r>
      <w:r w:rsidR="00203E0B" w:rsidRPr="00203E0B">
        <w:rPr>
          <w:color w:val="0000FF"/>
        </w:rPr>
        <w:instrText xml:space="preserve"> REF _Ref353541884 \h  \* MERGEFORMAT </w:instrText>
      </w:r>
      <w:r w:rsidR="00203E0B" w:rsidRPr="00203E0B">
        <w:rPr>
          <w:color w:val="0000FF"/>
        </w:rPr>
      </w:r>
      <w:r w:rsidR="00203E0B" w:rsidRPr="00203E0B">
        <w:rPr>
          <w:color w:val="0000FF"/>
        </w:rPr>
        <w:fldChar w:fldCharType="separate"/>
      </w:r>
      <w:r w:rsidR="005A26F6" w:rsidRPr="005A26F6">
        <w:rPr>
          <w:color w:val="0000FF"/>
        </w:rPr>
        <w:t>Table 2</w:t>
      </w:r>
      <w:r w:rsidR="00203E0B" w:rsidRPr="00203E0B">
        <w:rPr>
          <w:color w:val="0000FF"/>
        </w:rPr>
        <w:fldChar w:fldCharType="end"/>
      </w:r>
      <w:r w:rsidR="0017359F">
        <w:t>.</w:t>
      </w:r>
    </w:p>
    <w:p w:rsidR="002F41EE" w:rsidRDefault="002F41EE">
      <w:pPr>
        <w:pStyle w:val="Heading3"/>
      </w:pPr>
      <w:bookmarkStart w:id="808" w:name="_Toc382298132"/>
      <w:bookmarkStart w:id="809" w:name="_Ref420397585"/>
      <w:bookmarkStart w:id="810" w:name="_Ref442972524"/>
      <w:bookmarkStart w:id="811" w:name="_Toc443035914"/>
      <w:r>
        <w:lastRenderedPageBreak/>
        <w:t>Guidelines for management of specific laboratory abnormalities</w:t>
      </w:r>
      <w:bookmarkEnd w:id="808"/>
      <w:bookmarkEnd w:id="809"/>
      <w:bookmarkEnd w:id="810"/>
      <w:bookmarkEnd w:id="811"/>
    </w:p>
    <w:p w:rsidR="002F41EE" w:rsidRDefault="002F41EE">
      <w:r>
        <w:t>Decision trees for the management of certain laboratory abnormalities by Sanofi are provided in</w:t>
      </w:r>
      <w:r w:rsidR="0017359F">
        <w:t xml:space="preserve"> </w:t>
      </w:r>
      <w:r w:rsidR="001E1AC7" w:rsidRPr="00CC7EDB">
        <w:rPr>
          <w:rStyle w:val="BlueReplace"/>
        </w:rPr>
        <w:fldChar w:fldCharType="begin"/>
      </w:r>
      <w:r w:rsidR="001E1AC7" w:rsidRPr="00CC7EDB">
        <w:rPr>
          <w:rStyle w:val="BlueReplace"/>
        </w:rPr>
        <w:instrText xml:space="preserve"> REF _Ref435182833 \r \h </w:instrText>
      </w:r>
      <w:r w:rsidR="001E1AC7" w:rsidRPr="00CC7EDB">
        <w:rPr>
          <w:rStyle w:val="BlueReplace"/>
        </w:rPr>
      </w:r>
      <w:r w:rsidR="009A6873" w:rsidRPr="00CC7EDB">
        <w:rPr>
          <w:rStyle w:val="BlueReplace"/>
        </w:rPr>
        <w:instrText xml:space="preserve"> \* MERGEFORMAT </w:instrText>
      </w:r>
      <w:r w:rsidR="001E1AC7" w:rsidRPr="00CC7EDB">
        <w:rPr>
          <w:rStyle w:val="BlueReplace"/>
        </w:rPr>
        <w:fldChar w:fldCharType="separate"/>
      </w:r>
      <w:r w:rsidR="005A26F6">
        <w:rPr>
          <w:rStyle w:val="BlueReplace"/>
        </w:rPr>
        <w:t>Appendix C</w:t>
      </w:r>
      <w:r w:rsidR="001E1AC7" w:rsidRPr="00CC7EDB">
        <w:rPr>
          <w:rStyle w:val="BlueReplace"/>
        </w:rPr>
        <w:fldChar w:fldCharType="end"/>
      </w:r>
      <w:r>
        <w:t xml:space="preserve">. </w:t>
      </w:r>
    </w:p>
    <w:p w:rsidR="002F41EE" w:rsidRDefault="002F41EE">
      <w:r>
        <w:t xml:space="preserve">The following laboratory abnormalities should be monitored, documented, and managed according to the related flow chart in protocol appendices. </w:t>
      </w:r>
    </w:p>
    <w:p w:rsidR="002F41EE" w:rsidRDefault="002F41EE" w:rsidP="00075613">
      <w:pPr>
        <w:pStyle w:val="ListBulletLevel1"/>
        <w:numPr>
          <w:ilvl w:val="0"/>
          <w:numId w:val="6"/>
        </w:numPr>
        <w:spacing w:before="80"/>
      </w:pPr>
      <w:r>
        <w:t>Neutropenia</w:t>
      </w:r>
      <w:r w:rsidR="00CC7EDB">
        <w:t>;</w:t>
      </w:r>
    </w:p>
    <w:p w:rsidR="002F41EE" w:rsidRDefault="002F41EE" w:rsidP="00075613">
      <w:pPr>
        <w:pStyle w:val="ListBulletLevel1"/>
        <w:numPr>
          <w:ilvl w:val="0"/>
          <w:numId w:val="6"/>
        </w:numPr>
        <w:spacing w:before="80"/>
      </w:pPr>
      <w:r>
        <w:t>Thrombocytopenia</w:t>
      </w:r>
      <w:r w:rsidR="00CC7EDB">
        <w:t>;</w:t>
      </w:r>
    </w:p>
    <w:p w:rsidR="0017359F" w:rsidRDefault="0017359F" w:rsidP="00075613">
      <w:pPr>
        <w:pStyle w:val="ListBulletLevel1"/>
        <w:numPr>
          <w:ilvl w:val="0"/>
          <w:numId w:val="6"/>
        </w:numPr>
        <w:spacing w:before="80"/>
      </w:pPr>
      <w:r>
        <w:t>Increase in ALT</w:t>
      </w:r>
      <w:r w:rsidR="00CC7EDB">
        <w:t>;</w:t>
      </w:r>
    </w:p>
    <w:p w:rsidR="002F41EE" w:rsidRDefault="002F41EE" w:rsidP="00075613">
      <w:pPr>
        <w:pStyle w:val="ListBulletLevel1"/>
        <w:numPr>
          <w:ilvl w:val="0"/>
          <w:numId w:val="6"/>
        </w:numPr>
        <w:spacing w:before="80"/>
      </w:pPr>
      <w:r>
        <w:t>Acute renal insufficiency</w:t>
      </w:r>
      <w:r w:rsidR="00CC7EDB">
        <w:t>;</w:t>
      </w:r>
    </w:p>
    <w:p w:rsidR="001639B0" w:rsidRPr="0017359F" w:rsidRDefault="002F41EE" w:rsidP="00075613">
      <w:pPr>
        <w:pStyle w:val="ListBulletLevel1"/>
        <w:numPr>
          <w:ilvl w:val="0"/>
          <w:numId w:val="6"/>
        </w:numPr>
        <w:spacing w:before="80"/>
        <w:rPr>
          <w:rStyle w:val="Emphasis"/>
          <w:i w:val="0"/>
          <w:iCs w:val="0"/>
        </w:rPr>
      </w:pPr>
      <w:r>
        <w:t>Suspicion of rhabdomyolysis</w:t>
      </w:r>
      <w:r w:rsidR="00CC7EDB">
        <w:t>.</w:t>
      </w:r>
    </w:p>
    <w:p w:rsidR="0017359F" w:rsidRPr="0017359F" w:rsidRDefault="00DC057A" w:rsidP="0017359F">
      <w:pPr>
        <w:pStyle w:val="Caption"/>
      </w:pPr>
      <w:bookmarkStart w:id="812" w:name="_Toc442096329"/>
      <w:bookmarkStart w:id="813" w:name="_Ref353541884"/>
      <w:bookmarkStart w:id="814" w:name="_Toc443035982"/>
      <w:r>
        <w:t>Table </w:t>
      </w:r>
      <w:r>
        <w:fldChar w:fldCharType="begin"/>
      </w:r>
      <w:r>
        <w:instrText xml:space="preserve"> SEQ Table \* ARABIC </w:instrText>
      </w:r>
      <w:r>
        <w:fldChar w:fldCharType="separate"/>
      </w:r>
      <w:r w:rsidR="005A26F6">
        <w:rPr>
          <w:noProof/>
        </w:rPr>
        <w:t>2</w:t>
      </w:r>
      <w:r>
        <w:fldChar w:fldCharType="end"/>
      </w:r>
      <w:bookmarkEnd w:id="813"/>
      <w:r>
        <w:t xml:space="preserve"> </w:t>
      </w:r>
      <w:r w:rsidR="0088403C">
        <w:t>-</w:t>
      </w:r>
      <w:r>
        <w:t xml:space="preserve"> Summary of </w:t>
      </w:r>
      <w:r w:rsidR="00420E97">
        <w:t>adverse event</w:t>
      </w:r>
      <w:r>
        <w:t xml:space="preserve"> reporting instructions</w:t>
      </w:r>
      <w:bookmarkEnd w:id="812"/>
      <w:bookmarkEnd w:id="814"/>
    </w:p>
    <w:tbl>
      <w:tblPr>
        <w:tblW w:w="5000" w:type="pct"/>
        <w:jc w:val="center"/>
        <w:tblBorders>
          <w:top w:val="single" w:sz="2" w:space="0" w:color="000000"/>
        </w:tblBorders>
        <w:tblLook w:val="01E0" w:firstRow="1" w:lastRow="1" w:firstColumn="1" w:lastColumn="1" w:noHBand="0" w:noVBand="0"/>
      </w:tblPr>
      <w:tblGrid>
        <w:gridCol w:w="2467"/>
        <w:gridCol w:w="1389"/>
        <w:gridCol w:w="3258"/>
        <w:gridCol w:w="438"/>
        <w:gridCol w:w="1235"/>
        <w:gridCol w:w="739"/>
      </w:tblGrid>
      <w:tr w:rsidR="00EF2B6B" w:rsidTr="00BA3D0B">
        <w:trPr>
          <w:cantSplit/>
          <w:trHeight w:val="353"/>
          <w:tblHeader/>
          <w:jc w:val="center"/>
        </w:trPr>
        <w:tc>
          <w:tcPr>
            <w:tcW w:w="1295" w:type="pct"/>
            <w:vMerge w:val="restart"/>
            <w:tcBorders>
              <w:top w:val="single" w:sz="4" w:space="0" w:color="000000"/>
              <w:bottom w:val="single" w:sz="4" w:space="0" w:color="000000"/>
            </w:tcBorders>
            <w:shd w:val="clear" w:color="000000" w:fill="auto"/>
            <w:tcMar>
              <w:left w:w="28" w:type="dxa"/>
              <w:right w:w="28" w:type="dxa"/>
            </w:tcMar>
          </w:tcPr>
          <w:p w:rsidR="00EF2B6B" w:rsidRPr="00075613" w:rsidRDefault="00231E77" w:rsidP="00C24D12">
            <w:pPr>
              <w:pStyle w:val="TblHeadingCenter"/>
              <w:keepNext/>
              <w:keepLines/>
              <w:spacing w:before="0" w:after="0"/>
              <w:jc w:val="left"/>
              <w:rPr>
                <w:rFonts w:ascii="Arial Narrow" w:hAnsi="Arial Narrow"/>
              </w:rPr>
            </w:pPr>
            <w:r w:rsidRPr="00075613">
              <w:rPr>
                <w:rFonts w:ascii="Arial Narrow" w:hAnsi="Arial Narrow"/>
              </w:rPr>
              <w:t>Event category</w:t>
            </w:r>
          </w:p>
        </w:tc>
        <w:tc>
          <w:tcPr>
            <w:tcW w:w="729" w:type="pct"/>
            <w:vMerge w:val="restart"/>
            <w:tcBorders>
              <w:top w:val="single" w:sz="4" w:space="0" w:color="000000"/>
              <w:bottom w:val="single" w:sz="4" w:space="0" w:color="000000"/>
            </w:tcBorders>
            <w:shd w:val="clear" w:color="000000" w:fill="auto"/>
            <w:tcMar>
              <w:left w:w="28" w:type="dxa"/>
              <w:right w:w="28" w:type="dxa"/>
            </w:tcMar>
          </w:tcPr>
          <w:p w:rsidR="00EF2B6B" w:rsidRPr="00075613" w:rsidRDefault="00231E77" w:rsidP="00C24D12">
            <w:pPr>
              <w:pStyle w:val="TblHeadingCenter"/>
              <w:keepNext/>
              <w:keepLines/>
              <w:spacing w:before="0" w:after="0"/>
              <w:rPr>
                <w:rFonts w:ascii="Arial Narrow" w:hAnsi="Arial Narrow"/>
              </w:rPr>
            </w:pPr>
            <w:r w:rsidRPr="00075613">
              <w:rPr>
                <w:rFonts w:ascii="Arial Narrow" w:hAnsi="Arial Narrow"/>
              </w:rPr>
              <w:t>Reporting timeframe</w:t>
            </w:r>
          </w:p>
        </w:tc>
        <w:tc>
          <w:tcPr>
            <w:tcW w:w="1710" w:type="pct"/>
            <w:vMerge w:val="restart"/>
            <w:tcBorders>
              <w:top w:val="single" w:sz="4" w:space="0" w:color="000000"/>
              <w:bottom w:val="single" w:sz="4" w:space="0" w:color="000000"/>
            </w:tcBorders>
            <w:shd w:val="clear" w:color="000000" w:fill="auto"/>
            <w:tcMar>
              <w:left w:w="28" w:type="dxa"/>
              <w:right w:w="28" w:type="dxa"/>
            </w:tcMar>
          </w:tcPr>
          <w:p w:rsidR="00EF2B6B" w:rsidRPr="00075613" w:rsidRDefault="00231E77" w:rsidP="00C24D12">
            <w:pPr>
              <w:pStyle w:val="TblHeadingCenter"/>
              <w:keepNext/>
              <w:keepLines/>
              <w:spacing w:before="0" w:after="0"/>
              <w:rPr>
                <w:rFonts w:ascii="Arial Narrow" w:hAnsi="Arial Narrow"/>
                <w:lang w:val="en-GB"/>
              </w:rPr>
            </w:pPr>
            <w:r w:rsidRPr="00075613">
              <w:rPr>
                <w:rFonts w:ascii="Arial Narrow" w:hAnsi="Arial Narrow"/>
                <w:lang w:val="en-GB"/>
              </w:rPr>
              <w:t>Specific events in this category</w:t>
            </w:r>
          </w:p>
        </w:tc>
        <w:tc>
          <w:tcPr>
            <w:tcW w:w="1266" w:type="pct"/>
            <w:gridSpan w:val="3"/>
            <w:tcBorders>
              <w:top w:val="single" w:sz="4" w:space="0" w:color="000000"/>
              <w:bottom w:val="single" w:sz="4" w:space="0" w:color="000000"/>
            </w:tcBorders>
            <w:shd w:val="clear" w:color="000000" w:fill="auto"/>
            <w:tcMar>
              <w:left w:w="28" w:type="dxa"/>
              <w:right w:w="28" w:type="dxa"/>
            </w:tcMar>
          </w:tcPr>
          <w:p w:rsidR="00EF2B6B" w:rsidRPr="00075613" w:rsidRDefault="00231E77" w:rsidP="00C24D12">
            <w:pPr>
              <w:pStyle w:val="TblHeadingCenter"/>
              <w:keepNext/>
              <w:keepLines/>
              <w:spacing w:before="0" w:after="0"/>
              <w:rPr>
                <w:rFonts w:ascii="Arial Narrow" w:hAnsi="Arial Narrow"/>
              </w:rPr>
            </w:pPr>
            <w:r w:rsidRPr="00075613">
              <w:rPr>
                <w:rFonts w:ascii="Arial Narrow" w:hAnsi="Arial Narrow"/>
              </w:rPr>
              <w:t>Case Report Form completion</w:t>
            </w:r>
          </w:p>
        </w:tc>
      </w:tr>
      <w:tr w:rsidR="003D63F9" w:rsidTr="00BA3D0B">
        <w:trPr>
          <w:cantSplit/>
          <w:trHeight w:val="352"/>
          <w:tblHeader/>
          <w:jc w:val="center"/>
        </w:trPr>
        <w:tc>
          <w:tcPr>
            <w:tcW w:w="1295" w:type="pct"/>
            <w:vMerge/>
            <w:tcBorders>
              <w:top w:val="single" w:sz="4" w:space="0" w:color="auto"/>
              <w:bottom w:val="single" w:sz="4" w:space="0" w:color="000000"/>
            </w:tcBorders>
            <w:shd w:val="clear" w:color="000000" w:fill="auto"/>
            <w:tcMar>
              <w:left w:w="28" w:type="dxa"/>
              <w:right w:w="28" w:type="dxa"/>
            </w:tcMar>
          </w:tcPr>
          <w:p w:rsidR="00EF2B6B" w:rsidRDefault="00EF2B6B" w:rsidP="00C24D12">
            <w:pPr>
              <w:keepNext/>
              <w:keepLines/>
              <w:spacing w:before="0"/>
              <w:rPr>
                <w:b/>
                <w:sz w:val="16"/>
                <w:szCs w:val="16"/>
              </w:rPr>
            </w:pPr>
          </w:p>
        </w:tc>
        <w:tc>
          <w:tcPr>
            <w:tcW w:w="729" w:type="pct"/>
            <w:vMerge/>
            <w:tcBorders>
              <w:top w:val="single" w:sz="4" w:space="0" w:color="auto"/>
              <w:bottom w:val="single" w:sz="4" w:space="0" w:color="000000"/>
            </w:tcBorders>
            <w:shd w:val="clear" w:color="000000" w:fill="auto"/>
            <w:tcMar>
              <w:left w:w="28" w:type="dxa"/>
              <w:right w:w="28" w:type="dxa"/>
            </w:tcMar>
          </w:tcPr>
          <w:p w:rsidR="00EF2B6B" w:rsidRDefault="00EF2B6B" w:rsidP="00C24D12">
            <w:pPr>
              <w:keepNext/>
              <w:keepLines/>
              <w:spacing w:before="0"/>
              <w:rPr>
                <w:b/>
                <w:sz w:val="16"/>
                <w:szCs w:val="16"/>
              </w:rPr>
            </w:pPr>
          </w:p>
        </w:tc>
        <w:tc>
          <w:tcPr>
            <w:tcW w:w="1710" w:type="pct"/>
            <w:vMerge/>
            <w:tcBorders>
              <w:top w:val="single" w:sz="4" w:space="0" w:color="auto"/>
              <w:bottom w:val="single" w:sz="4" w:space="0" w:color="000000"/>
            </w:tcBorders>
            <w:shd w:val="clear" w:color="000000" w:fill="auto"/>
            <w:tcMar>
              <w:left w:w="28" w:type="dxa"/>
              <w:right w:w="28" w:type="dxa"/>
            </w:tcMar>
          </w:tcPr>
          <w:p w:rsidR="00EF2B6B" w:rsidRDefault="00EF2B6B" w:rsidP="00C24D12">
            <w:pPr>
              <w:keepNext/>
              <w:keepLines/>
              <w:spacing w:before="0"/>
              <w:rPr>
                <w:b/>
                <w:sz w:val="16"/>
                <w:szCs w:val="16"/>
              </w:rPr>
            </w:pPr>
          </w:p>
        </w:tc>
        <w:tc>
          <w:tcPr>
            <w:tcW w:w="230" w:type="pct"/>
            <w:tcBorders>
              <w:top w:val="single" w:sz="4" w:space="0" w:color="000000"/>
              <w:bottom w:val="single" w:sz="4" w:space="0" w:color="000000"/>
            </w:tcBorders>
            <w:shd w:val="clear" w:color="000000" w:fill="auto"/>
            <w:tcMar>
              <w:left w:w="28" w:type="dxa"/>
              <w:right w:w="28" w:type="dxa"/>
            </w:tcMar>
          </w:tcPr>
          <w:p w:rsidR="00EF2B6B" w:rsidRPr="00BD5113" w:rsidRDefault="00EF2B6B" w:rsidP="00C24D12">
            <w:pPr>
              <w:pStyle w:val="TblTextCenter"/>
              <w:keepNext/>
              <w:keepLines/>
              <w:spacing w:before="0" w:after="0"/>
            </w:pPr>
            <w:r w:rsidRPr="00BD5113">
              <w:t>AE form</w:t>
            </w:r>
          </w:p>
        </w:tc>
        <w:tc>
          <w:tcPr>
            <w:tcW w:w="648" w:type="pct"/>
            <w:tcBorders>
              <w:top w:val="single" w:sz="4" w:space="0" w:color="000000"/>
              <w:bottom w:val="single" w:sz="4" w:space="0" w:color="000000"/>
            </w:tcBorders>
            <w:shd w:val="clear" w:color="000000" w:fill="auto"/>
            <w:tcMar>
              <w:left w:w="28" w:type="dxa"/>
              <w:right w:w="28" w:type="dxa"/>
            </w:tcMar>
          </w:tcPr>
          <w:p w:rsidR="00EF2B6B" w:rsidRPr="00BD5113" w:rsidRDefault="00075613" w:rsidP="00075613">
            <w:pPr>
              <w:pStyle w:val="TblTextCenter"/>
              <w:keepNext/>
              <w:keepLines/>
              <w:spacing w:before="0" w:after="0"/>
            </w:pPr>
            <w:r>
              <w:t>Safety comple</w:t>
            </w:r>
            <w:r w:rsidR="00EF2B6B" w:rsidRPr="00BD5113">
              <w:t xml:space="preserve">mentary </w:t>
            </w:r>
            <w:r>
              <w:t>f</w:t>
            </w:r>
            <w:r w:rsidR="00EF2B6B" w:rsidRPr="00BD5113">
              <w:t>orm</w:t>
            </w:r>
          </w:p>
        </w:tc>
        <w:tc>
          <w:tcPr>
            <w:tcW w:w="388" w:type="pct"/>
            <w:tcBorders>
              <w:top w:val="single" w:sz="4" w:space="0" w:color="000000"/>
              <w:bottom w:val="single" w:sz="4" w:space="0" w:color="000000"/>
            </w:tcBorders>
            <w:shd w:val="clear" w:color="000000" w:fill="auto"/>
            <w:tcMar>
              <w:left w:w="28" w:type="dxa"/>
              <w:right w:w="28" w:type="dxa"/>
            </w:tcMar>
          </w:tcPr>
          <w:p w:rsidR="00EF2B6B" w:rsidRPr="00BD5113" w:rsidRDefault="00EF2B6B" w:rsidP="00C24D12">
            <w:pPr>
              <w:pStyle w:val="TblTextCenter"/>
              <w:keepNext/>
              <w:keepLines/>
              <w:spacing w:before="0" w:after="0"/>
            </w:pPr>
            <w:r w:rsidRPr="00BD5113">
              <w:t>Other specific forms</w:t>
            </w:r>
          </w:p>
        </w:tc>
      </w:tr>
      <w:tr w:rsidR="003D63F9" w:rsidTr="00BA3D0B">
        <w:trPr>
          <w:cantSplit/>
          <w:jc w:val="center"/>
        </w:trPr>
        <w:tc>
          <w:tcPr>
            <w:tcW w:w="1295" w:type="pct"/>
            <w:tcBorders>
              <w:top w:val="single" w:sz="4" w:space="0" w:color="000000"/>
            </w:tcBorders>
            <w:shd w:val="clear" w:color="000000" w:fill="auto"/>
            <w:tcMar>
              <w:top w:w="45" w:type="dxa"/>
              <w:left w:w="57" w:type="dxa"/>
              <w:bottom w:w="45" w:type="dxa"/>
              <w:right w:w="57" w:type="dxa"/>
            </w:tcMar>
          </w:tcPr>
          <w:p w:rsidR="00EF2B6B" w:rsidRPr="00BD5113" w:rsidRDefault="00B335C1" w:rsidP="00075613">
            <w:pPr>
              <w:pStyle w:val="TblTextLeft"/>
              <w:spacing w:before="0" w:after="0"/>
              <w:rPr>
                <w:lang w:val="it-IT"/>
              </w:rPr>
            </w:pPr>
            <w:r>
              <w:rPr>
                <w:lang w:val="it-IT"/>
              </w:rPr>
              <w:t>Adverse Event</w:t>
            </w:r>
            <w:r w:rsidR="00075613">
              <w:rPr>
                <w:lang w:val="it-IT"/>
              </w:rPr>
              <w:br/>
            </w:r>
            <w:r w:rsidR="00EF2B6B" w:rsidRPr="00BD5113">
              <w:rPr>
                <w:lang w:val="it-IT"/>
              </w:rPr>
              <w:t>(non-SAE, non-AESI)</w:t>
            </w:r>
          </w:p>
        </w:tc>
        <w:tc>
          <w:tcPr>
            <w:tcW w:w="729" w:type="pct"/>
            <w:tcBorders>
              <w:top w:val="single" w:sz="4" w:space="0" w:color="000000"/>
            </w:tcBorders>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Routine</w:t>
            </w:r>
          </w:p>
        </w:tc>
        <w:tc>
          <w:tcPr>
            <w:tcW w:w="1710" w:type="pct"/>
            <w:tcBorders>
              <w:top w:val="single" w:sz="4" w:space="0" w:color="000000"/>
            </w:tcBorders>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Any AE that is not SAE or AESI</w:t>
            </w:r>
          </w:p>
        </w:tc>
        <w:tc>
          <w:tcPr>
            <w:tcW w:w="230" w:type="pct"/>
            <w:tcBorders>
              <w:top w:val="single" w:sz="4" w:space="0" w:color="000000"/>
            </w:tcBorders>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Yes</w:t>
            </w:r>
          </w:p>
        </w:tc>
        <w:tc>
          <w:tcPr>
            <w:tcW w:w="648" w:type="pct"/>
            <w:tcBorders>
              <w:top w:val="single" w:sz="4" w:space="0" w:color="000000"/>
            </w:tcBorders>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No</w:t>
            </w:r>
          </w:p>
        </w:tc>
        <w:tc>
          <w:tcPr>
            <w:tcW w:w="388" w:type="pct"/>
            <w:tcBorders>
              <w:top w:val="single" w:sz="4" w:space="0" w:color="000000"/>
            </w:tcBorders>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No</w:t>
            </w:r>
          </w:p>
        </w:tc>
      </w:tr>
      <w:tr w:rsidR="003D63F9" w:rsidTr="00BA3D0B">
        <w:trPr>
          <w:cantSplit/>
          <w:trHeight w:val="100"/>
          <w:jc w:val="center"/>
        </w:trPr>
        <w:tc>
          <w:tcPr>
            <w:tcW w:w="1295" w:type="pct"/>
            <w:shd w:val="clear" w:color="000000" w:fill="auto"/>
            <w:tcMar>
              <w:top w:w="45" w:type="dxa"/>
              <w:left w:w="57" w:type="dxa"/>
              <w:bottom w:w="45" w:type="dxa"/>
              <w:right w:w="57" w:type="dxa"/>
            </w:tcMar>
          </w:tcPr>
          <w:p w:rsidR="00EF2B6B" w:rsidRPr="00BD5113" w:rsidRDefault="00075613" w:rsidP="00C24D12">
            <w:pPr>
              <w:pStyle w:val="TblTextLeft"/>
              <w:spacing w:before="0" w:after="0"/>
            </w:pPr>
            <w:r>
              <w:t>Serious Adverse Event</w:t>
            </w:r>
            <w:r>
              <w:br/>
            </w:r>
            <w:r w:rsidR="00EF2B6B" w:rsidRPr="00BD5113">
              <w:t>(non-AESI or AESI)</w:t>
            </w:r>
          </w:p>
        </w:tc>
        <w:tc>
          <w:tcPr>
            <w:tcW w:w="729" w:type="pct"/>
            <w:shd w:val="clear" w:color="000000" w:fill="auto"/>
            <w:tcMar>
              <w:top w:w="45" w:type="dxa"/>
              <w:left w:w="57" w:type="dxa"/>
              <w:bottom w:w="45" w:type="dxa"/>
              <w:right w:w="57" w:type="dxa"/>
            </w:tcMar>
          </w:tcPr>
          <w:p w:rsidR="00EF2B6B" w:rsidRPr="00BD5113" w:rsidRDefault="00EF2B6B" w:rsidP="00075613">
            <w:pPr>
              <w:pStyle w:val="TblTextLeft"/>
              <w:spacing w:before="0" w:after="0"/>
            </w:pPr>
            <w:r w:rsidRPr="00BD5113">
              <w:t xml:space="preserve">Expedited (within </w:t>
            </w:r>
            <w:r>
              <w:t>24 hours</w:t>
            </w:r>
            <w:r w:rsidRPr="00BD5113">
              <w:t>)</w:t>
            </w:r>
          </w:p>
        </w:tc>
        <w:tc>
          <w:tcPr>
            <w:tcW w:w="1710" w:type="pct"/>
            <w:shd w:val="clear" w:color="000000" w:fill="auto"/>
            <w:tcMar>
              <w:top w:w="45" w:type="dxa"/>
              <w:left w:w="57" w:type="dxa"/>
              <w:bottom w:w="45" w:type="dxa"/>
              <w:right w:w="57" w:type="dxa"/>
            </w:tcMar>
          </w:tcPr>
          <w:p w:rsidR="00EF2B6B" w:rsidRPr="00CC7EDB" w:rsidRDefault="00EF2B6B" w:rsidP="00CC7EDB">
            <w:pPr>
              <w:pStyle w:val="TblTextLeft"/>
              <w:spacing w:before="0" w:after="0"/>
              <w:jc w:val="center"/>
            </w:pPr>
            <w:r w:rsidRPr="00BD5113">
              <w:t xml:space="preserve">Any AE meeting seriousness criterion per </w:t>
            </w:r>
            <w:r w:rsidR="00707B46">
              <w:t>Section </w:t>
            </w:r>
            <w:r w:rsidR="00CC7EDB" w:rsidRPr="00CC7EDB">
              <w:rPr>
                <w:rStyle w:val="BlueReplace"/>
              </w:rPr>
              <w:fldChar w:fldCharType="begin"/>
            </w:r>
            <w:r w:rsidR="00CC7EDB" w:rsidRPr="00CC7EDB">
              <w:rPr>
                <w:rStyle w:val="BlueReplace"/>
              </w:rPr>
              <w:instrText xml:space="preserve"> REF _Ref356210483 \r \h </w:instrText>
            </w:r>
            <w:r w:rsidR="00CC7EDB" w:rsidRPr="00CC7EDB">
              <w:rPr>
                <w:rStyle w:val="BlueReplace"/>
              </w:rPr>
            </w:r>
            <w:r w:rsidR="00CC7EDB" w:rsidRPr="00CC7EDB">
              <w:rPr>
                <w:rStyle w:val="BlueReplace"/>
              </w:rPr>
              <w:instrText xml:space="preserve"> \* MERGEFORMAT </w:instrText>
            </w:r>
            <w:r w:rsidR="00CC7EDB" w:rsidRPr="00CC7EDB">
              <w:rPr>
                <w:rStyle w:val="BlueReplace"/>
              </w:rPr>
              <w:fldChar w:fldCharType="separate"/>
            </w:r>
            <w:r w:rsidR="005A26F6">
              <w:rPr>
                <w:rStyle w:val="BlueReplace"/>
              </w:rPr>
              <w:t>10.4.1.2</w:t>
            </w:r>
            <w:r w:rsidR="00CC7EDB" w:rsidRPr="00CC7EDB">
              <w:rPr>
                <w:rStyle w:val="BlueReplace"/>
              </w:rPr>
              <w:fldChar w:fldCharType="end"/>
            </w:r>
          </w:p>
        </w:tc>
        <w:tc>
          <w:tcPr>
            <w:tcW w:w="230" w:type="pct"/>
            <w:shd w:val="clear" w:color="000000" w:fill="auto"/>
            <w:tcMar>
              <w:top w:w="45" w:type="dxa"/>
              <w:left w:w="57" w:type="dxa"/>
              <w:bottom w:w="45" w:type="dxa"/>
              <w:right w:w="57" w:type="dxa"/>
            </w:tcMar>
          </w:tcPr>
          <w:p w:rsidR="00EF2B6B" w:rsidRPr="00BD5113" w:rsidRDefault="00EF2B6B" w:rsidP="00075613">
            <w:pPr>
              <w:pStyle w:val="TblTextLeft"/>
              <w:spacing w:before="0" w:after="0"/>
            </w:pPr>
            <w:r w:rsidRPr="00BD5113">
              <w:t>Yes</w:t>
            </w:r>
          </w:p>
        </w:tc>
        <w:tc>
          <w:tcPr>
            <w:tcW w:w="648" w:type="pct"/>
            <w:shd w:val="clear" w:color="000000" w:fill="auto"/>
            <w:tcMar>
              <w:top w:w="45" w:type="dxa"/>
              <w:left w:w="57" w:type="dxa"/>
              <w:bottom w:w="45" w:type="dxa"/>
              <w:right w:w="57" w:type="dxa"/>
            </w:tcMar>
          </w:tcPr>
          <w:p w:rsidR="00EF2B6B" w:rsidRPr="00BD5113" w:rsidRDefault="00C342D3" w:rsidP="00075613">
            <w:pPr>
              <w:pStyle w:val="TblTextLeft"/>
              <w:spacing w:before="0" w:after="0"/>
            </w:pPr>
            <w:r>
              <w:t xml:space="preserve">         </w:t>
            </w:r>
            <w:r w:rsidR="00EF2B6B" w:rsidRPr="00BD5113">
              <w:t>Yes</w:t>
            </w:r>
          </w:p>
        </w:tc>
        <w:tc>
          <w:tcPr>
            <w:tcW w:w="388" w:type="pct"/>
            <w:shd w:val="clear" w:color="000000" w:fill="auto"/>
            <w:tcMar>
              <w:top w:w="45" w:type="dxa"/>
              <w:left w:w="57" w:type="dxa"/>
              <w:bottom w:w="45" w:type="dxa"/>
              <w:right w:w="57" w:type="dxa"/>
            </w:tcMar>
          </w:tcPr>
          <w:p w:rsidR="00EF2B6B" w:rsidRPr="00BD5113" w:rsidRDefault="00C342D3" w:rsidP="00075613">
            <w:pPr>
              <w:pStyle w:val="TblTextLeft"/>
              <w:spacing w:before="0" w:after="0"/>
            </w:pPr>
            <w:r>
              <w:t xml:space="preserve">     </w:t>
            </w:r>
            <w:r w:rsidR="00EF2B6B" w:rsidRPr="00BD5113">
              <w:t>No</w:t>
            </w:r>
          </w:p>
        </w:tc>
      </w:tr>
      <w:tr w:rsidR="003D63F9" w:rsidTr="00BA3D0B">
        <w:trPr>
          <w:cantSplit/>
          <w:jc w:val="center"/>
        </w:trPr>
        <w:tc>
          <w:tcPr>
            <w:tcW w:w="1295" w:type="pct"/>
            <w:shd w:val="clear" w:color="000000" w:fill="auto"/>
            <w:tcMar>
              <w:top w:w="0" w:type="dxa"/>
              <w:left w:w="57" w:type="dxa"/>
              <w:bottom w:w="0" w:type="dxa"/>
              <w:right w:w="57" w:type="dxa"/>
            </w:tcMar>
          </w:tcPr>
          <w:p w:rsidR="003D63F9" w:rsidRPr="00EB7462" w:rsidRDefault="003D63F9" w:rsidP="00075613">
            <w:pPr>
              <w:pStyle w:val="TblTextLeft"/>
              <w:spacing w:before="0" w:after="0"/>
              <w:rPr>
                <w:highlight w:val="yellow"/>
              </w:rPr>
            </w:pPr>
          </w:p>
        </w:tc>
        <w:tc>
          <w:tcPr>
            <w:tcW w:w="729" w:type="pct"/>
            <w:shd w:val="clear" w:color="000000" w:fill="auto"/>
            <w:tcMar>
              <w:top w:w="0" w:type="dxa"/>
              <w:left w:w="57" w:type="dxa"/>
              <w:bottom w:w="0" w:type="dxa"/>
              <w:right w:w="57" w:type="dxa"/>
            </w:tcMar>
          </w:tcPr>
          <w:p w:rsidR="003D63F9" w:rsidRPr="00EB7462" w:rsidRDefault="003D63F9" w:rsidP="00075613">
            <w:pPr>
              <w:pStyle w:val="TblTextCenter"/>
              <w:keepNext/>
              <w:keepLines/>
              <w:spacing w:before="0" w:after="0"/>
              <w:rPr>
                <w:highlight w:val="yellow"/>
              </w:rPr>
            </w:pPr>
          </w:p>
        </w:tc>
        <w:tc>
          <w:tcPr>
            <w:tcW w:w="1710" w:type="pct"/>
            <w:shd w:val="clear" w:color="000000" w:fill="auto"/>
            <w:tcMar>
              <w:top w:w="0" w:type="dxa"/>
              <w:left w:w="57" w:type="dxa"/>
              <w:bottom w:w="0" w:type="dxa"/>
              <w:right w:w="57" w:type="dxa"/>
            </w:tcMar>
          </w:tcPr>
          <w:p w:rsidR="003D63F9" w:rsidRPr="00EB7462" w:rsidRDefault="003D63F9" w:rsidP="00075613">
            <w:pPr>
              <w:pStyle w:val="TblTextCenter"/>
              <w:keepNext/>
              <w:keepLines/>
              <w:spacing w:before="0" w:after="0"/>
              <w:rPr>
                <w:highlight w:val="yellow"/>
              </w:rPr>
            </w:pPr>
          </w:p>
        </w:tc>
        <w:tc>
          <w:tcPr>
            <w:tcW w:w="230" w:type="pct"/>
            <w:shd w:val="clear" w:color="000000" w:fill="auto"/>
            <w:tcMar>
              <w:top w:w="0" w:type="dxa"/>
              <w:left w:w="57" w:type="dxa"/>
              <w:bottom w:w="0" w:type="dxa"/>
              <w:right w:w="57" w:type="dxa"/>
            </w:tcMar>
          </w:tcPr>
          <w:p w:rsidR="003D63F9" w:rsidRPr="00EB7462" w:rsidRDefault="003D63F9" w:rsidP="00075613">
            <w:pPr>
              <w:pStyle w:val="TblTextCenter"/>
              <w:keepNext/>
              <w:keepLines/>
              <w:spacing w:before="0" w:after="0"/>
              <w:rPr>
                <w:highlight w:val="yellow"/>
              </w:rPr>
            </w:pPr>
          </w:p>
        </w:tc>
        <w:tc>
          <w:tcPr>
            <w:tcW w:w="648" w:type="pct"/>
            <w:shd w:val="clear" w:color="000000" w:fill="auto"/>
            <w:tcMar>
              <w:top w:w="0" w:type="dxa"/>
              <w:left w:w="57" w:type="dxa"/>
              <w:bottom w:w="0" w:type="dxa"/>
              <w:right w:w="57" w:type="dxa"/>
            </w:tcMar>
          </w:tcPr>
          <w:p w:rsidR="003D63F9" w:rsidRPr="00EB7462" w:rsidRDefault="003D63F9" w:rsidP="00075613">
            <w:pPr>
              <w:pStyle w:val="TblTextCenter"/>
              <w:keepNext/>
              <w:keepLines/>
              <w:spacing w:before="0" w:after="0"/>
              <w:rPr>
                <w:highlight w:val="yellow"/>
              </w:rPr>
            </w:pPr>
          </w:p>
        </w:tc>
        <w:tc>
          <w:tcPr>
            <w:tcW w:w="388" w:type="pct"/>
            <w:shd w:val="clear" w:color="000000" w:fill="auto"/>
            <w:tcMar>
              <w:top w:w="0" w:type="dxa"/>
              <w:left w:w="57" w:type="dxa"/>
              <w:bottom w:w="0" w:type="dxa"/>
              <w:right w:w="57" w:type="dxa"/>
            </w:tcMar>
          </w:tcPr>
          <w:p w:rsidR="003D63F9" w:rsidRPr="00EB7462" w:rsidRDefault="003D63F9" w:rsidP="00075613">
            <w:pPr>
              <w:pStyle w:val="TblTextCenter"/>
              <w:keepNext/>
              <w:keepLines/>
              <w:spacing w:before="0" w:after="0"/>
              <w:rPr>
                <w:highlight w:val="yellow"/>
              </w:rPr>
            </w:pPr>
          </w:p>
        </w:tc>
      </w:tr>
      <w:tr w:rsidR="003D63F9" w:rsidRPr="00641D1D" w:rsidTr="00BA3D0B">
        <w:trPr>
          <w:cantSplit/>
          <w:trHeight w:val="565"/>
          <w:jc w:val="center"/>
        </w:trPr>
        <w:tc>
          <w:tcPr>
            <w:tcW w:w="1295" w:type="pct"/>
            <w:shd w:val="clear" w:color="000000" w:fill="auto"/>
            <w:tcMar>
              <w:top w:w="45" w:type="dxa"/>
              <w:left w:w="57" w:type="dxa"/>
              <w:bottom w:w="45" w:type="dxa"/>
              <w:right w:w="57" w:type="dxa"/>
            </w:tcMar>
          </w:tcPr>
          <w:p w:rsidR="00EF2B6B" w:rsidRPr="00BD5113" w:rsidRDefault="00EF2B6B" w:rsidP="00C24D12">
            <w:pPr>
              <w:pStyle w:val="TblTextLeft"/>
              <w:spacing w:before="0" w:after="0"/>
            </w:pPr>
            <w:r w:rsidRPr="00BD5113">
              <w:t xml:space="preserve">Adverse Event of Special Interest </w:t>
            </w:r>
          </w:p>
        </w:tc>
        <w:tc>
          <w:tcPr>
            <w:tcW w:w="729" w:type="pct"/>
            <w:shd w:val="clear" w:color="000000" w:fill="auto"/>
            <w:tcMar>
              <w:top w:w="45" w:type="dxa"/>
              <w:left w:w="57" w:type="dxa"/>
              <w:bottom w:w="45" w:type="dxa"/>
              <w:right w:w="57" w:type="dxa"/>
            </w:tcMar>
          </w:tcPr>
          <w:p w:rsidR="00EF2B6B" w:rsidRPr="00BD5113" w:rsidRDefault="00EF2B6B" w:rsidP="00075613">
            <w:pPr>
              <w:pStyle w:val="TblTextLeft"/>
              <w:spacing w:before="0" w:after="0"/>
            </w:pPr>
            <w:r w:rsidRPr="00BD5113">
              <w:t xml:space="preserve">Expedited (within </w:t>
            </w:r>
            <w:r>
              <w:t>24 hours</w:t>
            </w:r>
            <w:r w:rsidRPr="00BD5113">
              <w:t>)</w:t>
            </w:r>
          </w:p>
        </w:tc>
        <w:tc>
          <w:tcPr>
            <w:tcW w:w="1710" w:type="pct"/>
            <w:shd w:val="clear" w:color="000000" w:fill="auto"/>
            <w:tcMar>
              <w:top w:w="45" w:type="dxa"/>
              <w:left w:w="57" w:type="dxa"/>
              <w:bottom w:w="45" w:type="dxa"/>
              <w:right w:w="57" w:type="dxa"/>
            </w:tcMar>
          </w:tcPr>
          <w:p w:rsidR="00EF2B6B" w:rsidRPr="0017359F" w:rsidRDefault="0017359F" w:rsidP="00075613">
            <w:pPr>
              <w:pStyle w:val="TblTextLeft"/>
              <w:spacing w:before="0" w:after="0"/>
              <w:jc w:val="center"/>
            </w:pPr>
            <w:r w:rsidRPr="0017359F">
              <w:t>Pregnancy of female patient</w:t>
            </w:r>
          </w:p>
        </w:tc>
        <w:tc>
          <w:tcPr>
            <w:tcW w:w="230" w:type="pct"/>
            <w:shd w:val="clear" w:color="000000" w:fill="auto"/>
            <w:tcMar>
              <w:top w:w="45" w:type="dxa"/>
              <w:left w:w="57" w:type="dxa"/>
              <w:bottom w:w="45" w:type="dxa"/>
              <w:right w:w="57" w:type="dxa"/>
            </w:tcMar>
          </w:tcPr>
          <w:p w:rsidR="00EF2B6B" w:rsidRPr="0017359F" w:rsidRDefault="00EF2B6B" w:rsidP="00075613">
            <w:pPr>
              <w:pStyle w:val="TblTextLeft"/>
              <w:spacing w:before="0" w:after="0"/>
            </w:pPr>
            <w:r w:rsidRPr="0017359F">
              <w:t>Yes</w:t>
            </w:r>
          </w:p>
        </w:tc>
        <w:tc>
          <w:tcPr>
            <w:tcW w:w="648" w:type="pct"/>
            <w:shd w:val="clear" w:color="000000" w:fill="auto"/>
            <w:tcMar>
              <w:top w:w="45" w:type="dxa"/>
              <w:left w:w="57" w:type="dxa"/>
              <w:bottom w:w="45" w:type="dxa"/>
              <w:right w:w="57" w:type="dxa"/>
            </w:tcMar>
          </w:tcPr>
          <w:p w:rsidR="00EF2B6B" w:rsidRPr="0017359F" w:rsidRDefault="00C342D3" w:rsidP="00075613">
            <w:pPr>
              <w:pStyle w:val="TblTextLeft"/>
              <w:spacing w:before="0" w:after="0"/>
            </w:pPr>
            <w:r>
              <w:t xml:space="preserve">         </w:t>
            </w:r>
            <w:r w:rsidR="00EF2B6B" w:rsidRPr="0017359F">
              <w:t>Yes</w:t>
            </w:r>
          </w:p>
        </w:tc>
        <w:tc>
          <w:tcPr>
            <w:tcW w:w="388" w:type="pct"/>
            <w:shd w:val="clear" w:color="000000" w:fill="auto"/>
            <w:tcMar>
              <w:top w:w="45" w:type="dxa"/>
              <w:left w:w="57" w:type="dxa"/>
              <w:bottom w:w="45" w:type="dxa"/>
              <w:right w:w="57" w:type="dxa"/>
            </w:tcMar>
          </w:tcPr>
          <w:p w:rsidR="00EF2B6B" w:rsidRPr="0017359F" w:rsidRDefault="00C342D3" w:rsidP="00075613">
            <w:pPr>
              <w:pStyle w:val="TblTextLeft"/>
              <w:spacing w:before="0" w:after="0"/>
            </w:pPr>
            <w:r>
              <w:t xml:space="preserve">    </w:t>
            </w:r>
            <w:r w:rsidR="00EF2B6B" w:rsidRPr="0017359F">
              <w:t>No</w:t>
            </w:r>
          </w:p>
        </w:tc>
      </w:tr>
      <w:tr w:rsidR="003D63F9" w:rsidRPr="00641D1D" w:rsidTr="00BA3D0B">
        <w:trPr>
          <w:cantSplit/>
          <w:trHeight w:val="177"/>
          <w:jc w:val="center"/>
        </w:trPr>
        <w:tc>
          <w:tcPr>
            <w:tcW w:w="1295" w:type="pct"/>
            <w:shd w:val="clear" w:color="000000" w:fill="auto"/>
            <w:tcMar>
              <w:top w:w="45" w:type="dxa"/>
              <w:left w:w="57" w:type="dxa"/>
              <w:bottom w:w="45" w:type="dxa"/>
              <w:right w:w="57" w:type="dxa"/>
            </w:tcMar>
          </w:tcPr>
          <w:p w:rsidR="00EF2B6B" w:rsidRPr="00BD5113" w:rsidRDefault="00EF2B6B" w:rsidP="00C24D12">
            <w:pPr>
              <w:pStyle w:val="TblTextLeft"/>
              <w:spacing w:before="0" w:after="0"/>
            </w:pPr>
          </w:p>
        </w:tc>
        <w:tc>
          <w:tcPr>
            <w:tcW w:w="729"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p>
        </w:tc>
        <w:tc>
          <w:tcPr>
            <w:tcW w:w="1710"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Pregnancy</w:t>
            </w:r>
            <w:r w:rsidR="0017359F">
              <w:t xml:space="preserve"> of female partner of male patient</w:t>
            </w:r>
          </w:p>
        </w:tc>
        <w:tc>
          <w:tcPr>
            <w:tcW w:w="230"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Yes</w:t>
            </w:r>
          </w:p>
        </w:tc>
        <w:tc>
          <w:tcPr>
            <w:tcW w:w="648"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Yes</w:t>
            </w:r>
          </w:p>
        </w:tc>
        <w:tc>
          <w:tcPr>
            <w:tcW w:w="388" w:type="pct"/>
            <w:shd w:val="clear" w:color="000000" w:fill="auto"/>
            <w:tcMar>
              <w:top w:w="45" w:type="dxa"/>
              <w:left w:w="57" w:type="dxa"/>
              <w:bottom w:w="45" w:type="dxa"/>
              <w:right w:w="57" w:type="dxa"/>
            </w:tcMar>
          </w:tcPr>
          <w:p w:rsidR="00EF2B6B" w:rsidRPr="00420E97" w:rsidRDefault="0017359F" w:rsidP="00C24D12">
            <w:pPr>
              <w:pStyle w:val="TblTextCenter"/>
              <w:keepNext/>
              <w:keepLines/>
              <w:spacing w:before="0" w:after="0"/>
            </w:pPr>
            <w:r>
              <w:t>No</w:t>
            </w:r>
          </w:p>
        </w:tc>
      </w:tr>
      <w:tr w:rsidR="003D63F9" w:rsidRPr="00641D1D" w:rsidTr="00BA3D0B">
        <w:trPr>
          <w:cantSplit/>
          <w:trHeight w:val="177"/>
          <w:jc w:val="center"/>
        </w:trPr>
        <w:tc>
          <w:tcPr>
            <w:tcW w:w="1295" w:type="pct"/>
            <w:shd w:val="clear" w:color="000000" w:fill="auto"/>
            <w:tcMar>
              <w:top w:w="45" w:type="dxa"/>
              <w:left w:w="57" w:type="dxa"/>
              <w:bottom w:w="45" w:type="dxa"/>
              <w:right w:w="57" w:type="dxa"/>
            </w:tcMar>
          </w:tcPr>
          <w:p w:rsidR="00EF2B6B" w:rsidRPr="00BD5113" w:rsidRDefault="00EF2B6B" w:rsidP="00C24D12">
            <w:pPr>
              <w:pStyle w:val="TblTextLeft"/>
              <w:spacing w:before="0" w:after="0"/>
            </w:pPr>
          </w:p>
        </w:tc>
        <w:tc>
          <w:tcPr>
            <w:tcW w:w="729"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p>
        </w:tc>
        <w:tc>
          <w:tcPr>
            <w:tcW w:w="1710"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Symptomatic overdose</w:t>
            </w:r>
            <w:r w:rsidR="005B72FB">
              <w:t>* with IMP/NIMP</w:t>
            </w:r>
          </w:p>
        </w:tc>
        <w:tc>
          <w:tcPr>
            <w:tcW w:w="230"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Yes</w:t>
            </w:r>
          </w:p>
        </w:tc>
        <w:tc>
          <w:tcPr>
            <w:tcW w:w="648"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Yes</w:t>
            </w:r>
          </w:p>
        </w:tc>
        <w:tc>
          <w:tcPr>
            <w:tcW w:w="388" w:type="pct"/>
            <w:shd w:val="clear" w:color="000000" w:fill="auto"/>
            <w:tcMar>
              <w:top w:w="45" w:type="dxa"/>
              <w:left w:w="57" w:type="dxa"/>
              <w:bottom w:w="45" w:type="dxa"/>
              <w:right w:w="57" w:type="dxa"/>
            </w:tcMar>
          </w:tcPr>
          <w:p w:rsidR="00EF2B6B" w:rsidRPr="00420E97" w:rsidRDefault="00EF2B6B" w:rsidP="00C24D12">
            <w:pPr>
              <w:pStyle w:val="TblTextCenter"/>
              <w:keepNext/>
              <w:keepLines/>
              <w:spacing w:before="0" w:after="0"/>
            </w:pPr>
            <w:r w:rsidRPr="00420E97">
              <w:t>No</w:t>
            </w:r>
          </w:p>
        </w:tc>
      </w:tr>
      <w:tr w:rsidR="003D63F9" w:rsidRPr="00641D1D" w:rsidTr="00BA3D0B">
        <w:trPr>
          <w:cantSplit/>
          <w:trHeight w:val="177"/>
          <w:jc w:val="center"/>
        </w:trPr>
        <w:tc>
          <w:tcPr>
            <w:tcW w:w="1295" w:type="pct"/>
            <w:shd w:val="clear" w:color="000000" w:fill="auto"/>
            <w:tcMar>
              <w:top w:w="45" w:type="dxa"/>
              <w:left w:w="57" w:type="dxa"/>
              <w:bottom w:w="45" w:type="dxa"/>
              <w:right w:w="57" w:type="dxa"/>
            </w:tcMar>
          </w:tcPr>
          <w:p w:rsidR="00EF2B6B" w:rsidRPr="00BD5113" w:rsidRDefault="00EF2B6B" w:rsidP="00C24D12">
            <w:pPr>
              <w:pStyle w:val="TblTextLeft"/>
              <w:spacing w:before="0" w:after="0"/>
            </w:pPr>
          </w:p>
        </w:tc>
        <w:tc>
          <w:tcPr>
            <w:tcW w:w="729"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p>
        </w:tc>
        <w:tc>
          <w:tcPr>
            <w:tcW w:w="1710" w:type="pct"/>
            <w:shd w:val="clear" w:color="000000" w:fill="auto"/>
            <w:tcMar>
              <w:top w:w="45" w:type="dxa"/>
              <w:left w:w="57" w:type="dxa"/>
              <w:bottom w:w="45" w:type="dxa"/>
              <w:right w:w="57" w:type="dxa"/>
            </w:tcMar>
          </w:tcPr>
          <w:p w:rsidR="00EF2B6B" w:rsidRPr="00BD5113" w:rsidRDefault="005B72FB" w:rsidP="00C24D12">
            <w:pPr>
              <w:pStyle w:val="TblTextCenter"/>
              <w:keepNext/>
              <w:keepLines/>
              <w:spacing w:before="0" w:after="0"/>
            </w:pPr>
            <w:r>
              <w:t xml:space="preserve">Increase in </w:t>
            </w:r>
            <w:r w:rsidR="002D6DF1">
              <w:t>ALT</w:t>
            </w:r>
            <w:r>
              <w:t xml:space="preserve"> &gt;</w:t>
            </w:r>
            <w:r w:rsidR="002D6DF1">
              <w:t>3</w:t>
            </w:r>
            <w:r>
              <w:t>x ULN</w:t>
            </w:r>
          </w:p>
        </w:tc>
        <w:tc>
          <w:tcPr>
            <w:tcW w:w="230" w:type="pct"/>
            <w:shd w:val="clear" w:color="000000" w:fill="auto"/>
            <w:tcMar>
              <w:top w:w="45" w:type="dxa"/>
              <w:left w:w="57" w:type="dxa"/>
              <w:bottom w:w="45" w:type="dxa"/>
              <w:right w:w="57" w:type="dxa"/>
            </w:tcMar>
          </w:tcPr>
          <w:p w:rsidR="00EF2B6B" w:rsidRPr="00BD5113" w:rsidRDefault="00EF2B6B" w:rsidP="00C24D12">
            <w:pPr>
              <w:pStyle w:val="TblTextCenter"/>
              <w:keepNext/>
              <w:keepLines/>
              <w:spacing w:before="0" w:after="0"/>
            </w:pPr>
            <w:r w:rsidRPr="00BD5113">
              <w:t>Yes</w:t>
            </w:r>
          </w:p>
        </w:tc>
        <w:tc>
          <w:tcPr>
            <w:tcW w:w="648" w:type="pct"/>
            <w:shd w:val="clear" w:color="000000" w:fill="auto"/>
            <w:tcMar>
              <w:top w:w="45" w:type="dxa"/>
              <w:left w:w="57" w:type="dxa"/>
              <w:bottom w:w="45" w:type="dxa"/>
              <w:right w:w="57" w:type="dxa"/>
            </w:tcMar>
          </w:tcPr>
          <w:p w:rsidR="00EF2B6B" w:rsidRPr="00BD5113" w:rsidRDefault="005B72FB" w:rsidP="00C24D12">
            <w:pPr>
              <w:pStyle w:val="TblTextCenter"/>
              <w:keepNext/>
              <w:keepLines/>
              <w:spacing w:before="0" w:after="0"/>
            </w:pPr>
            <w:r>
              <w:t>No</w:t>
            </w:r>
          </w:p>
        </w:tc>
        <w:tc>
          <w:tcPr>
            <w:tcW w:w="388" w:type="pct"/>
            <w:shd w:val="clear" w:color="000000" w:fill="auto"/>
            <w:tcMar>
              <w:top w:w="45" w:type="dxa"/>
              <w:left w:w="57" w:type="dxa"/>
              <w:bottom w:w="45" w:type="dxa"/>
              <w:right w:w="57" w:type="dxa"/>
            </w:tcMar>
          </w:tcPr>
          <w:p w:rsidR="005B72FB" w:rsidRPr="00420E97" w:rsidRDefault="00B6739C" w:rsidP="00C24D12">
            <w:pPr>
              <w:pStyle w:val="TblTextCenter"/>
              <w:keepNext/>
              <w:keepLines/>
              <w:spacing w:before="0" w:after="0"/>
            </w:pPr>
            <w:r w:rsidRPr="00420E97">
              <w:t>Yes</w:t>
            </w:r>
          </w:p>
        </w:tc>
      </w:tr>
      <w:tr w:rsidR="005B72FB" w:rsidRPr="00641D1D" w:rsidTr="00BA3D0B">
        <w:trPr>
          <w:cantSplit/>
          <w:trHeight w:val="177"/>
          <w:jc w:val="center"/>
        </w:trPr>
        <w:tc>
          <w:tcPr>
            <w:tcW w:w="1295" w:type="pct"/>
            <w:shd w:val="clear" w:color="000000" w:fill="auto"/>
            <w:tcMar>
              <w:top w:w="45" w:type="dxa"/>
              <w:left w:w="57" w:type="dxa"/>
              <w:bottom w:w="0" w:type="dxa"/>
              <w:right w:w="57" w:type="dxa"/>
            </w:tcMar>
          </w:tcPr>
          <w:p w:rsidR="005B72FB" w:rsidRPr="00BD5113" w:rsidRDefault="005B72FB" w:rsidP="00C24D12">
            <w:pPr>
              <w:pStyle w:val="TblTextLeft"/>
              <w:spacing w:before="0" w:after="0"/>
            </w:pPr>
            <w:r>
              <w:t>AEs requiring specific monitoring (non-SAEs)</w:t>
            </w:r>
          </w:p>
        </w:tc>
        <w:tc>
          <w:tcPr>
            <w:tcW w:w="729" w:type="pct"/>
            <w:shd w:val="clear" w:color="000000" w:fill="auto"/>
            <w:tcMar>
              <w:top w:w="45" w:type="dxa"/>
              <w:left w:w="57" w:type="dxa"/>
              <w:bottom w:w="0" w:type="dxa"/>
              <w:right w:w="57" w:type="dxa"/>
            </w:tcMar>
          </w:tcPr>
          <w:p w:rsidR="005B72FB" w:rsidRPr="00BD5113" w:rsidRDefault="005B72FB" w:rsidP="00C24D12">
            <w:pPr>
              <w:pStyle w:val="TblTextCenter"/>
              <w:keepNext/>
              <w:keepLines/>
              <w:spacing w:before="0" w:after="0"/>
            </w:pPr>
            <w:r>
              <w:t>Routine</w:t>
            </w:r>
          </w:p>
        </w:tc>
        <w:tc>
          <w:tcPr>
            <w:tcW w:w="1710" w:type="pct"/>
            <w:shd w:val="clear" w:color="000000" w:fill="auto"/>
            <w:tcMar>
              <w:top w:w="45" w:type="dxa"/>
              <w:left w:w="57" w:type="dxa"/>
              <w:bottom w:w="0" w:type="dxa"/>
              <w:right w:w="57" w:type="dxa"/>
            </w:tcMar>
          </w:tcPr>
          <w:p w:rsidR="005B72FB" w:rsidRDefault="005B72FB" w:rsidP="00C24D12">
            <w:pPr>
              <w:pStyle w:val="TblTextCenter"/>
              <w:keepNext/>
              <w:keepLines/>
              <w:spacing w:before="0" w:after="0"/>
            </w:pPr>
            <w:r>
              <w:t>Suspected allergic reactions</w:t>
            </w:r>
          </w:p>
        </w:tc>
        <w:tc>
          <w:tcPr>
            <w:tcW w:w="230" w:type="pct"/>
            <w:shd w:val="clear" w:color="000000" w:fill="auto"/>
            <w:tcMar>
              <w:top w:w="45" w:type="dxa"/>
              <w:left w:w="57" w:type="dxa"/>
              <w:bottom w:w="0" w:type="dxa"/>
              <w:right w:w="57" w:type="dxa"/>
            </w:tcMar>
          </w:tcPr>
          <w:p w:rsidR="005B72FB" w:rsidRPr="00BD5113" w:rsidRDefault="005B72FB" w:rsidP="00C24D12">
            <w:pPr>
              <w:pStyle w:val="TblTextCenter"/>
              <w:keepNext/>
              <w:keepLines/>
              <w:spacing w:before="0" w:after="0"/>
            </w:pPr>
            <w:r>
              <w:t>Yes</w:t>
            </w:r>
          </w:p>
        </w:tc>
        <w:tc>
          <w:tcPr>
            <w:tcW w:w="648" w:type="pct"/>
            <w:shd w:val="clear" w:color="000000" w:fill="auto"/>
            <w:tcMar>
              <w:top w:w="45" w:type="dxa"/>
              <w:left w:w="57" w:type="dxa"/>
              <w:bottom w:w="0" w:type="dxa"/>
              <w:right w:w="57" w:type="dxa"/>
            </w:tcMar>
          </w:tcPr>
          <w:p w:rsidR="005B72FB" w:rsidRDefault="005B72FB" w:rsidP="00C24D12">
            <w:pPr>
              <w:pStyle w:val="TblTextCenter"/>
              <w:keepNext/>
              <w:keepLines/>
              <w:spacing w:before="0" w:after="0"/>
            </w:pPr>
            <w:r>
              <w:t>No</w:t>
            </w:r>
          </w:p>
        </w:tc>
        <w:tc>
          <w:tcPr>
            <w:tcW w:w="388" w:type="pct"/>
            <w:shd w:val="clear" w:color="000000" w:fill="auto"/>
            <w:tcMar>
              <w:top w:w="45" w:type="dxa"/>
              <w:left w:w="57" w:type="dxa"/>
              <w:bottom w:w="0" w:type="dxa"/>
              <w:right w:w="57" w:type="dxa"/>
            </w:tcMar>
          </w:tcPr>
          <w:p w:rsidR="005B72FB" w:rsidRPr="00420E97" w:rsidRDefault="005B72FB" w:rsidP="00C24D12">
            <w:pPr>
              <w:pStyle w:val="TblTextCenter"/>
              <w:keepNext/>
              <w:keepLines/>
              <w:spacing w:before="0" w:after="0"/>
            </w:pPr>
            <w:r>
              <w:t>Yes</w:t>
            </w:r>
          </w:p>
        </w:tc>
      </w:tr>
      <w:tr w:rsidR="005B72FB" w:rsidRPr="00641D1D" w:rsidTr="00BA3D0B">
        <w:trPr>
          <w:cantSplit/>
          <w:trHeight w:val="177"/>
          <w:jc w:val="center"/>
        </w:trPr>
        <w:tc>
          <w:tcPr>
            <w:tcW w:w="1295" w:type="pct"/>
            <w:shd w:val="clear" w:color="000000" w:fill="auto"/>
            <w:tcMar>
              <w:top w:w="45" w:type="dxa"/>
              <w:left w:w="57" w:type="dxa"/>
              <w:bottom w:w="45" w:type="dxa"/>
              <w:right w:w="57" w:type="dxa"/>
            </w:tcMar>
          </w:tcPr>
          <w:p w:rsidR="005B72FB" w:rsidRDefault="005B72FB" w:rsidP="00C24D12">
            <w:pPr>
              <w:pStyle w:val="TblTextLeft"/>
              <w:spacing w:before="0" w:after="0"/>
            </w:pPr>
          </w:p>
        </w:tc>
        <w:tc>
          <w:tcPr>
            <w:tcW w:w="729" w:type="pct"/>
            <w:shd w:val="clear" w:color="000000" w:fill="auto"/>
            <w:tcMar>
              <w:top w:w="45" w:type="dxa"/>
              <w:left w:w="57" w:type="dxa"/>
              <w:bottom w:w="45" w:type="dxa"/>
              <w:right w:w="57" w:type="dxa"/>
            </w:tcMar>
          </w:tcPr>
          <w:p w:rsidR="005B72FB" w:rsidRDefault="005B72FB" w:rsidP="00C24D12">
            <w:pPr>
              <w:pStyle w:val="TblTextCenter"/>
              <w:keepNext/>
              <w:keepLines/>
              <w:spacing w:before="0" w:after="0"/>
            </w:pPr>
          </w:p>
        </w:tc>
        <w:tc>
          <w:tcPr>
            <w:tcW w:w="1710" w:type="pct"/>
            <w:shd w:val="clear" w:color="000000" w:fill="auto"/>
            <w:tcMar>
              <w:top w:w="45" w:type="dxa"/>
              <w:left w:w="57" w:type="dxa"/>
              <w:bottom w:w="45" w:type="dxa"/>
              <w:right w:w="57" w:type="dxa"/>
            </w:tcMar>
          </w:tcPr>
          <w:p w:rsidR="005B72FB" w:rsidRDefault="005B72FB" w:rsidP="00C24D12">
            <w:pPr>
              <w:pStyle w:val="TblTextCenter"/>
              <w:keepNext/>
              <w:keepLines/>
              <w:spacing w:before="0" w:after="0"/>
            </w:pPr>
            <w:r>
              <w:t>Increase amylase/lipase &gt;2x ULN</w:t>
            </w:r>
          </w:p>
        </w:tc>
        <w:tc>
          <w:tcPr>
            <w:tcW w:w="230" w:type="pct"/>
            <w:shd w:val="clear" w:color="000000" w:fill="auto"/>
            <w:tcMar>
              <w:top w:w="45" w:type="dxa"/>
              <w:left w:w="57" w:type="dxa"/>
              <w:bottom w:w="45" w:type="dxa"/>
              <w:right w:w="57" w:type="dxa"/>
            </w:tcMar>
          </w:tcPr>
          <w:p w:rsidR="005B72FB" w:rsidRDefault="005B72FB" w:rsidP="00C24D12">
            <w:pPr>
              <w:pStyle w:val="TblTextCenter"/>
              <w:keepNext/>
              <w:keepLines/>
              <w:spacing w:before="0" w:after="0"/>
            </w:pPr>
            <w:r>
              <w:t>Yes</w:t>
            </w:r>
          </w:p>
        </w:tc>
        <w:tc>
          <w:tcPr>
            <w:tcW w:w="648" w:type="pct"/>
            <w:shd w:val="clear" w:color="000000" w:fill="auto"/>
            <w:tcMar>
              <w:top w:w="45" w:type="dxa"/>
              <w:left w:w="57" w:type="dxa"/>
              <w:bottom w:w="45" w:type="dxa"/>
              <w:right w:w="57" w:type="dxa"/>
            </w:tcMar>
          </w:tcPr>
          <w:p w:rsidR="005B72FB" w:rsidRDefault="005B72FB" w:rsidP="00C24D12">
            <w:pPr>
              <w:pStyle w:val="TblTextCenter"/>
              <w:keepNext/>
              <w:keepLines/>
              <w:spacing w:before="0" w:after="0"/>
            </w:pPr>
            <w:r>
              <w:t>No</w:t>
            </w:r>
          </w:p>
        </w:tc>
        <w:tc>
          <w:tcPr>
            <w:tcW w:w="388" w:type="pct"/>
            <w:shd w:val="clear" w:color="000000" w:fill="auto"/>
            <w:tcMar>
              <w:top w:w="45" w:type="dxa"/>
              <w:left w:w="57" w:type="dxa"/>
              <w:bottom w:w="45" w:type="dxa"/>
              <w:right w:w="57" w:type="dxa"/>
            </w:tcMar>
          </w:tcPr>
          <w:p w:rsidR="005B72FB" w:rsidRDefault="005B72FB" w:rsidP="00C24D12">
            <w:pPr>
              <w:pStyle w:val="TblTextCenter"/>
              <w:keepNext/>
              <w:keepLines/>
              <w:spacing w:before="0" w:after="0"/>
            </w:pPr>
            <w:r>
              <w:t>Yes</w:t>
            </w:r>
          </w:p>
        </w:tc>
      </w:tr>
      <w:tr w:rsidR="005B72FB" w:rsidRPr="00641D1D" w:rsidTr="00BA3D0B">
        <w:trPr>
          <w:cantSplit/>
          <w:trHeight w:val="177"/>
          <w:jc w:val="center"/>
        </w:trPr>
        <w:tc>
          <w:tcPr>
            <w:tcW w:w="1295" w:type="pct"/>
            <w:shd w:val="clear" w:color="000000" w:fill="auto"/>
            <w:tcMar>
              <w:top w:w="45" w:type="dxa"/>
              <w:left w:w="57" w:type="dxa"/>
              <w:bottom w:w="45" w:type="dxa"/>
              <w:right w:w="57" w:type="dxa"/>
            </w:tcMar>
          </w:tcPr>
          <w:p w:rsidR="005B72FB" w:rsidRDefault="005B72FB" w:rsidP="00C24D12">
            <w:pPr>
              <w:pStyle w:val="TblTextLeft"/>
              <w:spacing w:before="0" w:after="0"/>
            </w:pPr>
          </w:p>
        </w:tc>
        <w:tc>
          <w:tcPr>
            <w:tcW w:w="729" w:type="pct"/>
            <w:shd w:val="clear" w:color="000000" w:fill="auto"/>
            <w:tcMar>
              <w:top w:w="45" w:type="dxa"/>
              <w:left w:w="57" w:type="dxa"/>
              <w:bottom w:w="45" w:type="dxa"/>
              <w:right w:w="57" w:type="dxa"/>
            </w:tcMar>
          </w:tcPr>
          <w:p w:rsidR="005B72FB" w:rsidRDefault="005B72FB" w:rsidP="00C24D12">
            <w:pPr>
              <w:pStyle w:val="TblTextCenter"/>
              <w:keepNext/>
              <w:keepLines/>
              <w:spacing w:before="0" w:after="0"/>
            </w:pPr>
          </w:p>
        </w:tc>
        <w:tc>
          <w:tcPr>
            <w:tcW w:w="1710" w:type="pct"/>
            <w:shd w:val="clear" w:color="000000" w:fill="auto"/>
            <w:tcMar>
              <w:top w:w="45" w:type="dxa"/>
              <w:left w:w="57" w:type="dxa"/>
              <w:bottom w:w="45" w:type="dxa"/>
              <w:right w:w="57" w:type="dxa"/>
            </w:tcMar>
          </w:tcPr>
          <w:p w:rsidR="005B72FB" w:rsidRPr="00E15A10" w:rsidRDefault="005B72FB" w:rsidP="00C24D12">
            <w:pPr>
              <w:pStyle w:val="TblTextCenter"/>
              <w:keepNext/>
              <w:keepLines/>
              <w:spacing w:before="0" w:after="0"/>
            </w:pPr>
            <w:r>
              <w:t xml:space="preserve">Increased calcitonin </w:t>
            </w:r>
            <w:r w:rsidRPr="00E15A10">
              <w:t>≥</w:t>
            </w:r>
            <w:r w:rsidR="00692F10">
              <w:t>20 p</w:t>
            </w:r>
            <w:r w:rsidR="00E15A10" w:rsidRPr="00E15A10">
              <w:t>g/m</w:t>
            </w:r>
            <w:r w:rsidR="00E15A10">
              <w:t>L</w:t>
            </w:r>
          </w:p>
        </w:tc>
        <w:tc>
          <w:tcPr>
            <w:tcW w:w="230" w:type="pct"/>
            <w:shd w:val="clear" w:color="000000" w:fill="auto"/>
            <w:tcMar>
              <w:top w:w="45" w:type="dxa"/>
              <w:left w:w="57" w:type="dxa"/>
              <w:bottom w:w="45" w:type="dxa"/>
              <w:right w:w="57" w:type="dxa"/>
            </w:tcMar>
          </w:tcPr>
          <w:p w:rsidR="005B72FB" w:rsidRDefault="00E15A10" w:rsidP="00C24D12">
            <w:pPr>
              <w:pStyle w:val="TblTextCenter"/>
              <w:keepNext/>
              <w:keepLines/>
              <w:spacing w:before="0" w:after="0"/>
            </w:pPr>
            <w:r>
              <w:t>Yes</w:t>
            </w:r>
          </w:p>
        </w:tc>
        <w:tc>
          <w:tcPr>
            <w:tcW w:w="648" w:type="pct"/>
            <w:shd w:val="clear" w:color="000000" w:fill="auto"/>
            <w:tcMar>
              <w:top w:w="45" w:type="dxa"/>
              <w:left w:w="57" w:type="dxa"/>
              <w:bottom w:w="45" w:type="dxa"/>
              <w:right w:w="57" w:type="dxa"/>
            </w:tcMar>
          </w:tcPr>
          <w:p w:rsidR="005B72FB" w:rsidRDefault="00E15A10" w:rsidP="00C24D12">
            <w:pPr>
              <w:pStyle w:val="TblTextCenter"/>
              <w:keepNext/>
              <w:keepLines/>
              <w:spacing w:before="0" w:after="0"/>
            </w:pPr>
            <w:r>
              <w:t>No</w:t>
            </w:r>
          </w:p>
        </w:tc>
        <w:tc>
          <w:tcPr>
            <w:tcW w:w="388" w:type="pct"/>
            <w:shd w:val="clear" w:color="000000" w:fill="auto"/>
            <w:tcMar>
              <w:top w:w="45" w:type="dxa"/>
              <w:left w:w="57" w:type="dxa"/>
              <w:bottom w:w="45" w:type="dxa"/>
              <w:right w:w="57" w:type="dxa"/>
            </w:tcMar>
          </w:tcPr>
          <w:p w:rsidR="005B72FB" w:rsidRDefault="00E15A10" w:rsidP="00C24D12">
            <w:pPr>
              <w:pStyle w:val="TblTextCenter"/>
              <w:keepNext/>
              <w:keepLines/>
              <w:spacing w:before="0" w:after="0"/>
            </w:pPr>
            <w:r>
              <w:t>Yes</w:t>
            </w:r>
          </w:p>
        </w:tc>
      </w:tr>
      <w:tr w:rsidR="005B72FB" w:rsidRPr="00641D1D" w:rsidTr="00BA3D0B">
        <w:trPr>
          <w:cantSplit/>
          <w:trHeight w:val="177"/>
          <w:jc w:val="center"/>
        </w:trPr>
        <w:tc>
          <w:tcPr>
            <w:tcW w:w="1295" w:type="pct"/>
            <w:shd w:val="clear" w:color="000000" w:fill="auto"/>
            <w:tcMar>
              <w:top w:w="45" w:type="dxa"/>
              <w:left w:w="57" w:type="dxa"/>
              <w:bottom w:w="45" w:type="dxa"/>
              <w:right w:w="57" w:type="dxa"/>
            </w:tcMar>
          </w:tcPr>
          <w:p w:rsidR="005B72FB" w:rsidRDefault="005B72FB" w:rsidP="00C24D12">
            <w:pPr>
              <w:pStyle w:val="TblTextLeft"/>
              <w:spacing w:before="0" w:after="0"/>
            </w:pPr>
          </w:p>
        </w:tc>
        <w:tc>
          <w:tcPr>
            <w:tcW w:w="729" w:type="pct"/>
            <w:shd w:val="clear" w:color="000000" w:fill="auto"/>
            <w:tcMar>
              <w:top w:w="45" w:type="dxa"/>
              <w:left w:w="57" w:type="dxa"/>
              <w:bottom w:w="45" w:type="dxa"/>
              <w:right w:w="57" w:type="dxa"/>
            </w:tcMar>
          </w:tcPr>
          <w:p w:rsidR="005B72FB" w:rsidRDefault="005B72FB" w:rsidP="00C24D12">
            <w:pPr>
              <w:pStyle w:val="TblTextCenter"/>
              <w:keepNext/>
              <w:keepLines/>
              <w:spacing w:before="0" w:after="0"/>
            </w:pPr>
          </w:p>
        </w:tc>
        <w:tc>
          <w:tcPr>
            <w:tcW w:w="1710" w:type="pct"/>
            <w:shd w:val="clear" w:color="000000" w:fill="auto"/>
            <w:tcMar>
              <w:top w:w="45" w:type="dxa"/>
              <w:left w:w="57" w:type="dxa"/>
              <w:bottom w:w="45" w:type="dxa"/>
              <w:right w:w="57" w:type="dxa"/>
            </w:tcMar>
          </w:tcPr>
          <w:p w:rsidR="005B72FB" w:rsidRDefault="00E15A10" w:rsidP="00C24D12">
            <w:pPr>
              <w:pStyle w:val="TblTextCenter"/>
              <w:keepNext/>
              <w:keepLines/>
              <w:spacing w:before="0" w:after="0"/>
            </w:pPr>
            <w:r>
              <w:t>Pen-related events</w:t>
            </w:r>
            <w:r w:rsidRPr="00E15A10">
              <w:rPr>
                <w:vertAlign w:val="superscript"/>
              </w:rPr>
              <w:t>#</w:t>
            </w:r>
          </w:p>
        </w:tc>
        <w:tc>
          <w:tcPr>
            <w:tcW w:w="230" w:type="pct"/>
            <w:shd w:val="clear" w:color="000000" w:fill="auto"/>
            <w:tcMar>
              <w:top w:w="45" w:type="dxa"/>
              <w:left w:w="57" w:type="dxa"/>
              <w:bottom w:w="45" w:type="dxa"/>
              <w:right w:w="57" w:type="dxa"/>
            </w:tcMar>
          </w:tcPr>
          <w:p w:rsidR="005B72FB" w:rsidRDefault="00E15A10" w:rsidP="00C24D12">
            <w:pPr>
              <w:pStyle w:val="TblTextCenter"/>
              <w:keepNext/>
              <w:keepLines/>
              <w:spacing w:before="0" w:after="0"/>
            </w:pPr>
            <w:r>
              <w:t>Yes</w:t>
            </w:r>
          </w:p>
        </w:tc>
        <w:tc>
          <w:tcPr>
            <w:tcW w:w="648" w:type="pct"/>
            <w:shd w:val="clear" w:color="000000" w:fill="auto"/>
            <w:tcMar>
              <w:top w:w="45" w:type="dxa"/>
              <w:left w:w="57" w:type="dxa"/>
              <w:bottom w:w="45" w:type="dxa"/>
              <w:right w:w="57" w:type="dxa"/>
            </w:tcMar>
          </w:tcPr>
          <w:p w:rsidR="005B72FB" w:rsidRDefault="00E15A10" w:rsidP="00C24D12">
            <w:pPr>
              <w:pStyle w:val="TblTextCenter"/>
              <w:keepNext/>
              <w:keepLines/>
              <w:spacing w:before="0" w:after="0"/>
            </w:pPr>
            <w:r>
              <w:t>No</w:t>
            </w:r>
          </w:p>
        </w:tc>
        <w:tc>
          <w:tcPr>
            <w:tcW w:w="388" w:type="pct"/>
            <w:shd w:val="clear" w:color="000000" w:fill="auto"/>
            <w:tcMar>
              <w:top w:w="45" w:type="dxa"/>
              <w:left w:w="57" w:type="dxa"/>
              <w:bottom w:w="45" w:type="dxa"/>
              <w:right w:w="57" w:type="dxa"/>
            </w:tcMar>
          </w:tcPr>
          <w:p w:rsidR="005B72FB" w:rsidRDefault="00E15A10" w:rsidP="00C24D12">
            <w:pPr>
              <w:pStyle w:val="TblTextCenter"/>
              <w:keepNext/>
              <w:keepLines/>
              <w:spacing w:before="0" w:after="0"/>
            </w:pPr>
            <w:r>
              <w:t>Yes</w:t>
            </w:r>
          </w:p>
        </w:tc>
      </w:tr>
      <w:tr w:rsidR="005B72FB" w:rsidRPr="00641D1D" w:rsidTr="00BA3D0B">
        <w:trPr>
          <w:cantSplit/>
          <w:trHeight w:val="177"/>
          <w:jc w:val="center"/>
        </w:trPr>
        <w:tc>
          <w:tcPr>
            <w:tcW w:w="1295" w:type="pct"/>
            <w:shd w:val="clear" w:color="000000" w:fill="auto"/>
            <w:tcMar>
              <w:top w:w="45" w:type="dxa"/>
              <w:left w:w="57" w:type="dxa"/>
              <w:bottom w:w="0" w:type="dxa"/>
              <w:right w:w="57" w:type="dxa"/>
            </w:tcMar>
          </w:tcPr>
          <w:p w:rsidR="005B72FB" w:rsidRDefault="00E15A10" w:rsidP="00C24D12">
            <w:pPr>
              <w:pStyle w:val="TblTextLeft"/>
              <w:spacing w:before="0" w:after="0"/>
            </w:pPr>
            <w:r w:rsidRPr="00E15A10">
              <w:t>Laboratory, vital signs, ECG abnormality asymptomat</w:t>
            </w:r>
            <w:r w:rsidR="00075613">
              <w:t>ic overdose recorded as AE (non</w:t>
            </w:r>
            <w:r w:rsidR="00075613">
              <w:noBreakHyphen/>
            </w:r>
            <w:r w:rsidRPr="00E15A10">
              <w:t>SAE, non-AESI)</w:t>
            </w:r>
          </w:p>
        </w:tc>
        <w:tc>
          <w:tcPr>
            <w:tcW w:w="729" w:type="pct"/>
            <w:shd w:val="clear" w:color="000000" w:fill="auto"/>
            <w:tcMar>
              <w:top w:w="45" w:type="dxa"/>
              <w:left w:w="57" w:type="dxa"/>
              <w:bottom w:w="0" w:type="dxa"/>
              <w:right w:w="57" w:type="dxa"/>
            </w:tcMar>
          </w:tcPr>
          <w:p w:rsidR="005B72FB" w:rsidRDefault="00E15A10" w:rsidP="00C24D12">
            <w:pPr>
              <w:pStyle w:val="TblTextCenter"/>
              <w:keepNext/>
              <w:keepLines/>
              <w:spacing w:before="0" w:after="0"/>
            </w:pPr>
            <w:r>
              <w:t>Routine</w:t>
            </w:r>
          </w:p>
        </w:tc>
        <w:tc>
          <w:tcPr>
            <w:tcW w:w="1710" w:type="pct"/>
            <w:shd w:val="clear" w:color="000000" w:fill="auto"/>
            <w:tcMar>
              <w:top w:w="45" w:type="dxa"/>
              <w:left w:w="57" w:type="dxa"/>
              <w:bottom w:w="0" w:type="dxa"/>
              <w:right w:w="57" w:type="dxa"/>
            </w:tcMar>
          </w:tcPr>
          <w:p w:rsidR="005B72FB" w:rsidRDefault="00E15A10" w:rsidP="00C24D12">
            <w:pPr>
              <w:pStyle w:val="TblTextCenter"/>
              <w:keepNext/>
              <w:keepLines/>
              <w:spacing w:before="0" w:after="0"/>
            </w:pPr>
            <w:r>
              <w:t>Neutropenia</w:t>
            </w:r>
          </w:p>
        </w:tc>
        <w:tc>
          <w:tcPr>
            <w:tcW w:w="230" w:type="pct"/>
            <w:shd w:val="clear" w:color="000000" w:fill="auto"/>
            <w:tcMar>
              <w:top w:w="45" w:type="dxa"/>
              <w:left w:w="57" w:type="dxa"/>
              <w:bottom w:w="0" w:type="dxa"/>
              <w:right w:w="57" w:type="dxa"/>
            </w:tcMar>
          </w:tcPr>
          <w:p w:rsidR="005B72FB" w:rsidRDefault="00E15A10" w:rsidP="00C24D12">
            <w:pPr>
              <w:pStyle w:val="TblTextCenter"/>
              <w:keepNext/>
              <w:keepLines/>
              <w:spacing w:before="0" w:after="0"/>
            </w:pPr>
            <w:r>
              <w:t>Yes</w:t>
            </w:r>
          </w:p>
        </w:tc>
        <w:tc>
          <w:tcPr>
            <w:tcW w:w="648" w:type="pct"/>
            <w:shd w:val="clear" w:color="000000" w:fill="auto"/>
            <w:tcMar>
              <w:top w:w="45" w:type="dxa"/>
              <w:left w:w="57" w:type="dxa"/>
              <w:bottom w:w="0" w:type="dxa"/>
              <w:right w:w="57" w:type="dxa"/>
            </w:tcMar>
          </w:tcPr>
          <w:p w:rsidR="005B72FB" w:rsidRDefault="00E15A10" w:rsidP="00C24D12">
            <w:pPr>
              <w:pStyle w:val="TblTextCenter"/>
              <w:keepNext/>
              <w:keepLines/>
              <w:spacing w:before="0" w:after="0"/>
            </w:pPr>
            <w:r>
              <w:t>No</w:t>
            </w:r>
          </w:p>
        </w:tc>
        <w:tc>
          <w:tcPr>
            <w:tcW w:w="388" w:type="pct"/>
            <w:shd w:val="clear" w:color="000000" w:fill="auto"/>
            <w:tcMar>
              <w:top w:w="45" w:type="dxa"/>
              <w:left w:w="57" w:type="dxa"/>
              <w:bottom w:w="0" w:type="dxa"/>
              <w:right w:w="57" w:type="dxa"/>
            </w:tcMar>
          </w:tcPr>
          <w:p w:rsidR="005B72FB" w:rsidRDefault="00E15A10" w:rsidP="00C24D12">
            <w:pPr>
              <w:pStyle w:val="TblTextCenter"/>
              <w:keepNext/>
              <w:keepLines/>
              <w:spacing w:before="0" w:after="0"/>
            </w:pPr>
            <w:r>
              <w:t>No</w:t>
            </w:r>
          </w:p>
        </w:tc>
      </w:tr>
      <w:tr w:rsidR="003D63F9" w:rsidRPr="00E15A10" w:rsidTr="00BA3D0B">
        <w:trPr>
          <w:cantSplit/>
          <w:trHeight w:val="177"/>
          <w:jc w:val="center"/>
        </w:trPr>
        <w:tc>
          <w:tcPr>
            <w:tcW w:w="1295" w:type="pct"/>
            <w:shd w:val="clear" w:color="000000" w:fill="auto"/>
            <w:tcMar>
              <w:top w:w="0" w:type="dxa"/>
              <w:left w:w="57" w:type="dxa"/>
              <w:bottom w:w="28" w:type="dxa"/>
              <w:right w:w="57" w:type="dxa"/>
            </w:tcMar>
          </w:tcPr>
          <w:p w:rsidR="00EF2B6B" w:rsidRPr="00BD5113" w:rsidRDefault="00EF2B6B" w:rsidP="00C24D12">
            <w:pPr>
              <w:pStyle w:val="TblTextLeft"/>
              <w:spacing w:before="0" w:after="0"/>
            </w:pPr>
          </w:p>
        </w:tc>
        <w:tc>
          <w:tcPr>
            <w:tcW w:w="729" w:type="pct"/>
            <w:shd w:val="clear" w:color="000000" w:fill="auto"/>
            <w:tcMar>
              <w:top w:w="0" w:type="dxa"/>
              <w:left w:w="57" w:type="dxa"/>
              <w:bottom w:w="28" w:type="dxa"/>
              <w:right w:w="57" w:type="dxa"/>
            </w:tcMar>
          </w:tcPr>
          <w:p w:rsidR="00EF2B6B" w:rsidRPr="00BD5113" w:rsidRDefault="00EF2B6B" w:rsidP="00C24D12">
            <w:pPr>
              <w:pStyle w:val="TblTextCenter"/>
              <w:keepNext/>
              <w:keepLines/>
              <w:spacing w:before="0" w:after="0"/>
            </w:pPr>
          </w:p>
        </w:tc>
        <w:tc>
          <w:tcPr>
            <w:tcW w:w="1710" w:type="pct"/>
            <w:shd w:val="clear" w:color="000000" w:fill="auto"/>
            <w:tcMar>
              <w:top w:w="0" w:type="dxa"/>
              <w:left w:w="57" w:type="dxa"/>
              <w:bottom w:w="28" w:type="dxa"/>
              <w:right w:w="57" w:type="dxa"/>
            </w:tcMar>
          </w:tcPr>
          <w:p w:rsidR="00EF2B6B" w:rsidRPr="00E15A10" w:rsidRDefault="00E15A10" w:rsidP="00C24D12">
            <w:pPr>
              <w:pStyle w:val="TblTextCenter"/>
              <w:keepNext/>
              <w:keepLines/>
              <w:spacing w:before="0" w:after="0"/>
            </w:pPr>
            <w:r w:rsidRPr="00E15A10">
              <w:t>Thrombocytopenia</w:t>
            </w:r>
          </w:p>
        </w:tc>
        <w:tc>
          <w:tcPr>
            <w:tcW w:w="230" w:type="pct"/>
            <w:shd w:val="clear" w:color="000000" w:fill="auto"/>
            <w:tcMar>
              <w:top w:w="0" w:type="dxa"/>
              <w:left w:w="57" w:type="dxa"/>
              <w:bottom w:w="28" w:type="dxa"/>
              <w:right w:w="57" w:type="dxa"/>
            </w:tcMar>
          </w:tcPr>
          <w:p w:rsidR="00EF2B6B" w:rsidRPr="00E15A10" w:rsidRDefault="00EF2B6B" w:rsidP="00C24D12">
            <w:pPr>
              <w:pStyle w:val="TblTextCenter"/>
              <w:keepNext/>
              <w:keepLines/>
              <w:spacing w:before="0" w:after="0"/>
            </w:pPr>
            <w:r w:rsidRPr="00E15A10">
              <w:t>Yes</w:t>
            </w:r>
          </w:p>
        </w:tc>
        <w:tc>
          <w:tcPr>
            <w:tcW w:w="648" w:type="pct"/>
            <w:shd w:val="clear" w:color="000000" w:fill="auto"/>
            <w:tcMar>
              <w:top w:w="0" w:type="dxa"/>
              <w:left w:w="57" w:type="dxa"/>
              <w:bottom w:w="28" w:type="dxa"/>
              <w:right w:w="57" w:type="dxa"/>
            </w:tcMar>
          </w:tcPr>
          <w:p w:rsidR="00EF2B6B" w:rsidRPr="00E15A10" w:rsidRDefault="00E15A10" w:rsidP="00C24D12">
            <w:pPr>
              <w:pStyle w:val="TblTextCenter"/>
              <w:keepNext/>
              <w:keepLines/>
              <w:spacing w:before="0" w:after="0"/>
            </w:pPr>
            <w:r>
              <w:t>No</w:t>
            </w:r>
          </w:p>
        </w:tc>
        <w:tc>
          <w:tcPr>
            <w:tcW w:w="388" w:type="pct"/>
            <w:shd w:val="clear" w:color="000000" w:fill="auto"/>
            <w:tcMar>
              <w:top w:w="0" w:type="dxa"/>
              <w:left w:w="57" w:type="dxa"/>
              <w:bottom w:w="28" w:type="dxa"/>
              <w:right w:w="57" w:type="dxa"/>
            </w:tcMar>
          </w:tcPr>
          <w:p w:rsidR="00EF2B6B" w:rsidRPr="00E15A10" w:rsidRDefault="00420E97" w:rsidP="00C24D12">
            <w:pPr>
              <w:pStyle w:val="TblTextCenter"/>
              <w:keepNext/>
              <w:keepLines/>
              <w:spacing w:before="0" w:after="0"/>
            </w:pPr>
            <w:r w:rsidRPr="00E15A10">
              <w:t>No</w:t>
            </w:r>
            <w:r w:rsidR="00B6739C" w:rsidRPr="00E15A10">
              <w:t xml:space="preserve"> </w:t>
            </w:r>
          </w:p>
        </w:tc>
      </w:tr>
      <w:tr w:rsidR="00E15A10" w:rsidRPr="00E15A10" w:rsidTr="00BA3D0B">
        <w:trPr>
          <w:cantSplit/>
          <w:trHeight w:val="177"/>
          <w:jc w:val="center"/>
        </w:trPr>
        <w:tc>
          <w:tcPr>
            <w:tcW w:w="1295" w:type="pct"/>
            <w:shd w:val="clear" w:color="000000" w:fill="auto"/>
            <w:tcMar>
              <w:top w:w="45" w:type="dxa"/>
              <w:left w:w="57" w:type="dxa"/>
              <w:bottom w:w="45" w:type="dxa"/>
              <w:right w:w="57" w:type="dxa"/>
            </w:tcMar>
          </w:tcPr>
          <w:p w:rsidR="00E15A10" w:rsidRPr="00BD5113" w:rsidRDefault="00E15A10" w:rsidP="00C24D12">
            <w:pPr>
              <w:pStyle w:val="TblTextLeft"/>
              <w:spacing w:before="0" w:after="0"/>
            </w:pPr>
          </w:p>
        </w:tc>
        <w:tc>
          <w:tcPr>
            <w:tcW w:w="729" w:type="pct"/>
            <w:shd w:val="clear" w:color="000000" w:fill="auto"/>
            <w:tcMar>
              <w:top w:w="45" w:type="dxa"/>
              <w:left w:w="57" w:type="dxa"/>
              <w:bottom w:w="45" w:type="dxa"/>
              <w:right w:w="57" w:type="dxa"/>
            </w:tcMar>
          </w:tcPr>
          <w:p w:rsidR="00E15A10" w:rsidRPr="00BD5113" w:rsidRDefault="00E15A10" w:rsidP="00C24D12">
            <w:pPr>
              <w:pStyle w:val="TblTextCenter"/>
              <w:keepNext/>
              <w:keepLines/>
              <w:spacing w:before="0" w:after="0"/>
            </w:pPr>
          </w:p>
        </w:tc>
        <w:tc>
          <w:tcPr>
            <w:tcW w:w="1710" w:type="pct"/>
            <w:shd w:val="clear" w:color="000000" w:fill="auto"/>
            <w:tcMar>
              <w:top w:w="45" w:type="dxa"/>
              <w:left w:w="57" w:type="dxa"/>
              <w:bottom w:w="45" w:type="dxa"/>
              <w:right w:w="57" w:type="dxa"/>
            </w:tcMar>
          </w:tcPr>
          <w:p w:rsidR="00E15A10" w:rsidRPr="00E15A10" w:rsidRDefault="00E15A10" w:rsidP="00C24D12">
            <w:pPr>
              <w:pStyle w:val="TblTextCenter"/>
              <w:keepNext/>
              <w:keepLines/>
              <w:spacing w:before="0" w:after="0"/>
            </w:pPr>
            <w:r>
              <w:t>Acute renal insufficiency</w:t>
            </w:r>
          </w:p>
        </w:tc>
        <w:tc>
          <w:tcPr>
            <w:tcW w:w="230" w:type="pct"/>
            <w:shd w:val="clear" w:color="000000" w:fill="auto"/>
            <w:tcMar>
              <w:top w:w="45" w:type="dxa"/>
              <w:left w:w="57" w:type="dxa"/>
              <w:bottom w:w="45" w:type="dxa"/>
              <w:right w:w="57" w:type="dxa"/>
            </w:tcMar>
          </w:tcPr>
          <w:p w:rsidR="00E15A10" w:rsidRPr="00E15A10" w:rsidRDefault="00E15A10" w:rsidP="00C24D12">
            <w:pPr>
              <w:pStyle w:val="TblTextCenter"/>
              <w:keepNext/>
              <w:keepLines/>
              <w:spacing w:before="0" w:after="0"/>
            </w:pPr>
            <w:r>
              <w:t>Yes</w:t>
            </w:r>
          </w:p>
        </w:tc>
        <w:tc>
          <w:tcPr>
            <w:tcW w:w="648" w:type="pct"/>
            <w:shd w:val="clear" w:color="000000" w:fill="auto"/>
            <w:tcMar>
              <w:top w:w="45" w:type="dxa"/>
              <w:left w:w="57" w:type="dxa"/>
              <w:bottom w:w="45" w:type="dxa"/>
              <w:right w:w="57" w:type="dxa"/>
            </w:tcMar>
          </w:tcPr>
          <w:p w:rsidR="00E15A10" w:rsidRDefault="00E15A10" w:rsidP="00C24D12">
            <w:pPr>
              <w:pStyle w:val="TblTextCenter"/>
              <w:keepNext/>
              <w:keepLines/>
              <w:spacing w:before="0" w:after="0"/>
            </w:pPr>
            <w:r>
              <w:t>No</w:t>
            </w:r>
          </w:p>
        </w:tc>
        <w:tc>
          <w:tcPr>
            <w:tcW w:w="388" w:type="pct"/>
            <w:shd w:val="clear" w:color="000000" w:fill="auto"/>
            <w:tcMar>
              <w:top w:w="45" w:type="dxa"/>
              <w:left w:w="57" w:type="dxa"/>
              <w:bottom w:w="45" w:type="dxa"/>
              <w:right w:w="57" w:type="dxa"/>
            </w:tcMar>
          </w:tcPr>
          <w:p w:rsidR="00E15A10" w:rsidRPr="00E15A10" w:rsidRDefault="00E15A10" w:rsidP="00C24D12">
            <w:pPr>
              <w:pStyle w:val="TblTextCenter"/>
              <w:keepNext/>
              <w:keepLines/>
              <w:spacing w:before="0" w:after="0"/>
            </w:pPr>
            <w:r>
              <w:t>No</w:t>
            </w:r>
          </w:p>
        </w:tc>
      </w:tr>
      <w:tr w:rsidR="00E15A10" w:rsidRPr="00E15A10" w:rsidTr="00BA3D0B">
        <w:trPr>
          <w:cantSplit/>
          <w:trHeight w:val="177"/>
          <w:jc w:val="center"/>
        </w:trPr>
        <w:tc>
          <w:tcPr>
            <w:tcW w:w="1295" w:type="pct"/>
            <w:shd w:val="clear" w:color="000000" w:fill="auto"/>
            <w:tcMar>
              <w:top w:w="45" w:type="dxa"/>
              <w:left w:w="57" w:type="dxa"/>
              <w:bottom w:w="45" w:type="dxa"/>
              <w:right w:w="57" w:type="dxa"/>
            </w:tcMar>
          </w:tcPr>
          <w:p w:rsidR="00E15A10" w:rsidRPr="00BD5113" w:rsidRDefault="00E15A10" w:rsidP="00C24D12">
            <w:pPr>
              <w:pStyle w:val="TblTextLeft"/>
              <w:spacing w:before="0" w:after="0"/>
            </w:pPr>
          </w:p>
        </w:tc>
        <w:tc>
          <w:tcPr>
            <w:tcW w:w="729" w:type="pct"/>
            <w:shd w:val="clear" w:color="000000" w:fill="auto"/>
            <w:tcMar>
              <w:top w:w="45" w:type="dxa"/>
              <w:left w:w="57" w:type="dxa"/>
              <w:bottom w:w="45" w:type="dxa"/>
              <w:right w:w="57" w:type="dxa"/>
            </w:tcMar>
          </w:tcPr>
          <w:p w:rsidR="00E15A10" w:rsidRPr="00BD5113" w:rsidRDefault="00E15A10" w:rsidP="00C24D12">
            <w:pPr>
              <w:pStyle w:val="TblTextCenter"/>
              <w:keepNext/>
              <w:keepLines/>
              <w:spacing w:before="0" w:after="0"/>
            </w:pPr>
          </w:p>
        </w:tc>
        <w:tc>
          <w:tcPr>
            <w:tcW w:w="1710" w:type="pct"/>
            <w:shd w:val="clear" w:color="000000" w:fill="auto"/>
            <w:tcMar>
              <w:top w:w="45" w:type="dxa"/>
              <w:left w:w="57" w:type="dxa"/>
              <w:bottom w:w="45" w:type="dxa"/>
              <w:right w:w="57" w:type="dxa"/>
            </w:tcMar>
          </w:tcPr>
          <w:p w:rsidR="00E15A10" w:rsidRPr="00E15A10" w:rsidRDefault="00E15A10" w:rsidP="00C24D12">
            <w:pPr>
              <w:pStyle w:val="TblTextCenter"/>
              <w:keepNext/>
              <w:keepLines/>
              <w:spacing w:before="0" w:after="0"/>
            </w:pPr>
            <w:r>
              <w:t>Suspicion of rhabdomyolysis</w:t>
            </w:r>
          </w:p>
        </w:tc>
        <w:tc>
          <w:tcPr>
            <w:tcW w:w="230" w:type="pct"/>
            <w:shd w:val="clear" w:color="000000" w:fill="auto"/>
            <w:tcMar>
              <w:top w:w="45" w:type="dxa"/>
              <w:left w:w="57" w:type="dxa"/>
              <w:bottom w:w="45" w:type="dxa"/>
              <w:right w:w="57" w:type="dxa"/>
            </w:tcMar>
          </w:tcPr>
          <w:p w:rsidR="00E15A10" w:rsidRPr="00E15A10" w:rsidRDefault="00E15A10" w:rsidP="00C24D12">
            <w:pPr>
              <w:pStyle w:val="TblTextCenter"/>
              <w:keepNext/>
              <w:keepLines/>
              <w:spacing w:before="0" w:after="0"/>
            </w:pPr>
            <w:r>
              <w:t>Yes</w:t>
            </w:r>
          </w:p>
        </w:tc>
        <w:tc>
          <w:tcPr>
            <w:tcW w:w="648" w:type="pct"/>
            <w:shd w:val="clear" w:color="000000" w:fill="auto"/>
            <w:tcMar>
              <w:top w:w="45" w:type="dxa"/>
              <w:left w:w="57" w:type="dxa"/>
              <w:bottom w:w="45" w:type="dxa"/>
              <w:right w:w="57" w:type="dxa"/>
            </w:tcMar>
          </w:tcPr>
          <w:p w:rsidR="00E15A10" w:rsidRDefault="00E15A10" w:rsidP="00C24D12">
            <w:pPr>
              <w:pStyle w:val="TblTextCenter"/>
              <w:keepNext/>
              <w:keepLines/>
              <w:spacing w:before="0" w:after="0"/>
            </w:pPr>
            <w:r>
              <w:t>No</w:t>
            </w:r>
          </w:p>
        </w:tc>
        <w:tc>
          <w:tcPr>
            <w:tcW w:w="388" w:type="pct"/>
            <w:shd w:val="clear" w:color="000000" w:fill="auto"/>
            <w:tcMar>
              <w:top w:w="45" w:type="dxa"/>
              <w:left w:w="57" w:type="dxa"/>
              <w:bottom w:w="45" w:type="dxa"/>
              <w:right w:w="57" w:type="dxa"/>
            </w:tcMar>
          </w:tcPr>
          <w:p w:rsidR="00E15A10" w:rsidRPr="00E15A10" w:rsidRDefault="00E15A10" w:rsidP="00C24D12">
            <w:pPr>
              <w:pStyle w:val="TblTextCenter"/>
              <w:keepNext/>
              <w:keepLines/>
              <w:spacing w:before="0" w:after="0"/>
            </w:pPr>
            <w:r>
              <w:t>No</w:t>
            </w:r>
          </w:p>
        </w:tc>
      </w:tr>
      <w:tr w:rsidR="00E15A10" w:rsidRPr="00E15A10" w:rsidTr="00BA3D0B">
        <w:trPr>
          <w:cantSplit/>
          <w:trHeight w:val="177"/>
          <w:jc w:val="center"/>
        </w:trPr>
        <w:tc>
          <w:tcPr>
            <w:tcW w:w="1295" w:type="pct"/>
            <w:shd w:val="clear" w:color="000000" w:fill="auto"/>
            <w:tcMar>
              <w:top w:w="45" w:type="dxa"/>
              <w:left w:w="57" w:type="dxa"/>
              <w:bottom w:w="0" w:type="dxa"/>
              <w:right w:w="57" w:type="dxa"/>
            </w:tcMar>
          </w:tcPr>
          <w:p w:rsidR="00E15A10" w:rsidRPr="00BD5113" w:rsidRDefault="00E15A10" w:rsidP="00075613">
            <w:pPr>
              <w:pStyle w:val="TblTextLeft"/>
              <w:spacing w:before="0" w:after="0"/>
            </w:pPr>
          </w:p>
        </w:tc>
        <w:tc>
          <w:tcPr>
            <w:tcW w:w="729" w:type="pct"/>
            <w:shd w:val="clear" w:color="000000" w:fill="auto"/>
            <w:tcMar>
              <w:top w:w="45" w:type="dxa"/>
              <w:left w:w="57" w:type="dxa"/>
              <w:bottom w:w="0" w:type="dxa"/>
              <w:right w:w="57" w:type="dxa"/>
            </w:tcMar>
          </w:tcPr>
          <w:p w:rsidR="00E15A10" w:rsidRPr="00BD5113" w:rsidRDefault="00E15A10" w:rsidP="00075613">
            <w:pPr>
              <w:pStyle w:val="TblTextCenter"/>
              <w:keepNext/>
              <w:keepLines/>
              <w:spacing w:before="0" w:after="0"/>
            </w:pPr>
          </w:p>
        </w:tc>
        <w:tc>
          <w:tcPr>
            <w:tcW w:w="1710" w:type="pct"/>
            <w:shd w:val="clear" w:color="000000" w:fill="auto"/>
            <w:tcMar>
              <w:top w:w="45" w:type="dxa"/>
              <w:left w:w="57" w:type="dxa"/>
              <w:bottom w:w="0" w:type="dxa"/>
              <w:right w:w="57" w:type="dxa"/>
            </w:tcMar>
          </w:tcPr>
          <w:p w:rsidR="00E15A10" w:rsidRPr="00E15A10" w:rsidRDefault="00E15A10" w:rsidP="00075613">
            <w:pPr>
              <w:pStyle w:val="TblTextCenter"/>
              <w:keepNext/>
              <w:keepLines/>
              <w:spacing w:before="0" w:after="0"/>
            </w:pPr>
            <w:r w:rsidRPr="00E15A10">
              <w:t>Other (eg, leading to IMP discontinuation)</w:t>
            </w:r>
          </w:p>
        </w:tc>
        <w:tc>
          <w:tcPr>
            <w:tcW w:w="230" w:type="pct"/>
            <w:shd w:val="clear" w:color="000000" w:fill="auto"/>
            <w:tcMar>
              <w:top w:w="45" w:type="dxa"/>
              <w:left w:w="57" w:type="dxa"/>
              <w:bottom w:w="0" w:type="dxa"/>
              <w:right w:w="57" w:type="dxa"/>
            </w:tcMar>
          </w:tcPr>
          <w:p w:rsidR="00E15A10" w:rsidRPr="00E15A10" w:rsidRDefault="00E15A10" w:rsidP="00075613">
            <w:pPr>
              <w:pStyle w:val="TblTextCenter"/>
              <w:keepNext/>
              <w:keepLines/>
              <w:spacing w:before="0" w:after="0"/>
            </w:pPr>
            <w:r>
              <w:t>Yes</w:t>
            </w:r>
          </w:p>
        </w:tc>
        <w:tc>
          <w:tcPr>
            <w:tcW w:w="648" w:type="pct"/>
            <w:shd w:val="clear" w:color="000000" w:fill="auto"/>
            <w:tcMar>
              <w:top w:w="45" w:type="dxa"/>
              <w:left w:w="57" w:type="dxa"/>
              <w:bottom w:w="0" w:type="dxa"/>
              <w:right w:w="57" w:type="dxa"/>
            </w:tcMar>
          </w:tcPr>
          <w:p w:rsidR="00E15A10" w:rsidRDefault="00E15A10" w:rsidP="00075613">
            <w:pPr>
              <w:pStyle w:val="TblTextCenter"/>
              <w:keepNext/>
              <w:keepLines/>
              <w:spacing w:before="0" w:after="0"/>
            </w:pPr>
            <w:r>
              <w:t>No</w:t>
            </w:r>
          </w:p>
        </w:tc>
        <w:tc>
          <w:tcPr>
            <w:tcW w:w="388" w:type="pct"/>
            <w:shd w:val="clear" w:color="000000" w:fill="auto"/>
            <w:tcMar>
              <w:top w:w="45" w:type="dxa"/>
              <w:left w:w="57" w:type="dxa"/>
              <w:bottom w:w="0" w:type="dxa"/>
              <w:right w:w="57" w:type="dxa"/>
            </w:tcMar>
          </w:tcPr>
          <w:p w:rsidR="00E15A10" w:rsidRPr="00E15A10" w:rsidRDefault="00E15A10" w:rsidP="00075613">
            <w:pPr>
              <w:pStyle w:val="TblTextCenter"/>
              <w:keepNext/>
              <w:keepLines/>
              <w:spacing w:before="0" w:after="0"/>
            </w:pPr>
            <w:r>
              <w:t>No</w:t>
            </w:r>
          </w:p>
        </w:tc>
      </w:tr>
      <w:tr w:rsidR="00EF2B6B" w:rsidTr="00BA3D0B">
        <w:trPr>
          <w:cantSplit/>
          <w:trHeight w:val="225"/>
          <w:jc w:val="center"/>
        </w:trPr>
        <w:tc>
          <w:tcPr>
            <w:tcW w:w="5000" w:type="pct"/>
            <w:gridSpan w:val="6"/>
            <w:tcBorders>
              <w:top w:val="single" w:sz="12" w:space="0" w:color="auto"/>
            </w:tcBorders>
            <w:shd w:val="clear" w:color="000000" w:fill="auto"/>
            <w:tcMar>
              <w:left w:w="57" w:type="dxa"/>
              <w:right w:w="57" w:type="dxa"/>
            </w:tcMar>
          </w:tcPr>
          <w:p w:rsidR="00E15A10" w:rsidRDefault="00E15A10" w:rsidP="00BA3D0B">
            <w:pPr>
              <w:pStyle w:val="TblFigFootnote"/>
              <w:keepLines w:val="0"/>
              <w:spacing w:before="0" w:after="0" w:line="180" w:lineRule="exact"/>
            </w:pPr>
            <w:r>
              <w:t>Symptomatic hypoglycemia will be reported on the dedicated hypoglycemia event page.</w:t>
            </w:r>
          </w:p>
          <w:p w:rsidR="00E15A10" w:rsidRDefault="00E15A10" w:rsidP="00BA3D0B">
            <w:pPr>
              <w:pStyle w:val="TblFigFootnote"/>
              <w:keepLines w:val="0"/>
              <w:spacing w:before="0" w:after="0" w:line="180" w:lineRule="exact"/>
            </w:pPr>
            <w:r>
              <w:t>*: Asymptomatic overdose is reported in the AE form and does not require expedited reporting.</w:t>
            </w:r>
          </w:p>
          <w:p w:rsidR="00EF2B6B" w:rsidRPr="0095439E" w:rsidRDefault="00E15A10" w:rsidP="00CC7EDB">
            <w:pPr>
              <w:pStyle w:val="TblFigFootnote"/>
              <w:keepLines w:val="0"/>
              <w:spacing w:before="0" w:after="0" w:line="180" w:lineRule="exact"/>
            </w:pPr>
            <w:r>
              <w:t xml:space="preserve">#: Only pen-related events associated with clinical adverse events will be reported as AE. Please refer to </w:t>
            </w:r>
            <w:hyperlink w:anchor="_Ref434492583" w:history="1">
              <w:r w:rsidR="00203E0B" w:rsidRPr="00CC7EDB">
                <w:rPr>
                  <w:rStyle w:val="Hyperlink"/>
                  <w:color w:val="auto"/>
                  <w:u w:val="none"/>
                </w:rPr>
                <w:t>Section</w:t>
              </w:r>
            </w:hyperlink>
            <w:r w:rsidR="00203E0B">
              <w:t xml:space="preserve"> </w:t>
            </w:r>
            <w:r w:rsidR="00CC7EDB" w:rsidRPr="00CC7EDB">
              <w:rPr>
                <w:rStyle w:val="BlueReplace"/>
              </w:rPr>
              <w:fldChar w:fldCharType="begin"/>
            </w:r>
            <w:r w:rsidR="00CC7EDB" w:rsidRPr="00CC7EDB">
              <w:rPr>
                <w:rStyle w:val="BlueReplace"/>
              </w:rPr>
              <w:instrText xml:space="preserve"> REF _Ref434492583 \r \h </w:instrText>
            </w:r>
            <w:r w:rsidR="00CC7EDB" w:rsidRPr="00CC7EDB">
              <w:rPr>
                <w:rStyle w:val="BlueReplace"/>
              </w:rPr>
            </w:r>
            <w:r w:rsidR="00CC7EDB">
              <w:rPr>
                <w:rStyle w:val="BlueReplace"/>
              </w:rPr>
              <w:instrText xml:space="preserve"> \* MERGEFORMAT </w:instrText>
            </w:r>
            <w:r w:rsidR="00CC7EDB" w:rsidRPr="00CC7EDB">
              <w:rPr>
                <w:rStyle w:val="BlueReplace"/>
              </w:rPr>
              <w:fldChar w:fldCharType="separate"/>
            </w:r>
            <w:r w:rsidR="005A26F6">
              <w:rPr>
                <w:rStyle w:val="BlueReplace"/>
              </w:rPr>
              <w:t>10.6.8</w:t>
            </w:r>
            <w:r w:rsidR="00CC7EDB" w:rsidRPr="00CC7EDB">
              <w:rPr>
                <w:rStyle w:val="BlueReplace"/>
              </w:rPr>
              <w:fldChar w:fldCharType="end"/>
            </w:r>
            <w:r>
              <w:t>.</w:t>
            </w:r>
          </w:p>
        </w:tc>
      </w:tr>
    </w:tbl>
    <w:p w:rsidR="002F41EE" w:rsidRDefault="002F41EE">
      <w:pPr>
        <w:pStyle w:val="Heading2"/>
        <w:keepLines/>
      </w:pPr>
      <w:bookmarkStart w:id="815" w:name="_Ref298692294"/>
      <w:bookmarkStart w:id="816" w:name="_Toc382298133"/>
      <w:bookmarkStart w:id="817" w:name="_Toc443035915"/>
      <w:r>
        <w:lastRenderedPageBreak/>
        <w:t>Obligations of the Sponsor</w:t>
      </w:r>
      <w:bookmarkEnd w:id="815"/>
      <w:bookmarkEnd w:id="816"/>
      <w:bookmarkEnd w:id="817"/>
    </w:p>
    <w:p w:rsidR="002F41EE" w:rsidRDefault="002F41EE">
      <w:pPr>
        <w:keepNext/>
        <w:keepLines/>
      </w:pPr>
      <w:r>
        <w:t>During the course of the study, the Sponsor will report in an expedited manner:</w:t>
      </w:r>
    </w:p>
    <w:p w:rsidR="002F41EE" w:rsidRDefault="00942F60">
      <w:pPr>
        <w:pStyle w:val="ListBulletLevel1"/>
      </w:pPr>
      <w:r>
        <w:t>A</w:t>
      </w:r>
      <w:r w:rsidR="002F41EE">
        <w:t>ll SAEs that are both unexpected and at least reasonably rela</w:t>
      </w:r>
      <w:r w:rsidR="00996C54">
        <w:t xml:space="preserve">ted to the IMP (SUSAR), to the </w:t>
      </w:r>
      <w:r w:rsidR="00497160">
        <w:t>regulatory authorities</w:t>
      </w:r>
      <w:r w:rsidR="002F41EE">
        <w:t xml:space="preserve">, </w:t>
      </w:r>
      <w:r w:rsidR="00D800D5">
        <w:t>Independent Ethics Committees (</w:t>
      </w:r>
      <w:r w:rsidR="002F41EE" w:rsidRPr="00084E2D">
        <w:t>IEC</w:t>
      </w:r>
      <w:r w:rsidR="00084E2D">
        <w:fldChar w:fldCharType="begin"/>
      </w:r>
      <w:r w:rsidR="009A6873">
        <w:instrText xml:space="preserve"> XE "IEC" \f Abbreviation \t "i</w:instrText>
      </w:r>
      <w:r w:rsidR="00084E2D">
        <w:instrText xml:space="preserve">ndependent ethics committee" </w:instrText>
      </w:r>
      <w:r w:rsidR="00084E2D">
        <w:fldChar w:fldCharType="end"/>
      </w:r>
      <w:r w:rsidR="002F41EE" w:rsidRPr="00084E2D">
        <w:t>s</w:t>
      </w:r>
      <w:r w:rsidR="00D800D5">
        <w:t>)</w:t>
      </w:r>
      <w:r w:rsidR="002F41EE">
        <w:t>/</w:t>
      </w:r>
      <w:r w:rsidR="00D800D5">
        <w:t>Institutional Review Boards (</w:t>
      </w:r>
      <w:r w:rsidR="002F41EE" w:rsidRPr="00084E2D">
        <w:t>IRB</w:t>
      </w:r>
      <w:r w:rsidR="00084E2D">
        <w:fldChar w:fldCharType="begin"/>
      </w:r>
      <w:r w:rsidR="009A6873">
        <w:instrText xml:space="preserve"> XE "IRB" \f Abbreviation \t "i</w:instrText>
      </w:r>
      <w:r w:rsidR="00084E2D">
        <w:instrText xml:space="preserve">nstitutional review board" </w:instrText>
      </w:r>
      <w:r w:rsidR="00084E2D">
        <w:fldChar w:fldCharType="end"/>
      </w:r>
      <w:r w:rsidR="002F41EE" w:rsidRPr="00084E2D">
        <w:t>s</w:t>
      </w:r>
      <w:r w:rsidR="00D800D5">
        <w:t>)</w:t>
      </w:r>
      <w:r w:rsidR="002F41EE">
        <w:t xml:space="preserve"> as appropriate and to the Investigators.   </w:t>
      </w:r>
    </w:p>
    <w:p w:rsidR="002F41EE" w:rsidRDefault="00942F60">
      <w:pPr>
        <w:pStyle w:val="ListBulletLevel1"/>
      </w:pPr>
      <w:r>
        <w:t>A</w:t>
      </w:r>
      <w:r w:rsidR="002F41EE">
        <w:t xml:space="preserve">ll SAEs that are expected and at least reasonably related to the IMPs to the </w:t>
      </w:r>
      <w:r w:rsidR="00497160">
        <w:t>regulatory authorities</w:t>
      </w:r>
      <w:r w:rsidR="002F41EE">
        <w:t>, according to local regulations.</w:t>
      </w:r>
    </w:p>
    <w:p w:rsidR="00110C57" w:rsidRDefault="00110C57" w:rsidP="00110C57">
      <w:r>
        <w:t>Any other AE not listed as an expected event in the insulin glargine Company Core Data Sheet (CCDS) or lixisenatide/insulin glargine combination product Investigator's Brochure (IB) will be considered as an unexpected event.</w:t>
      </w:r>
    </w:p>
    <w:p w:rsidR="00110C57" w:rsidRDefault="00110C57" w:rsidP="00110C57">
      <w:r>
        <w:t>In this study, some AEs considered related to the underlying condition (eg, blood glucose increased) will not be considered unexpected as given in the IB.</w:t>
      </w:r>
    </w:p>
    <w:p w:rsidR="00110C57" w:rsidRDefault="00110C57" w:rsidP="00110C57">
      <w:r>
        <w:t>The Sponsor will report all safety observations made during the conduct of the trial in the clinical study report (CSR</w:t>
      </w:r>
      <w:r w:rsidR="00C23433">
        <w:fldChar w:fldCharType="begin"/>
      </w:r>
      <w:r w:rsidR="00C23433">
        <w:instrText xml:space="preserve"> XE "</w:instrText>
      </w:r>
      <w:r w:rsidR="00C23433" w:rsidRPr="00C23433">
        <w:instrText xml:space="preserve"> </w:instrText>
      </w:r>
      <w:r w:rsidR="009A6873">
        <w:instrText>CSR " \f Abbreviation \t "c</w:instrText>
      </w:r>
      <w:r w:rsidR="00C23433">
        <w:instrText xml:space="preserve">linical study report" </w:instrText>
      </w:r>
      <w:r w:rsidR="00C23433">
        <w:fldChar w:fldCharType="end"/>
      </w:r>
      <w:r>
        <w:t>).</w:t>
      </w:r>
    </w:p>
    <w:p w:rsidR="002F41EE" w:rsidRDefault="002F41EE">
      <w:pPr>
        <w:pStyle w:val="Heading2"/>
      </w:pPr>
      <w:bookmarkStart w:id="818" w:name="_Toc382298134"/>
      <w:bookmarkStart w:id="819" w:name="_Ref433977762"/>
      <w:bookmarkStart w:id="820" w:name="_Ref433982967"/>
      <w:bookmarkStart w:id="821" w:name="_Ref434174556"/>
      <w:bookmarkStart w:id="822" w:name="_Ref434175241"/>
      <w:bookmarkStart w:id="823" w:name="_Ref442278158"/>
      <w:bookmarkStart w:id="824" w:name="_Ref442278549"/>
      <w:bookmarkStart w:id="825" w:name="_Ref442689671"/>
      <w:bookmarkStart w:id="826" w:name="_Ref442689761"/>
      <w:bookmarkStart w:id="827" w:name="_Ref442689853"/>
      <w:bookmarkStart w:id="828" w:name="_Ref442689901"/>
      <w:bookmarkStart w:id="829" w:name="_Toc443035916"/>
      <w:r w:rsidRPr="00851486">
        <w:t>Safety instructions</w:t>
      </w:r>
      <w:bookmarkEnd w:id="818"/>
      <w:bookmarkEnd w:id="819"/>
      <w:bookmarkEnd w:id="820"/>
      <w:bookmarkEnd w:id="821"/>
      <w:bookmarkEnd w:id="822"/>
      <w:bookmarkEnd w:id="823"/>
      <w:bookmarkEnd w:id="824"/>
      <w:bookmarkEnd w:id="825"/>
      <w:bookmarkEnd w:id="826"/>
      <w:bookmarkEnd w:id="827"/>
      <w:bookmarkEnd w:id="828"/>
      <w:bookmarkEnd w:id="829"/>
    </w:p>
    <w:p w:rsidR="00851486" w:rsidRDefault="00851486" w:rsidP="00851486">
      <w:pPr>
        <w:pStyle w:val="Heading3"/>
      </w:pPr>
      <w:bookmarkStart w:id="830" w:name="_Ref434493038"/>
      <w:bookmarkStart w:id="831" w:name="_Toc443035917"/>
      <w:r w:rsidRPr="00851486">
        <w:t>Symptomatic Hypoglycemia</w:t>
      </w:r>
      <w:bookmarkEnd w:id="830"/>
      <w:bookmarkEnd w:id="831"/>
    </w:p>
    <w:p w:rsidR="00851486" w:rsidRDefault="00851486" w:rsidP="00851486">
      <w:r>
        <w:t>Symptomatic hypoglycemia events will be categorized as follows:</w:t>
      </w:r>
    </w:p>
    <w:p w:rsidR="00851486" w:rsidRPr="00851486" w:rsidRDefault="00851486" w:rsidP="00851486">
      <w:pPr>
        <w:rPr>
          <w:b/>
        </w:rPr>
      </w:pPr>
      <w:r w:rsidRPr="00851486">
        <w:rPr>
          <w:b/>
        </w:rPr>
        <w:t>Severe symptomatic hypoglycemia</w:t>
      </w:r>
    </w:p>
    <w:p w:rsidR="00851486" w:rsidRDefault="00851486" w:rsidP="00851486">
      <w:r>
        <w:t>Severe symptomatic hypoglycemia is an event requiring assistance of another person to actively administer carbohydrate, glucagon, or other resuscitative actions. These episodes may be associated with sufficient neuroglycopenia to induce seizure, unconsciousness or coma. Plasma glucose measurements may not be available during such an event, but neurological recovery attributable to the restoration of plasma glucose to normal is considered sufficient evidence that the event was induced by a low plasma glucose concentration.</w:t>
      </w:r>
    </w:p>
    <w:p w:rsidR="00851486" w:rsidRDefault="00851486" w:rsidP="00851486">
      <w:r>
        <w:t>The definition of severe symptomatic hypoglycemia includes all episodes in which neurological impairment was severe enough to prevent self-treatment and which were thus thought to place patients at risk for injury to themselves or others.</w:t>
      </w:r>
    </w:p>
    <w:p w:rsidR="00851486" w:rsidRDefault="00851486" w:rsidP="00851486">
      <w:r w:rsidRPr="00851486">
        <w:rPr>
          <w:b/>
        </w:rPr>
        <w:t>Note</w:t>
      </w:r>
      <w:r>
        <w:t xml:space="preserve"> that “requires assistance” means that the patient could not help himself or herself. Assisting a patient out of kindness, when assistance is not required, should not be considered a “requires assistance” incident.</w:t>
      </w:r>
    </w:p>
    <w:p w:rsidR="00851486" w:rsidRDefault="00851486" w:rsidP="00851486">
      <w:r>
        <w:t>Severe symptomatic hypoglycemia will be qualified as an SAE only if it fulfills SAE criteria. All events of seizure, unconsciousness or coma must be reported as SAEs.</w:t>
      </w:r>
    </w:p>
    <w:p w:rsidR="00851486" w:rsidRPr="00851486" w:rsidRDefault="00851486" w:rsidP="00BA3D0B">
      <w:pPr>
        <w:keepNext/>
        <w:rPr>
          <w:b/>
        </w:rPr>
      </w:pPr>
      <w:r w:rsidRPr="00851486">
        <w:rPr>
          <w:b/>
        </w:rPr>
        <w:lastRenderedPageBreak/>
        <w:t>Documented symptomatic hypoglycemia</w:t>
      </w:r>
    </w:p>
    <w:p w:rsidR="00851486" w:rsidRDefault="00851486" w:rsidP="00851486">
      <w:r>
        <w:t xml:space="preserve">Documented symptomatic hypoglycemia is an event during which typical symptoms of hypoglycemia are accompanied by a measured plasma glucose </w:t>
      </w:r>
      <w:r w:rsidR="009A6873">
        <w:t>concentration of ≤70 mg/dL (3.9 </w:t>
      </w:r>
      <w:r>
        <w:t>mmol/L).</w:t>
      </w:r>
    </w:p>
    <w:p w:rsidR="00851486" w:rsidRDefault="00851486" w:rsidP="00851486">
      <w:r>
        <w:t>Clinical symptoms that are considered to result from a hypoglycemic episode can include (but are not limited to): increased sweating, nervousness, asthenia, tremor, dizziness, increased appetite, palpitations, headache, sleep disorder, confusion, seizures, unconsciousness, and coma.</w:t>
      </w:r>
    </w:p>
    <w:p w:rsidR="00851486" w:rsidRPr="00851486" w:rsidRDefault="00851486" w:rsidP="00851486">
      <w:pPr>
        <w:rPr>
          <w:b/>
        </w:rPr>
      </w:pPr>
      <w:r w:rsidRPr="00851486">
        <w:rPr>
          <w:b/>
        </w:rPr>
        <w:t>Probable symptomatic hypoglycemia</w:t>
      </w:r>
    </w:p>
    <w:p w:rsidR="00851486" w:rsidRDefault="00851486" w:rsidP="00851486">
      <w:r>
        <w:t>Probable symptomatic hypoglycemia is an event during which symptoms of hypoglycemia are not accompanied by a plasma glucose determination, but was presumably caused by a plasma glucose concentration less than or equal to 70 mg/dL (3.9 mmol/L); symptoms treated with oral carbohydrate without a test of plasma glucose.</w:t>
      </w:r>
    </w:p>
    <w:p w:rsidR="00851486" w:rsidRDefault="00851486" w:rsidP="00851486">
      <w:r>
        <w:t>Patients will be instructed to measure finger-stick plasma glucose levels prior to the administration of carbohydrates whenever symptomatic hypoglycemia is suspected, unless safety considerations necessitate immediate glucose rescue prior to confirmation, and then a glucose measurement should be performed as soon as safe, with appropriate diary documentation. Details on hypoglycemia episodes will be captured in the patient diaries, and patients will contact the sites as soon as possible following severe events to review the details and decide on any necessary measures to be taken.</w:t>
      </w:r>
    </w:p>
    <w:p w:rsidR="00851486" w:rsidRDefault="00851486" w:rsidP="00851486">
      <w:r>
        <w:t>Symptomatic hypoglycemia episodes will be documented on the dedicated hypoglycemia event page in the e-CRF. Symptomatic hypoglycemia events fulfilling the criteria of a SAE will also be documented on AE and SAE forms in the e-CRF.</w:t>
      </w:r>
    </w:p>
    <w:p w:rsidR="00851486" w:rsidRDefault="0050708D" w:rsidP="0050708D">
      <w:pPr>
        <w:pStyle w:val="Heading3"/>
      </w:pPr>
      <w:bookmarkStart w:id="832" w:name="_Toc443035918"/>
      <w:r w:rsidRPr="0050708D">
        <w:t>Local tolerability at injection site</w:t>
      </w:r>
      <w:bookmarkEnd w:id="832"/>
    </w:p>
    <w:p w:rsidR="0050708D" w:rsidRDefault="0050708D" w:rsidP="0050708D">
      <w:r w:rsidRPr="0050708D">
        <w:t>In case the Investigator or the patient recognizes any signs of local intolerability at injection site this should be recorded on the standard AE page in the e-CRF.</w:t>
      </w:r>
    </w:p>
    <w:p w:rsidR="0050708D" w:rsidRDefault="0050708D" w:rsidP="0050708D">
      <w:pPr>
        <w:pStyle w:val="Heading3"/>
      </w:pPr>
      <w:bookmarkStart w:id="833" w:name="_Ref434494022"/>
      <w:bookmarkStart w:id="834" w:name="_Toc443035919"/>
      <w:r w:rsidRPr="0050708D">
        <w:t>Allergic or allergic-like reaction</w:t>
      </w:r>
      <w:bookmarkEnd w:id="833"/>
      <w:bookmarkEnd w:id="834"/>
    </w:p>
    <w:p w:rsidR="0050708D" w:rsidRDefault="0050708D" w:rsidP="0050708D">
      <w:r>
        <w:t>In case a patient experiences an allergic reaction or an allergic-like reaction this has to be reported as an adverse event and recorded in the e-CRF on the specific AE form for suspected allergic event. Additional information is collected on specific allergic reaction complementary form. Allergic reaction or possible allergic reaction will be adjudicated by the ARAC (</w:t>
      </w:r>
      <w:hyperlink w:anchor="_Ref434264602" w:history="1">
        <w:r w:rsidR="00DC79D4" w:rsidRPr="00DC79D4">
          <w:rPr>
            <w:rStyle w:val="Hyperlink"/>
            <w:u w:val="none"/>
          </w:rPr>
          <w:t>Section</w:t>
        </w:r>
      </w:hyperlink>
      <w:r w:rsidR="00DC79D4">
        <w:t xml:space="preserve"> </w:t>
      </w:r>
      <w:r w:rsidR="00DC79D4">
        <w:fldChar w:fldCharType="begin"/>
      </w:r>
      <w:r w:rsidR="00DC79D4">
        <w:instrText xml:space="preserve"> REF _Ref434264602 \r \h </w:instrText>
      </w:r>
      <w:r w:rsidR="00DC79D4">
        <w:fldChar w:fldCharType="separate"/>
      </w:r>
      <w:r w:rsidR="005A26F6">
        <w:t>6.4.2</w:t>
      </w:r>
      <w:r w:rsidR="00DC79D4">
        <w:fldChar w:fldCharType="end"/>
      </w:r>
      <w:r>
        <w:t>).</w:t>
      </w:r>
    </w:p>
    <w:p w:rsidR="0050708D" w:rsidRDefault="0050708D" w:rsidP="0050708D">
      <w:r>
        <w:t>Virtually all symptoms listed on the allergic reaction complementary form are possible adverse reactions that may be allergic in nature and may need to be addressed after medical judgment, excluding another etiology than allergy.</w:t>
      </w:r>
    </w:p>
    <w:p w:rsidR="0050708D" w:rsidRDefault="0050708D" w:rsidP="0050708D">
      <w:r>
        <w:t xml:space="preserve">Sometimes transient injection site reactions, irritant in nature, may occur requiring no intervention and are of dubious significance. These reactions would not be considered to be allergic reactions. </w:t>
      </w:r>
      <w:r>
        <w:lastRenderedPageBreak/>
        <w:t xml:space="preserve">Adverse events that are obviously not of allergic origin (eg, local injection site reactions) should not be recorded on the </w:t>
      </w:r>
      <w:r w:rsidR="009F28EB" w:rsidRPr="00446EC7">
        <w:t>Allergic Event page or</w:t>
      </w:r>
      <w:r w:rsidR="009F28EB">
        <w:t xml:space="preserve"> </w:t>
      </w:r>
      <w:r>
        <w:t>Allergic Reaction Complementary Form.</w:t>
      </w:r>
    </w:p>
    <w:p w:rsidR="009F28EB" w:rsidRDefault="009F28EB" w:rsidP="009F28EB">
      <w:pPr>
        <w:pStyle w:val="Heading3"/>
      </w:pPr>
      <w:bookmarkStart w:id="835" w:name="_Ref434491927"/>
      <w:bookmarkStart w:id="836" w:name="_Toc443035920"/>
      <w:r w:rsidRPr="009F28EB">
        <w:t>Monitoring of patients with inc</w:t>
      </w:r>
      <w:r>
        <w:t>reased lipase and/or amylase &gt;2</w:t>
      </w:r>
      <w:r w:rsidRPr="009F28EB">
        <w:t>x ULN</w:t>
      </w:r>
      <w:bookmarkEnd w:id="835"/>
      <w:bookmarkEnd w:id="836"/>
    </w:p>
    <w:p w:rsidR="009F28EB" w:rsidRDefault="009F28EB" w:rsidP="009F28EB">
      <w:r>
        <w:t>Potential safety signals for acute pancreatitis have been identified in the post-marketing experience of other GLP-1 receptor agonists. Therefore, patients enrolled in this study should be followed for any suspected pancreatitis, eg, with symptoms and/or signs of acute abdominal distress or abnormal levels of pancreatic enzymes. Serum amylase and lipase concentrations are monitored routinely at screening, baseline and periodically during the study treatment period.</w:t>
      </w:r>
    </w:p>
    <w:p w:rsidR="009F28EB" w:rsidRDefault="009F28EB" w:rsidP="009F28EB">
      <w:r>
        <w:t>In the presence of clinical signs and/or symptoms evocative of pancreatitis, eg, persistent abdominal pain, which can radiate to the back, often with characteristic positional features, with possible occurrence of nausea, vomiting, fever and leu</w:t>
      </w:r>
      <w:r w:rsidR="00C177F4">
        <w:t>k</w:t>
      </w:r>
      <w:r>
        <w:t>ocytosis, further measurement of amylase and lipase should be performed. The clinical signs and/or symptoms should be documented in the source data.</w:t>
      </w:r>
    </w:p>
    <w:p w:rsidR="009F28EB" w:rsidRPr="003A39B8" w:rsidRDefault="009F28EB" w:rsidP="009F28EB">
      <w:pPr>
        <w:rPr>
          <w:b/>
        </w:rPr>
      </w:pPr>
      <w:r w:rsidRPr="003A39B8">
        <w:rPr>
          <w:b/>
        </w:rPr>
        <w:t>(1) Elevat</w:t>
      </w:r>
      <w:r w:rsidR="003A39B8">
        <w:rPr>
          <w:b/>
        </w:rPr>
        <w:t>ion of Amylase and/or Lipase &gt;2</w:t>
      </w:r>
      <w:r w:rsidRPr="003A39B8">
        <w:rPr>
          <w:b/>
        </w:rPr>
        <w:t>x ULN without clinical signs and/or symptoms</w:t>
      </w:r>
    </w:p>
    <w:p w:rsidR="009F28EB" w:rsidRDefault="009F28EB" w:rsidP="009F28EB">
      <w:r>
        <w:t>In any case whe</w:t>
      </w:r>
      <w:r w:rsidR="003A39B8">
        <w:t>re amylase and/or lipase are &gt;2</w:t>
      </w:r>
      <w:r>
        <w:t>x ULN, a retest (centrally assessed as far as possible) must be performed as follows:</w:t>
      </w:r>
    </w:p>
    <w:p w:rsidR="009F28EB" w:rsidRDefault="003A39B8" w:rsidP="00CC67B4">
      <w:pPr>
        <w:pStyle w:val="ListBulletLevel1"/>
        <w:numPr>
          <w:ilvl w:val="0"/>
          <w:numId w:val="133"/>
        </w:numPr>
      </w:pPr>
      <w:r>
        <w:t>If value(s) is/are &gt;2-3</w:t>
      </w:r>
      <w:r w:rsidR="009F28EB">
        <w:t>x ULN: retest within 7 days;</w:t>
      </w:r>
    </w:p>
    <w:p w:rsidR="009F28EB" w:rsidRDefault="003A39B8" w:rsidP="00CC67B4">
      <w:pPr>
        <w:pStyle w:val="ListBulletLevel1"/>
        <w:numPr>
          <w:ilvl w:val="0"/>
          <w:numId w:val="133"/>
        </w:numPr>
      </w:pPr>
      <w:r>
        <w:t>If value(s) is/are &gt;3</w:t>
      </w:r>
      <w:r w:rsidR="009F28EB">
        <w:t>x ULN: retest within 48 hours;</w:t>
      </w:r>
    </w:p>
    <w:p w:rsidR="009F28EB" w:rsidRDefault="003A39B8" w:rsidP="00CC67B4">
      <w:pPr>
        <w:pStyle w:val="ListBulletLevel1"/>
        <w:numPr>
          <w:ilvl w:val="0"/>
          <w:numId w:val="133"/>
        </w:numPr>
      </w:pPr>
      <w:r>
        <w:t>If the value(s) remain(s) &gt;2</w:t>
      </w:r>
      <w:r w:rsidR="009F28EB">
        <w:t>x ULN upon retesting: amylase and/or lipase levels should be rete</w:t>
      </w:r>
      <w:r>
        <w:t>sted weekly until values are &lt;2</w:t>
      </w:r>
      <w:r w:rsidR="009F28EB">
        <w:t>x ULN.</w:t>
      </w:r>
    </w:p>
    <w:p w:rsidR="009F28EB" w:rsidRDefault="003A39B8" w:rsidP="009F28EB">
      <w:r>
        <w:t>In case a retest is &gt;2</w:t>
      </w:r>
      <w:r w:rsidR="009F28EB">
        <w:t>x ULN a gastroenterological evaluation and imaging (ultrasound and/or CT or MRI with contrast, as appropriate) must be performed. Please document in the source data the absence of clinical signs and/or symptoms (if clinical signs and/or symptoms develop, please see part (2) below).</w:t>
      </w:r>
    </w:p>
    <w:p w:rsidR="009F28EB" w:rsidRDefault="009F28EB" w:rsidP="009F28EB">
      <w:r>
        <w:t>Best clinical judgment is to be used when interpreting elevated serum amylase and lipase levels in asymptomatic patients. Temporary discontinuation of the IMP may be considered in these cases if deemed necessary by the Investigator.</w:t>
      </w:r>
    </w:p>
    <w:p w:rsidR="009F28EB" w:rsidRPr="00692F10" w:rsidRDefault="009F28EB" w:rsidP="009F28EB">
      <w:pPr>
        <w:rPr>
          <w:b/>
        </w:rPr>
      </w:pPr>
      <w:r w:rsidRPr="00692F10">
        <w:rPr>
          <w:b/>
        </w:rPr>
        <w:t>(2) Elevation of Amylase and/or Lipase &gt;2 x ULN with clinical signs and/or symptoms</w:t>
      </w:r>
    </w:p>
    <w:p w:rsidR="009F28EB" w:rsidRDefault="009F28EB" w:rsidP="009F28EB">
      <w:r>
        <w:t>In the presence of clinical signs and/or symptoms evocative of pancreatitis (as described above) associated with elevated amylase and/or lipase, treatment with the IMP should be promptly and at least temporarily discontinued pending further clinical evaluation and diagnosis confirmation.</w:t>
      </w:r>
    </w:p>
    <w:p w:rsidR="009F28EB" w:rsidRDefault="009F28EB" w:rsidP="009F28EB">
      <w:r>
        <w:t>Clinical signs and/or symptoms are to be documented in the source data. A laboratory determination of amylase and lipase has to be obtained at the time of the event and again within 48 hours or earlier as clinically indicate</w:t>
      </w:r>
      <w:r w:rsidR="00692F10">
        <w:t>d. If the value(s) remain(s) &gt;2</w:t>
      </w:r>
      <w:r>
        <w:t>x ULN, then amylase and/or lipase levels should be retested as described in (1) above, or more often if clinically indicated.</w:t>
      </w:r>
    </w:p>
    <w:p w:rsidR="009F28EB" w:rsidRDefault="009F28EB" w:rsidP="009F28EB">
      <w:r>
        <w:lastRenderedPageBreak/>
        <w:t>A gastroenterologic evaluation and imaging (ultrasound and/or CT or MRI with contrast, as appropriate) must be performed. If a diagnosis of pancreatitis is confirmed, IMP should not be restarted and should be permanently discontinued.</w:t>
      </w:r>
    </w:p>
    <w:p w:rsidR="009F28EB" w:rsidRDefault="009F28EB" w:rsidP="009F28EB">
      <w:r>
        <w:t>In both cases as described above under (1) and (2), all laboratory or clinical documentations are to be collected. If the retest confirms lipa</w:t>
      </w:r>
      <w:r w:rsidR="00692F10">
        <w:t>se and/or amylase values are &gt;2</w:t>
      </w:r>
      <w:r>
        <w:t>x ULN , the event must be reported in the e-CRF on the specific AE form for “Inc</w:t>
      </w:r>
      <w:r w:rsidR="00692F10">
        <w:t>reased Lipase and/or Amylase &gt;2</w:t>
      </w:r>
      <w:r>
        <w:t>x ULN” and the specific forms, using the appropriate verbatim: eg, “increased amylase and/or lipase” in case of isolated enzyme elevation, “suspected pancreatitis” in the presence of clinical signs evocative of pancreatitis if the diagnosis is suspected but cannot be confirmed or excluded, and “pancreatitis” if the diagnosis has been confirmed.</w:t>
      </w:r>
    </w:p>
    <w:p w:rsidR="009F28EB" w:rsidRDefault="009F28EB" w:rsidP="009F28EB">
      <w:r>
        <w:t>The PSAC will review selected pancreatic events, including pancreatitis, pancreatic neoplasms and abnormal levels of amylase or lipase.</w:t>
      </w:r>
    </w:p>
    <w:p w:rsidR="00692F10" w:rsidRDefault="00692F10" w:rsidP="00692F10">
      <w:pPr>
        <w:pStyle w:val="Heading3"/>
      </w:pPr>
      <w:bookmarkStart w:id="837" w:name="_Ref434493644"/>
      <w:bookmarkStart w:id="838" w:name="_Ref434493959"/>
      <w:bookmarkStart w:id="839" w:name="_Ref434494042"/>
      <w:bookmarkStart w:id="840" w:name="_Toc443035921"/>
      <w:r w:rsidRPr="00692F10">
        <w:t>Management of patients with increased calcitonin values</w:t>
      </w:r>
      <w:bookmarkEnd w:id="837"/>
      <w:bookmarkEnd w:id="838"/>
      <w:bookmarkEnd w:id="839"/>
      <w:bookmarkEnd w:id="840"/>
    </w:p>
    <w:p w:rsidR="00692F10" w:rsidRDefault="00692F10" w:rsidP="00692F10">
      <w:r>
        <w:t>During the course of the study, if a calcitonin value is found ≥20 pg/mL (5.9 pmol/L):</w:t>
      </w:r>
    </w:p>
    <w:p w:rsidR="00692F10" w:rsidRDefault="00692F10" w:rsidP="00CC67B4">
      <w:pPr>
        <w:pStyle w:val="ListBulletLevel1"/>
        <w:numPr>
          <w:ilvl w:val="0"/>
          <w:numId w:val="134"/>
        </w:numPr>
      </w:pPr>
      <w:r>
        <w:t>A retest should be performed by the central laboratory within 7 days. In addition, blood should be collected and sent to the central laboratory for measurement of: calcium, phosphorus, gastrin, Thyroid Stimulating Hormone (TSH), and anti-thyroid peroxidase (anti-TPO) antibodies;</w:t>
      </w:r>
    </w:p>
    <w:p w:rsidR="00692F10" w:rsidRDefault="00692F10" w:rsidP="00CC67B4">
      <w:pPr>
        <w:pStyle w:val="ListBulletLevel1"/>
        <w:numPr>
          <w:ilvl w:val="0"/>
          <w:numId w:val="134"/>
        </w:numPr>
      </w:pPr>
      <w:r>
        <w:t>The clinical and laboratory documentations listed below are to be collected and recorded in source documents as soon as possible:</w:t>
      </w:r>
    </w:p>
    <w:p w:rsidR="00692F10" w:rsidRDefault="00692F10" w:rsidP="00CC67B4">
      <w:pPr>
        <w:pStyle w:val="ListBulletLevel2"/>
        <w:numPr>
          <w:ilvl w:val="0"/>
          <w:numId w:val="135"/>
        </w:numPr>
      </w:pPr>
      <w:r>
        <w:t>Potential false positive circumstances: smoking status, proton-pump inhibitor treatments (eg, omeprazole), autoimmune thyroid diseases (Hashimoto’s thyroiditis or Graves’ disease), differentiated thyroid cancer, hypercalcemia, hypergastrinemia, chronic renal insufficiency (not on dialysis), other neuro-endocrine tumors (small cell lung cancer, intestinal carcinoid), acute pulmonary inflammatory conditions, or sepsis.</w:t>
      </w:r>
    </w:p>
    <w:p w:rsidR="00692F10" w:rsidRDefault="00692F10" w:rsidP="00CC67B4">
      <w:pPr>
        <w:pStyle w:val="ListBulletLevel2"/>
        <w:numPr>
          <w:ilvl w:val="0"/>
          <w:numId w:val="135"/>
        </w:numPr>
      </w:pPr>
      <w:r>
        <w:t>Specific personal and/or familial medical history in relation to thyroid or other endocrine diseases;</w:t>
      </w:r>
    </w:p>
    <w:p w:rsidR="00692F10" w:rsidRDefault="00692F10" w:rsidP="00CC67B4">
      <w:pPr>
        <w:pStyle w:val="ListBulletLevel2"/>
        <w:numPr>
          <w:ilvl w:val="0"/>
          <w:numId w:val="135"/>
        </w:numPr>
      </w:pPr>
      <w:r>
        <w:t>Specific physical examination (neck, thyroid gland).</w:t>
      </w:r>
    </w:p>
    <w:p w:rsidR="00692F10" w:rsidRDefault="00692F10" w:rsidP="00692F10">
      <w:r>
        <w:t>If the retest confirms that the calcitonin value is ≥20 pg/mL:</w:t>
      </w:r>
    </w:p>
    <w:p w:rsidR="00692F10" w:rsidRDefault="00692F10" w:rsidP="00CC67B4">
      <w:pPr>
        <w:pStyle w:val="ListBulletLevel1"/>
        <w:numPr>
          <w:ilvl w:val="0"/>
          <w:numId w:val="136"/>
        </w:numPr>
      </w:pPr>
      <w:r>
        <w:t>The event must be reported in the e-CRF on the specific AE form and specific complementary form for “increased calcitonin ≥20 pg/mL” with all appropriate clinical and laboratory documentation.</w:t>
      </w:r>
    </w:p>
    <w:p w:rsidR="00692F10" w:rsidRDefault="00692F10" w:rsidP="00CC67B4">
      <w:pPr>
        <w:pStyle w:val="ListBulletLevel1"/>
        <w:numPr>
          <w:ilvl w:val="0"/>
          <w:numId w:val="136"/>
        </w:numPr>
      </w:pPr>
      <w:r>
        <w:t>An ultrasound scan of the thyroid should be performed and the patient may be referred to a thyroid specialist if judged necessary.</w:t>
      </w:r>
    </w:p>
    <w:p w:rsidR="00692F10" w:rsidRDefault="00692F10" w:rsidP="00CC67B4">
      <w:pPr>
        <w:pStyle w:val="ListBulletLevel1"/>
        <w:numPr>
          <w:ilvl w:val="0"/>
          <w:numId w:val="136"/>
        </w:numPr>
      </w:pPr>
      <w:r>
        <w:t>The patient should continue to be followed according to protocol schedule (including planned calcitonin measurements). The specific AE form “increased calcitonin ≥20 pg/mL (5.9 pmol/L)” should be updated with any new information collected during the follow up.</w:t>
      </w:r>
    </w:p>
    <w:p w:rsidR="00692F10" w:rsidRDefault="00692F10" w:rsidP="00CC67B4">
      <w:pPr>
        <w:pStyle w:val="ListBulletLevel1"/>
        <w:numPr>
          <w:ilvl w:val="0"/>
          <w:numId w:val="136"/>
        </w:numPr>
      </w:pPr>
      <w:r>
        <w:lastRenderedPageBreak/>
        <w:t xml:space="preserve">If a calcitonin value ≥50 pg/mL (14.75 pmol/L) is found at any time during further follow up, the patient should be permanently discontinued from IMP (see </w:t>
      </w:r>
      <w:hyperlink w:anchor="_Ref442690128" w:history="1">
        <w:r w:rsidR="00DC79D4" w:rsidRPr="00DC79D4">
          <w:rPr>
            <w:rStyle w:val="Hyperlink"/>
            <w:u w:val="none"/>
          </w:rPr>
          <w:t>Section</w:t>
        </w:r>
      </w:hyperlink>
      <w:r w:rsidR="00DC79D4">
        <w:t xml:space="preserve"> </w:t>
      </w:r>
      <w:r w:rsidR="00DC79D4">
        <w:fldChar w:fldCharType="begin"/>
      </w:r>
      <w:r w:rsidR="00DC79D4">
        <w:instrText xml:space="preserve"> REF _Ref442690128 \r \h </w:instrText>
      </w:r>
      <w:r w:rsidR="00DC79D4">
        <w:fldChar w:fldCharType="separate"/>
      </w:r>
      <w:r w:rsidR="005A26F6">
        <w:t>10.3.4</w:t>
      </w:r>
      <w:r w:rsidR="00DC79D4">
        <w:fldChar w:fldCharType="end"/>
      </w:r>
      <w:r>
        <w:t>) and referred to a specialist. As far as possible, blood should be collected 1 to 2 weeks after IMP discontinuation and sent to the central laboratory for calcitonin measurement.</w:t>
      </w:r>
    </w:p>
    <w:p w:rsidR="00692F10" w:rsidRDefault="00692F10" w:rsidP="00CC67B4">
      <w:pPr>
        <w:pStyle w:val="ListBulletLevel1"/>
        <w:numPr>
          <w:ilvl w:val="0"/>
          <w:numId w:val="136"/>
        </w:numPr>
      </w:pPr>
      <w:r>
        <w:t>If at any time during follow-up a calcitonin value ≥20 pg/mL increases by 20% or more between 2 assessments (while remaining below 50 pg/mL), a repeated measurement should be performed earlier than scheduled in the protocol, ie, 1 month later. Once results are available, discussion with Sponsor should be initiated without delay for further guidance.</w:t>
      </w:r>
    </w:p>
    <w:p w:rsidR="00D2264D" w:rsidRDefault="00D2264D" w:rsidP="00D2264D">
      <w:pPr>
        <w:pStyle w:val="Heading3"/>
      </w:pPr>
      <w:bookmarkStart w:id="841" w:name="_Toc443035922"/>
      <w:r w:rsidRPr="00D2264D">
        <w:t>Monitoring of renal function in case of prolonged and severe nausea and vomiting</w:t>
      </w:r>
      <w:bookmarkEnd w:id="841"/>
    </w:p>
    <w:p w:rsidR="00D2264D" w:rsidRDefault="00D2264D" w:rsidP="00D2264D">
      <w:r w:rsidRPr="00D2264D">
        <w:t>In case of prolonged or severe nausea and vomiting, if clinically indicated, serum creatinine measurement has to be centrally performed. If there is an acute increase of serum creatinine, metformin has to be discontinued until resolution of renal dysfunction.</w:t>
      </w:r>
    </w:p>
    <w:p w:rsidR="00D2264D" w:rsidRDefault="00D2264D" w:rsidP="00D2264D">
      <w:pPr>
        <w:pStyle w:val="Heading3"/>
      </w:pPr>
      <w:bookmarkStart w:id="842" w:name="_Toc443035923"/>
      <w:r w:rsidRPr="00D2264D">
        <w:t>Follow-up of laboratory abnormalities</w:t>
      </w:r>
      <w:bookmarkEnd w:id="842"/>
    </w:p>
    <w:p w:rsidR="00D2264D" w:rsidRDefault="00D2264D" w:rsidP="00D2264D">
      <w:r>
        <w:t>Decision trees for the management of certain laboratory abnormalities are provided in</w:t>
      </w:r>
      <w:r w:rsidR="0022765F">
        <w:br/>
      </w:r>
      <w:r w:rsidR="001E1AC7" w:rsidRPr="00CC7EDB">
        <w:rPr>
          <w:rStyle w:val="BlueReplace"/>
        </w:rPr>
        <w:fldChar w:fldCharType="begin"/>
      </w:r>
      <w:r w:rsidR="001E1AC7" w:rsidRPr="00CC7EDB">
        <w:rPr>
          <w:rStyle w:val="BlueReplace"/>
        </w:rPr>
        <w:instrText xml:space="preserve"> REF _Ref435182833 \r \h </w:instrText>
      </w:r>
      <w:r w:rsidR="001E1AC7" w:rsidRPr="00CC7EDB">
        <w:rPr>
          <w:rStyle w:val="BlueReplace"/>
        </w:rPr>
      </w:r>
      <w:r w:rsidR="00CC7EDB">
        <w:rPr>
          <w:rStyle w:val="BlueReplace"/>
        </w:rPr>
        <w:instrText xml:space="preserve"> \* MERGEFORMAT </w:instrText>
      </w:r>
      <w:r w:rsidR="001E1AC7" w:rsidRPr="00CC7EDB">
        <w:rPr>
          <w:rStyle w:val="BlueReplace"/>
        </w:rPr>
        <w:fldChar w:fldCharType="separate"/>
      </w:r>
      <w:r w:rsidR="005A26F6">
        <w:rPr>
          <w:rStyle w:val="BlueReplace"/>
        </w:rPr>
        <w:t>Appendix C</w:t>
      </w:r>
      <w:r w:rsidR="001E1AC7" w:rsidRPr="00CC7EDB">
        <w:rPr>
          <w:rStyle w:val="BlueReplace"/>
        </w:rPr>
        <w:fldChar w:fldCharType="end"/>
      </w:r>
      <w:r>
        <w:t>.</w:t>
      </w:r>
    </w:p>
    <w:p w:rsidR="00D2264D" w:rsidRDefault="00D2264D" w:rsidP="00D2264D">
      <w:pPr>
        <w:pStyle w:val="Heading3"/>
      </w:pPr>
      <w:bookmarkStart w:id="843" w:name="_Ref434492583"/>
      <w:bookmarkStart w:id="844" w:name="_Toc443035924"/>
      <w:r w:rsidRPr="00D2264D">
        <w:t>Monitoring of pen-related events (device-related events)</w:t>
      </w:r>
      <w:bookmarkEnd w:id="843"/>
      <w:bookmarkEnd w:id="844"/>
    </w:p>
    <w:p w:rsidR="00D2264D" w:rsidRDefault="00D2264D" w:rsidP="00D2264D">
      <w:r>
        <w:t>A pen-related event (PRE) includes any suspected problem with the injection device(s) used in the study which has or may lead to a health hazard (eg, adverse event). Typical problems include pen performance failure, patient (or caregiver) having difficulty understanding the instructions or using the pen, use error, etc.</w:t>
      </w:r>
    </w:p>
    <w:p w:rsidR="00D2264D" w:rsidRDefault="00D2264D" w:rsidP="00D2264D">
      <w:r>
        <w:t>Examples of pen-related events include but are not limited to:</w:t>
      </w:r>
    </w:p>
    <w:p w:rsidR="00D2264D" w:rsidRDefault="00D2264D" w:rsidP="00CC67B4">
      <w:pPr>
        <w:pStyle w:val="ListBulletLevel1"/>
        <w:numPr>
          <w:ilvl w:val="0"/>
          <w:numId w:val="137"/>
        </w:numPr>
      </w:pPr>
      <w:r>
        <w:t>Dosing problems: jamming, inability to inject, partial injection, need to repeat injection, dosage knob stuck;</w:t>
      </w:r>
    </w:p>
    <w:p w:rsidR="00D2264D" w:rsidRDefault="00D2264D" w:rsidP="00CC67B4">
      <w:pPr>
        <w:pStyle w:val="ListBulletLevel1"/>
        <w:numPr>
          <w:ilvl w:val="0"/>
          <w:numId w:val="137"/>
        </w:numPr>
      </w:pPr>
      <w:r>
        <w:t>Needle issues: difficulty attaching the needle;</w:t>
      </w:r>
    </w:p>
    <w:p w:rsidR="00D2264D" w:rsidRDefault="00D2264D" w:rsidP="00CC67B4">
      <w:pPr>
        <w:pStyle w:val="ListBulletLevel1"/>
        <w:numPr>
          <w:ilvl w:val="0"/>
          <w:numId w:val="137"/>
        </w:numPr>
      </w:pPr>
      <w:r>
        <w:t>Breakage of the pen;</w:t>
      </w:r>
    </w:p>
    <w:p w:rsidR="00D2264D" w:rsidRDefault="00D2264D" w:rsidP="00CC67B4">
      <w:pPr>
        <w:pStyle w:val="ListBulletLevel1"/>
        <w:numPr>
          <w:ilvl w:val="0"/>
          <w:numId w:val="137"/>
        </w:numPr>
      </w:pPr>
      <w:r>
        <w:t>Mix-up of pens/devices (patient injects using a pen/device different than the intended one);</w:t>
      </w:r>
    </w:p>
    <w:p w:rsidR="00D2264D" w:rsidRDefault="00D2264D" w:rsidP="00CC67B4">
      <w:pPr>
        <w:pStyle w:val="ListBulletLevel1"/>
        <w:numPr>
          <w:ilvl w:val="0"/>
          <w:numId w:val="137"/>
        </w:numPr>
      </w:pPr>
      <w:r>
        <w:t>Difficulty to understand the instructions in the product instructions leaflet;</w:t>
      </w:r>
    </w:p>
    <w:p w:rsidR="00D2264D" w:rsidRDefault="00D2264D" w:rsidP="00CC67B4">
      <w:pPr>
        <w:pStyle w:val="ListBulletLevel1"/>
        <w:numPr>
          <w:ilvl w:val="0"/>
          <w:numId w:val="137"/>
        </w:numPr>
      </w:pPr>
      <w:r>
        <w:t>Use error: Incorrect use of the pen by the patient/caregiver/healthcare provider.</w:t>
      </w:r>
    </w:p>
    <w:p w:rsidR="00D2264D" w:rsidRDefault="00D2264D" w:rsidP="00D2264D">
      <w:r>
        <w:t>Pen-related events will be pro-actively monitored during the study by asking at each study visit whether the patient/caregiver experienced any pen-related event. I</w:t>
      </w:r>
      <w:r w:rsidR="00C522CD">
        <w:t>f answer is yes, the specific e</w:t>
      </w:r>
      <w:r w:rsidR="00C522CD">
        <w:noBreakHyphen/>
      </w:r>
      <w:r>
        <w:t xml:space="preserve">CRF Pen Related Event Questionnaire </w:t>
      </w:r>
      <w:r w:rsidR="00B86DB7">
        <w:t xml:space="preserve">(PREQ) </w:t>
      </w:r>
      <w:r>
        <w:t>will be completed.</w:t>
      </w:r>
    </w:p>
    <w:p w:rsidR="00D2264D" w:rsidRDefault="00D2264D" w:rsidP="00D2264D">
      <w:r>
        <w:t xml:space="preserve">If the pen-related event is associated with a symptomatic hypoglycemic event, a hyperglycemic adverse event or another adverse event, the corresponding symptomatic hypoglycemic forms or </w:t>
      </w:r>
      <w:r>
        <w:lastRenderedPageBreak/>
        <w:t xml:space="preserve">adverse event forms must also be completed. This associated adverse event will be qualified as a serious adverse event only if it fulfills seriousness criteria, and in this case, the SAE reporting procedure (see </w:t>
      </w:r>
      <w:hyperlink w:anchor="_Ref298702972" w:history="1">
        <w:r w:rsidR="00DC79D4" w:rsidRPr="00DC79D4">
          <w:rPr>
            <w:rStyle w:val="Hyperlink"/>
            <w:u w:val="none"/>
          </w:rPr>
          <w:t>Section</w:t>
        </w:r>
      </w:hyperlink>
      <w:r w:rsidR="00DC79D4">
        <w:t xml:space="preserve"> </w:t>
      </w:r>
      <w:r w:rsidR="00DC79D4">
        <w:fldChar w:fldCharType="begin"/>
      </w:r>
      <w:r w:rsidR="00DC79D4">
        <w:instrText xml:space="preserve"> REF _Ref298702972 \r \h </w:instrText>
      </w:r>
      <w:r w:rsidR="00DC79D4">
        <w:fldChar w:fldCharType="separate"/>
      </w:r>
      <w:r w:rsidR="005A26F6">
        <w:t>10.4.3</w:t>
      </w:r>
      <w:r w:rsidR="00DC79D4">
        <w:fldChar w:fldCharType="end"/>
      </w:r>
      <w:r>
        <w:t>, Instructions for reporting serious adverse events) should be followed.</w:t>
      </w:r>
    </w:p>
    <w:p w:rsidR="00D2264D" w:rsidRDefault="00D2264D" w:rsidP="00D2264D">
      <w:r>
        <w:t>As needed, further instruction and troubleshooting guidance should be provided to the patient by the study site according to the instructional materials/troubleshooting guide provided by the Sponsor.</w:t>
      </w:r>
    </w:p>
    <w:p w:rsidR="00D2264D" w:rsidRPr="00D2264D" w:rsidRDefault="00D2264D" w:rsidP="00D2264D">
      <w:r>
        <w:t>For pen-related events that are not resolved by further guidance/review of instructions or troubleshooting with the pen during the visit (on site visit or phone visit), a Product Technical Complaint (PTC) form must be completed, the pen associated with the event should be retrieved, and both should be sent to the manufacturing site for technical investigation and determination of the root cause.</w:t>
      </w:r>
    </w:p>
    <w:p w:rsidR="002F41EE" w:rsidRDefault="002F41EE">
      <w:pPr>
        <w:pStyle w:val="Heading2"/>
      </w:pPr>
      <w:bookmarkStart w:id="845" w:name="_Toc352790623"/>
      <w:bookmarkStart w:id="846" w:name="_Ref304215872"/>
      <w:bookmarkStart w:id="847" w:name="_Toc382298135"/>
      <w:bookmarkStart w:id="848" w:name="_Toc443035925"/>
      <w:bookmarkEnd w:id="845"/>
      <w:r>
        <w:t>Adverse Events monitoring</w:t>
      </w:r>
      <w:bookmarkEnd w:id="846"/>
      <w:bookmarkEnd w:id="847"/>
      <w:bookmarkEnd w:id="848"/>
    </w:p>
    <w:p w:rsidR="002F41EE" w:rsidRDefault="002F41EE">
      <w:r>
        <w:t>All events will be managed and reported in compliance with all applicable regulations, and included in the final clinical study report.</w:t>
      </w:r>
    </w:p>
    <w:p w:rsidR="002F41EE" w:rsidRDefault="002F41EE"/>
    <w:p w:rsidR="002F41EE" w:rsidRDefault="002F41EE">
      <w:pPr>
        <w:pStyle w:val="Heading1"/>
      </w:pPr>
      <w:bookmarkStart w:id="849" w:name="_Ref44315249"/>
      <w:bookmarkStart w:id="850" w:name="_Toc89161756"/>
      <w:bookmarkStart w:id="851" w:name="_Toc128558664"/>
      <w:bookmarkStart w:id="852" w:name="_Toc129597751"/>
      <w:bookmarkStart w:id="853" w:name="_Toc130200201"/>
      <w:bookmarkStart w:id="854" w:name="_Toc130368782"/>
      <w:bookmarkStart w:id="855" w:name="_Toc130368912"/>
      <w:bookmarkStart w:id="856" w:name="_Toc130703420"/>
      <w:bookmarkStart w:id="857" w:name="_Toc382298136"/>
      <w:bookmarkStart w:id="858" w:name="_Toc443035926"/>
      <w:r>
        <w:lastRenderedPageBreak/>
        <w:t>Statistical considerations</w:t>
      </w:r>
      <w:bookmarkEnd w:id="849"/>
      <w:bookmarkEnd w:id="850"/>
      <w:bookmarkEnd w:id="851"/>
      <w:bookmarkEnd w:id="852"/>
      <w:bookmarkEnd w:id="853"/>
      <w:bookmarkEnd w:id="854"/>
      <w:bookmarkEnd w:id="855"/>
      <w:bookmarkEnd w:id="856"/>
      <w:bookmarkEnd w:id="857"/>
      <w:bookmarkEnd w:id="858"/>
    </w:p>
    <w:p w:rsidR="002F41EE" w:rsidRDefault="002F41EE">
      <w:pPr>
        <w:pStyle w:val="Heading2"/>
      </w:pPr>
      <w:bookmarkStart w:id="859" w:name="_Toc303109066"/>
      <w:bookmarkStart w:id="860" w:name="_Toc304381238"/>
      <w:bookmarkStart w:id="861" w:name="_Toc303109068"/>
      <w:bookmarkStart w:id="862" w:name="_Toc304381240"/>
      <w:bookmarkStart w:id="863" w:name="_Toc89161758"/>
      <w:bookmarkStart w:id="864" w:name="_Toc128558665"/>
      <w:bookmarkStart w:id="865" w:name="_Toc129597752"/>
      <w:bookmarkStart w:id="866" w:name="_Toc130200202"/>
      <w:bookmarkStart w:id="867" w:name="_Toc130368783"/>
      <w:bookmarkStart w:id="868" w:name="_Toc130368913"/>
      <w:bookmarkStart w:id="869" w:name="_Toc130703421"/>
      <w:bookmarkStart w:id="870" w:name="_Toc291062826"/>
      <w:bookmarkStart w:id="871" w:name="_Toc291063033"/>
      <w:bookmarkStart w:id="872" w:name="_Toc292103563"/>
      <w:bookmarkStart w:id="873" w:name="_Toc382298137"/>
      <w:bookmarkStart w:id="874" w:name="_Toc443035927"/>
      <w:bookmarkEnd w:id="859"/>
      <w:bookmarkEnd w:id="860"/>
      <w:bookmarkEnd w:id="861"/>
      <w:bookmarkEnd w:id="862"/>
      <w:r>
        <w:t>Determination of sample size</w:t>
      </w:r>
      <w:bookmarkEnd w:id="863"/>
      <w:bookmarkEnd w:id="864"/>
      <w:bookmarkEnd w:id="865"/>
      <w:bookmarkEnd w:id="866"/>
      <w:bookmarkEnd w:id="867"/>
      <w:bookmarkEnd w:id="868"/>
      <w:bookmarkEnd w:id="869"/>
      <w:bookmarkEnd w:id="870"/>
      <w:bookmarkEnd w:id="871"/>
      <w:bookmarkEnd w:id="872"/>
      <w:bookmarkEnd w:id="873"/>
      <w:bookmarkEnd w:id="874"/>
    </w:p>
    <w:p w:rsidR="00165AB7" w:rsidRDefault="00165AB7" w:rsidP="00165AB7">
      <w:r>
        <w:t>The sample size calculations are based on the primary efficacy variable change in HbA</w:t>
      </w:r>
      <w:r w:rsidRPr="00BC66F9">
        <w:rPr>
          <w:vertAlign w:val="subscript"/>
        </w:rPr>
        <w:t>1c</w:t>
      </w:r>
      <w:r>
        <w:t xml:space="preserve"> from baseline to </w:t>
      </w:r>
      <w:r w:rsidR="0007161F">
        <w:t xml:space="preserve">Week </w:t>
      </w:r>
      <w:r>
        <w:t xml:space="preserve">26 and </w:t>
      </w:r>
      <w:r w:rsidR="00B86DB7">
        <w:t>intent-to-treat (</w:t>
      </w:r>
      <w:r>
        <w:t>ITT</w:t>
      </w:r>
      <w:r w:rsidR="00B86DB7">
        <w:t>)</w:t>
      </w:r>
      <w:r>
        <w:t xml:space="preserve"> analysis, with the following assumptions:</w:t>
      </w:r>
    </w:p>
    <w:p w:rsidR="00165AB7" w:rsidRDefault="00165AB7" w:rsidP="00CC67B4">
      <w:pPr>
        <w:pStyle w:val="ListBulletLevel1"/>
        <w:numPr>
          <w:ilvl w:val="0"/>
          <w:numId w:val="138"/>
        </w:numPr>
      </w:pPr>
      <w:r>
        <w:t>A common standard deviation of 1.1%;</w:t>
      </w:r>
    </w:p>
    <w:p w:rsidR="00165AB7" w:rsidRDefault="00165AB7" w:rsidP="00CC67B4">
      <w:pPr>
        <w:pStyle w:val="ListBulletLevel1"/>
        <w:numPr>
          <w:ilvl w:val="0"/>
          <w:numId w:val="138"/>
        </w:numPr>
      </w:pPr>
      <w:r>
        <w:t xml:space="preserve">A 0.5% mean difference between </w:t>
      </w:r>
      <w:r w:rsidR="007659AA" w:rsidRPr="003C0669">
        <w:t>FRC</w:t>
      </w:r>
      <w:r w:rsidR="007659AA">
        <w:t xml:space="preserve"> </w:t>
      </w:r>
      <w:r>
        <w:t>and GLP-1 receptor agonist in change in HbA</w:t>
      </w:r>
      <w:r w:rsidRPr="00BC66F9">
        <w:rPr>
          <w:vertAlign w:val="subscript"/>
        </w:rPr>
        <w:t>1c</w:t>
      </w:r>
      <w:r>
        <w:t xml:space="preserve"> from baseline to </w:t>
      </w:r>
      <w:r w:rsidR="0007161F">
        <w:t xml:space="preserve">Week </w:t>
      </w:r>
      <w:r>
        <w:t>26;</w:t>
      </w:r>
    </w:p>
    <w:p w:rsidR="00165AB7" w:rsidRDefault="00165AB7" w:rsidP="00CC67B4">
      <w:pPr>
        <w:pStyle w:val="ListBulletLevel1"/>
        <w:numPr>
          <w:ilvl w:val="0"/>
          <w:numId w:val="138"/>
        </w:numPr>
      </w:pPr>
      <w:r>
        <w:t xml:space="preserve">A drop-off rate of 20%; The </w:t>
      </w:r>
      <w:r w:rsidR="007659AA" w:rsidRPr="003C0669">
        <w:t>FRC</w:t>
      </w:r>
      <w:r w:rsidR="007659AA">
        <w:t xml:space="preserve"> </w:t>
      </w:r>
      <w:r>
        <w:t xml:space="preserve">dropped patients are assumed to respond the same as the control patients, ie, no treatment difference between the </w:t>
      </w:r>
      <w:r w:rsidR="007659AA" w:rsidRPr="003C0669">
        <w:t>FRC</w:t>
      </w:r>
      <w:r w:rsidR="007659AA">
        <w:t xml:space="preserve"> </w:t>
      </w:r>
      <w:r>
        <w:t>dropped patients and the control patients;</w:t>
      </w:r>
    </w:p>
    <w:p w:rsidR="00165AB7" w:rsidRDefault="00165AB7" w:rsidP="00CC67B4">
      <w:pPr>
        <w:pStyle w:val="ListBulletLevel1"/>
        <w:numPr>
          <w:ilvl w:val="0"/>
          <w:numId w:val="138"/>
        </w:numPr>
      </w:pPr>
      <w:r>
        <w:t>A t-test at a 2-sided 5% significance level with at least 90% power.</w:t>
      </w:r>
    </w:p>
    <w:p w:rsidR="00165AB7" w:rsidRDefault="00165AB7" w:rsidP="00165AB7">
      <w:r>
        <w:t xml:space="preserve">Based on the above assumptions, </w:t>
      </w:r>
      <w:r w:rsidR="00C177F4" w:rsidRPr="003C0669">
        <w:t>500</w:t>
      </w:r>
      <w:r>
        <w:t xml:space="preserve"> patients (</w:t>
      </w:r>
      <w:r w:rsidR="00C177F4" w:rsidRPr="003C0669">
        <w:t>250</w:t>
      </w:r>
      <w:r>
        <w:t xml:space="preserve"> per group) are needed for this study.</w:t>
      </w:r>
    </w:p>
    <w:p w:rsidR="00165AB7" w:rsidRDefault="00165AB7" w:rsidP="00165AB7">
      <w:r>
        <w:t>Calculations were made using nQuery Advisor® 7.0.</w:t>
      </w:r>
    </w:p>
    <w:p w:rsidR="002F41EE" w:rsidRDefault="002F41EE">
      <w:pPr>
        <w:pStyle w:val="Heading2"/>
      </w:pPr>
      <w:bookmarkStart w:id="875" w:name="_Toc89161759"/>
      <w:bookmarkStart w:id="876" w:name="_Toc227431938"/>
      <w:bookmarkStart w:id="877" w:name="_Toc227431944"/>
      <w:bookmarkStart w:id="878" w:name="_Toc227431952"/>
      <w:bookmarkStart w:id="879" w:name="_Toc227431963"/>
      <w:bookmarkStart w:id="880" w:name="_Toc227431965"/>
      <w:bookmarkStart w:id="881" w:name="_Toc227431972"/>
      <w:bookmarkStart w:id="882" w:name="_Toc227431980"/>
      <w:bookmarkStart w:id="883" w:name="_Toc227431999"/>
      <w:bookmarkStart w:id="884" w:name="_Toc227432008"/>
      <w:bookmarkStart w:id="885" w:name="_Toc227432019"/>
      <w:bookmarkStart w:id="886" w:name="_Toc227432026"/>
      <w:bookmarkStart w:id="887" w:name="_Toc227432034"/>
      <w:bookmarkStart w:id="888" w:name="_Toc227432035"/>
      <w:bookmarkStart w:id="889" w:name="_Toc227432046"/>
      <w:bookmarkStart w:id="890" w:name="_Toc227432050"/>
      <w:bookmarkStart w:id="891" w:name="_Toc227432058"/>
      <w:bookmarkStart w:id="892" w:name="_Toc227432062"/>
      <w:bookmarkStart w:id="893" w:name="_Toc227432067"/>
      <w:bookmarkStart w:id="894" w:name="_Toc227432069"/>
      <w:bookmarkStart w:id="895" w:name="_Toc227432070"/>
      <w:bookmarkStart w:id="896" w:name="_Toc227432072"/>
      <w:bookmarkStart w:id="897" w:name="_Toc221537771"/>
      <w:bookmarkStart w:id="898" w:name="_Toc221537949"/>
      <w:bookmarkStart w:id="899" w:name="_Toc221677565"/>
      <w:bookmarkStart w:id="900" w:name="_Toc220500277"/>
      <w:bookmarkStart w:id="901" w:name="_Toc221537772"/>
      <w:bookmarkStart w:id="902" w:name="_Toc221537950"/>
      <w:bookmarkStart w:id="903" w:name="_Toc221677566"/>
      <w:bookmarkStart w:id="904" w:name="_Toc302136697"/>
      <w:bookmarkStart w:id="905" w:name="_Toc302371453"/>
      <w:bookmarkStart w:id="906" w:name="_Toc302136700"/>
      <w:bookmarkStart w:id="907" w:name="_Toc302371456"/>
      <w:bookmarkStart w:id="908" w:name="_Toc302136702"/>
      <w:bookmarkStart w:id="909" w:name="_Toc302371458"/>
      <w:bookmarkStart w:id="910" w:name="_Toc302136704"/>
      <w:bookmarkStart w:id="911" w:name="_Toc302371460"/>
      <w:bookmarkStart w:id="912" w:name="_Toc302136708"/>
      <w:bookmarkStart w:id="913" w:name="_Toc302371464"/>
      <w:bookmarkStart w:id="914" w:name="_Toc302136711"/>
      <w:bookmarkStart w:id="915" w:name="_Toc302371467"/>
      <w:bookmarkStart w:id="916" w:name="_Toc302136714"/>
      <w:bookmarkStart w:id="917" w:name="_Toc302371470"/>
      <w:bookmarkStart w:id="918" w:name="_Toc302136720"/>
      <w:bookmarkStart w:id="919" w:name="_Toc302371476"/>
      <w:bookmarkStart w:id="920" w:name="_Toc302136726"/>
      <w:bookmarkStart w:id="921" w:name="_Toc302371482"/>
      <w:bookmarkStart w:id="922" w:name="_Toc302136727"/>
      <w:bookmarkStart w:id="923" w:name="_Toc302371483"/>
      <w:bookmarkStart w:id="924" w:name="_Toc302136740"/>
      <w:bookmarkStart w:id="925" w:name="_Toc302371496"/>
      <w:bookmarkStart w:id="926" w:name="_Toc302136745"/>
      <w:bookmarkStart w:id="927" w:name="_Toc302371501"/>
      <w:bookmarkStart w:id="928" w:name="_Toc302136748"/>
      <w:bookmarkStart w:id="929" w:name="_Toc302371504"/>
      <w:bookmarkStart w:id="930" w:name="_Toc302136769"/>
      <w:bookmarkStart w:id="931" w:name="_Toc302371525"/>
      <w:bookmarkStart w:id="932" w:name="_Toc302136770"/>
      <w:bookmarkStart w:id="933" w:name="_Toc302371526"/>
      <w:bookmarkStart w:id="934" w:name="_Toc227432092"/>
      <w:bookmarkStart w:id="935" w:name="_Toc291062845"/>
      <w:bookmarkStart w:id="936" w:name="_Toc291063052"/>
      <w:bookmarkStart w:id="937" w:name="_Toc292103582"/>
      <w:bookmarkStart w:id="938" w:name="_Toc382298138"/>
      <w:bookmarkStart w:id="939" w:name="_Toc443035928"/>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r>
        <w:t>Disposition of patients</w:t>
      </w:r>
      <w:bookmarkEnd w:id="934"/>
      <w:bookmarkEnd w:id="935"/>
      <w:bookmarkEnd w:id="936"/>
      <w:bookmarkEnd w:id="937"/>
      <w:bookmarkEnd w:id="938"/>
      <w:bookmarkEnd w:id="939"/>
    </w:p>
    <w:p w:rsidR="00165AB7" w:rsidRDefault="00165AB7" w:rsidP="00165AB7">
      <w:r>
        <w:t>The total number of patients for each of the following categories will be presented in the CSR:</w:t>
      </w:r>
    </w:p>
    <w:p w:rsidR="00165AB7" w:rsidRDefault="00165AB7" w:rsidP="00CC67B4">
      <w:pPr>
        <w:pStyle w:val="ListBulletLevel1"/>
        <w:numPr>
          <w:ilvl w:val="0"/>
          <w:numId w:val="139"/>
        </w:numPr>
      </w:pPr>
      <w:r>
        <w:t>Screened patients: patients who have signed the informed consent;</w:t>
      </w:r>
    </w:p>
    <w:p w:rsidR="00165AB7" w:rsidRDefault="00165AB7" w:rsidP="00CC67B4">
      <w:pPr>
        <w:pStyle w:val="ListBulletLevel1"/>
        <w:numPr>
          <w:ilvl w:val="0"/>
          <w:numId w:val="139"/>
        </w:numPr>
      </w:pPr>
      <w:r>
        <w:t>Randomized patients: patients with a treatment kit number allocated and recorded in IVRS/IWRS database, and regardless of whether the treatment kit was used or not;</w:t>
      </w:r>
    </w:p>
    <w:p w:rsidR="00165AB7" w:rsidRDefault="00165AB7" w:rsidP="00CC67B4">
      <w:pPr>
        <w:pStyle w:val="ListBulletLevel1"/>
        <w:numPr>
          <w:ilvl w:val="0"/>
          <w:numId w:val="139"/>
        </w:numPr>
      </w:pPr>
      <w:r>
        <w:t xml:space="preserve">The modified intent-to-treat (mITT) population (as defined in </w:t>
      </w:r>
      <w:hyperlink w:anchor="_Ref442690158" w:history="1">
        <w:r w:rsidR="00DC79D4" w:rsidRPr="00DC79D4">
          <w:rPr>
            <w:rStyle w:val="Hyperlink"/>
            <w:u w:val="none"/>
          </w:rPr>
          <w:t>Section</w:t>
        </w:r>
      </w:hyperlink>
      <w:r w:rsidR="00DC79D4">
        <w:t xml:space="preserve"> </w:t>
      </w:r>
      <w:r w:rsidR="00DC79D4">
        <w:fldChar w:fldCharType="begin"/>
      </w:r>
      <w:r w:rsidR="00DC79D4">
        <w:instrText xml:space="preserve"> REF _Ref442690158 \r \h </w:instrText>
      </w:r>
      <w:r w:rsidR="00DC79D4">
        <w:fldChar w:fldCharType="separate"/>
      </w:r>
      <w:r w:rsidR="005A26F6">
        <w:t>11.3.1.1</w:t>
      </w:r>
      <w:r w:rsidR="00DC79D4">
        <w:fldChar w:fldCharType="end"/>
      </w:r>
      <w:r>
        <w:t xml:space="preserve"> and analyzed as randomized);</w:t>
      </w:r>
    </w:p>
    <w:p w:rsidR="00165AB7" w:rsidRDefault="00165AB7" w:rsidP="00CC67B4">
      <w:pPr>
        <w:pStyle w:val="ListBulletLevel1"/>
        <w:numPr>
          <w:ilvl w:val="0"/>
          <w:numId w:val="139"/>
        </w:numPr>
      </w:pPr>
      <w:r>
        <w:t>The safety population (ie, randomized and treated patients);</w:t>
      </w:r>
    </w:p>
    <w:p w:rsidR="00165AB7" w:rsidRDefault="00165AB7" w:rsidP="00CC67B4">
      <w:pPr>
        <w:pStyle w:val="ListBulletLevel1"/>
        <w:numPr>
          <w:ilvl w:val="0"/>
          <w:numId w:val="140"/>
        </w:numPr>
      </w:pPr>
      <w:r>
        <w:t>The randomization strata [HbA</w:t>
      </w:r>
      <w:r w:rsidRPr="00F05B87">
        <w:rPr>
          <w:vertAlign w:val="subscript"/>
        </w:rPr>
        <w:t>1c</w:t>
      </w:r>
      <w:r>
        <w:t xml:space="preserve"> at visit 1 (&lt;8%, ≥8%) and </w:t>
      </w:r>
      <w:r w:rsidRPr="003C0669">
        <w:t xml:space="preserve">GLP-1 receptor agonist subtype (once/twice daily formulations, once weekly formulations) </w:t>
      </w:r>
      <w:r>
        <w:t xml:space="preserve">at screening assigned by IVRS/IWRS will be summarized. The discrepancy between the strata assigned by IVRS/IWRS and the information reported on electronic Case Report Form (e-CRF) will be listed for all randomized patients; </w:t>
      </w:r>
    </w:p>
    <w:p w:rsidR="00165AB7" w:rsidRDefault="00165AB7" w:rsidP="00CC67B4">
      <w:pPr>
        <w:pStyle w:val="ListBulletLevel1"/>
        <w:numPr>
          <w:ilvl w:val="0"/>
          <w:numId w:val="141"/>
        </w:numPr>
      </w:pPr>
      <w:r>
        <w:t>Patients who have completed the 26-week treatment period;</w:t>
      </w:r>
    </w:p>
    <w:p w:rsidR="00165AB7" w:rsidRDefault="00165AB7" w:rsidP="00CC67B4">
      <w:pPr>
        <w:pStyle w:val="ListBulletLevel1"/>
        <w:numPr>
          <w:ilvl w:val="0"/>
          <w:numId w:val="141"/>
        </w:numPr>
      </w:pPr>
      <w:r>
        <w:t>Patients who discontinued the IMP during the 26-week treatment, and the reasons for treatment discontinuation.</w:t>
      </w:r>
    </w:p>
    <w:p w:rsidR="00165AB7" w:rsidRDefault="00165AB7" w:rsidP="00165AB7">
      <w:r>
        <w:t>For all categories of patients except screened patients, percentages will be calculated using the number of randomized patients as denomi</w:t>
      </w:r>
      <w:r w:rsidR="0010422B">
        <w:t>nator for each treatment group.</w:t>
      </w:r>
    </w:p>
    <w:p w:rsidR="00165AB7" w:rsidRDefault="00165AB7" w:rsidP="00165AB7">
      <w:r>
        <w:lastRenderedPageBreak/>
        <w:t>A list of patients prematurely discontinued from the treatment, along with reasons for discontinuation, will be provided.</w:t>
      </w:r>
    </w:p>
    <w:p w:rsidR="00165AB7" w:rsidRDefault="00165AB7" w:rsidP="00165AB7">
      <w:r>
        <w:t xml:space="preserve">Patients treated but not randomized, patients randomized but not treated and patients randomized but not treated as randomized will be identified and described in separate listings. Only the patients of the third category (randomized and not treated as randomized) will be part of efficacy and safety analyses. </w:t>
      </w:r>
    </w:p>
    <w:p w:rsidR="00165AB7" w:rsidRDefault="00165AB7" w:rsidP="00165AB7">
      <w:r>
        <w:t>For any patient randomized more than once, only the data associated with the first randomization will be used in any analysis population. The safety experience associated with any later randomization will be assessed separately.</w:t>
      </w:r>
    </w:p>
    <w:p w:rsidR="00165AB7" w:rsidRPr="00165AB7" w:rsidRDefault="00165AB7" w:rsidP="00165AB7">
      <w:r>
        <w:t>The safety experience of patients treated and not randomized will be reported separately, and these patients will not be in the safety population.</w:t>
      </w:r>
    </w:p>
    <w:p w:rsidR="002F41EE" w:rsidRDefault="002F41EE">
      <w:pPr>
        <w:pStyle w:val="Heading2"/>
      </w:pPr>
      <w:bookmarkStart w:id="940" w:name="_Toc128558675"/>
      <w:bookmarkStart w:id="941" w:name="_Toc129597762"/>
      <w:bookmarkStart w:id="942" w:name="_Toc130200212"/>
      <w:bookmarkStart w:id="943" w:name="_Toc130368793"/>
      <w:bookmarkStart w:id="944" w:name="_Toc130368923"/>
      <w:bookmarkStart w:id="945" w:name="_Toc130703431"/>
      <w:bookmarkStart w:id="946" w:name="_Toc291062846"/>
      <w:bookmarkStart w:id="947" w:name="_Toc291063053"/>
      <w:bookmarkStart w:id="948" w:name="_Toc292103583"/>
      <w:bookmarkStart w:id="949" w:name="_Toc382298139"/>
      <w:bookmarkStart w:id="950" w:name="_Toc443035929"/>
      <w:r>
        <w:t>Analysis populations</w:t>
      </w:r>
      <w:bookmarkEnd w:id="875"/>
      <w:bookmarkEnd w:id="940"/>
      <w:bookmarkEnd w:id="941"/>
      <w:bookmarkEnd w:id="942"/>
      <w:bookmarkEnd w:id="943"/>
      <w:bookmarkEnd w:id="944"/>
      <w:bookmarkEnd w:id="945"/>
      <w:bookmarkEnd w:id="946"/>
      <w:bookmarkEnd w:id="947"/>
      <w:bookmarkEnd w:id="948"/>
      <w:bookmarkEnd w:id="949"/>
      <w:bookmarkEnd w:id="950"/>
    </w:p>
    <w:p w:rsidR="002F41EE" w:rsidRDefault="002F41EE">
      <w:pPr>
        <w:pStyle w:val="Heading3"/>
      </w:pPr>
      <w:bookmarkStart w:id="951" w:name="_Toc227432097"/>
      <w:bookmarkStart w:id="952" w:name="_Toc221537796"/>
      <w:bookmarkStart w:id="953" w:name="_Toc221537974"/>
      <w:bookmarkStart w:id="954" w:name="_Toc221677590"/>
      <w:bookmarkStart w:id="955" w:name="_Toc221537797"/>
      <w:bookmarkStart w:id="956" w:name="_Toc221537975"/>
      <w:bookmarkStart w:id="957" w:name="_Toc221677591"/>
      <w:bookmarkStart w:id="958" w:name="_Toc221537798"/>
      <w:bookmarkStart w:id="959" w:name="_Toc221537976"/>
      <w:bookmarkStart w:id="960" w:name="_Toc221677592"/>
      <w:bookmarkStart w:id="961" w:name="_Toc221537802"/>
      <w:bookmarkStart w:id="962" w:name="_Toc221537980"/>
      <w:bookmarkStart w:id="963" w:name="_Toc221677596"/>
      <w:bookmarkStart w:id="964" w:name="_Toc128558676"/>
      <w:bookmarkStart w:id="965" w:name="_Toc129597763"/>
      <w:bookmarkStart w:id="966" w:name="_Toc130200213"/>
      <w:bookmarkStart w:id="967" w:name="_Toc130368794"/>
      <w:bookmarkStart w:id="968" w:name="_Toc130368924"/>
      <w:bookmarkStart w:id="969" w:name="_Toc130703432"/>
      <w:bookmarkStart w:id="970" w:name="_Toc227432098"/>
      <w:bookmarkStart w:id="971" w:name="_Ref278898744"/>
      <w:bookmarkStart w:id="972" w:name="_Toc291062847"/>
      <w:bookmarkStart w:id="973" w:name="_Toc291063054"/>
      <w:bookmarkStart w:id="974" w:name="_Toc292103584"/>
      <w:bookmarkStart w:id="975" w:name="_Toc382298140"/>
      <w:bookmarkStart w:id="976" w:name="_Toc443035930"/>
      <w:bookmarkEnd w:id="951"/>
      <w:bookmarkEnd w:id="952"/>
      <w:bookmarkEnd w:id="953"/>
      <w:bookmarkEnd w:id="954"/>
      <w:bookmarkEnd w:id="955"/>
      <w:bookmarkEnd w:id="956"/>
      <w:bookmarkEnd w:id="957"/>
      <w:bookmarkEnd w:id="958"/>
      <w:bookmarkEnd w:id="959"/>
      <w:bookmarkEnd w:id="960"/>
      <w:bookmarkEnd w:id="961"/>
      <w:bookmarkEnd w:id="962"/>
      <w:bookmarkEnd w:id="963"/>
      <w:r>
        <w:t>Efficacy populations</w:t>
      </w:r>
      <w:bookmarkEnd w:id="964"/>
      <w:bookmarkEnd w:id="965"/>
      <w:bookmarkEnd w:id="966"/>
      <w:bookmarkEnd w:id="967"/>
      <w:bookmarkEnd w:id="968"/>
      <w:bookmarkEnd w:id="969"/>
      <w:bookmarkEnd w:id="970"/>
      <w:bookmarkEnd w:id="971"/>
      <w:bookmarkEnd w:id="972"/>
      <w:bookmarkEnd w:id="973"/>
      <w:bookmarkEnd w:id="974"/>
      <w:bookmarkEnd w:id="975"/>
      <w:bookmarkEnd w:id="976"/>
    </w:p>
    <w:p w:rsidR="00F43D29" w:rsidRPr="00F43D29" w:rsidRDefault="00F43D29" w:rsidP="00F43D29">
      <w:r w:rsidRPr="00F43D29">
        <w:t>Efficacy analyses will be based on the treatment group allocated by the IVRS/IWRS according to the randomization schedule at randomization visit (as randomized), irrespective of the treatment actually received.</w:t>
      </w:r>
    </w:p>
    <w:p w:rsidR="002F41EE" w:rsidRDefault="00F43D29">
      <w:pPr>
        <w:pStyle w:val="Heading4"/>
      </w:pPr>
      <w:bookmarkStart w:id="977" w:name="_Toc227432099"/>
      <w:bookmarkStart w:id="978" w:name="_Toc117667752"/>
      <w:bookmarkStart w:id="979" w:name="_Toc118012187"/>
      <w:bookmarkStart w:id="980" w:name="_Toc220316403"/>
      <w:bookmarkStart w:id="981" w:name="_Toc227432100"/>
      <w:bookmarkStart w:id="982" w:name="_Toc291062848"/>
      <w:bookmarkStart w:id="983" w:name="_Toc291063055"/>
      <w:bookmarkStart w:id="984" w:name="_Toc292103585"/>
      <w:bookmarkStart w:id="985" w:name="_Toc382298141"/>
      <w:bookmarkStart w:id="986" w:name="_Ref434494817"/>
      <w:bookmarkStart w:id="987" w:name="_Ref442280097"/>
      <w:bookmarkStart w:id="988" w:name="_Ref442690158"/>
      <w:bookmarkStart w:id="989" w:name="_Toc443035931"/>
      <w:bookmarkEnd w:id="977"/>
      <w:r w:rsidRPr="00F43D29">
        <w:t>M</w:t>
      </w:r>
      <w:r w:rsidR="002F41EE" w:rsidRPr="00F43D29">
        <w:t>odified intent-to-treat</w:t>
      </w:r>
      <w:r w:rsidR="002F41EE">
        <w:t xml:space="preserve"> population</w:t>
      </w:r>
      <w:bookmarkEnd w:id="978"/>
      <w:bookmarkEnd w:id="979"/>
      <w:bookmarkEnd w:id="980"/>
      <w:bookmarkEnd w:id="981"/>
      <w:bookmarkEnd w:id="982"/>
      <w:bookmarkEnd w:id="983"/>
      <w:bookmarkEnd w:id="984"/>
      <w:bookmarkEnd w:id="985"/>
      <w:bookmarkEnd w:id="986"/>
      <w:bookmarkEnd w:id="987"/>
      <w:bookmarkEnd w:id="988"/>
      <w:bookmarkEnd w:id="989"/>
    </w:p>
    <w:p w:rsidR="00F43D29" w:rsidRPr="00F43D29" w:rsidRDefault="00F43D29" w:rsidP="00F43D29">
      <w:r w:rsidRPr="00F43D29">
        <w:t xml:space="preserve">Efficacy analyses will be based on the </w:t>
      </w:r>
      <w:r w:rsidR="00B86DB7">
        <w:t>mITT</w:t>
      </w:r>
      <w:r w:rsidRPr="00F43D29">
        <w:t xml:space="preserve"> population, defined as all randomized patients who received at least one dose of open-label IMP, and have both a baseline assessment and at least one post-baseline assessment of any primary or secondary efficacy variables, irrespective of compliance with the study protocol and procedures. Patients will be analyzed for efficacy analyses according to the treatment group to which they are randomized.</w:t>
      </w:r>
    </w:p>
    <w:p w:rsidR="002F41EE" w:rsidRDefault="002F41EE">
      <w:pPr>
        <w:pStyle w:val="Heading3"/>
      </w:pPr>
      <w:bookmarkStart w:id="990" w:name="_Toc227432101"/>
      <w:bookmarkStart w:id="991" w:name="_Toc227432104"/>
      <w:bookmarkStart w:id="992" w:name="_Toc128558677"/>
      <w:bookmarkStart w:id="993" w:name="_Toc129597764"/>
      <w:bookmarkStart w:id="994" w:name="_Toc130200214"/>
      <w:bookmarkStart w:id="995" w:name="_Toc130368795"/>
      <w:bookmarkStart w:id="996" w:name="_Toc130368925"/>
      <w:bookmarkStart w:id="997" w:name="_Toc130703433"/>
      <w:bookmarkStart w:id="998" w:name="_Toc227432106"/>
      <w:bookmarkStart w:id="999" w:name="_Toc291062849"/>
      <w:bookmarkStart w:id="1000" w:name="_Toc291063056"/>
      <w:bookmarkStart w:id="1001" w:name="_Toc292103586"/>
      <w:bookmarkStart w:id="1002" w:name="_Toc382298142"/>
      <w:bookmarkStart w:id="1003" w:name="_Ref434330287"/>
      <w:bookmarkStart w:id="1004" w:name="_Ref442280487"/>
      <w:bookmarkStart w:id="1005" w:name="_Ref442690267"/>
      <w:bookmarkStart w:id="1006" w:name="_Toc443035932"/>
      <w:bookmarkEnd w:id="990"/>
      <w:bookmarkEnd w:id="991"/>
      <w:r>
        <w:t>Safety population</w:t>
      </w:r>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p>
    <w:p w:rsidR="00642EE5" w:rsidRDefault="00642EE5" w:rsidP="00642EE5">
      <w:r>
        <w:t>Safety analyses will be based on the safety population, defined as all randomized patients who receive at least one dose of open-label IMP (regardless of the amount of treatment administered). Patients will be analyzed for safety analyses according to the treatment actually received.</w:t>
      </w:r>
    </w:p>
    <w:p w:rsidR="00642EE5" w:rsidRDefault="00642EE5" w:rsidP="00642EE5">
      <w:r>
        <w:t>In addition:</w:t>
      </w:r>
    </w:p>
    <w:p w:rsidR="00642EE5" w:rsidRDefault="00642EE5" w:rsidP="00CC67B4">
      <w:pPr>
        <w:pStyle w:val="ListBulletLevel1"/>
        <w:numPr>
          <w:ilvl w:val="0"/>
          <w:numId w:val="142"/>
        </w:numPr>
      </w:pPr>
      <w:r>
        <w:t>Nonrandomized but treated patients will not be part of the safety population, but their safety data will be presented separately;</w:t>
      </w:r>
    </w:p>
    <w:p w:rsidR="00642EE5" w:rsidRDefault="00642EE5" w:rsidP="00CC67B4">
      <w:pPr>
        <w:pStyle w:val="ListBulletLevel1"/>
        <w:numPr>
          <w:ilvl w:val="0"/>
          <w:numId w:val="142"/>
        </w:numPr>
      </w:pPr>
      <w:r>
        <w:t>Randomized patients for whom it is unclear whether they took the study medication will be included in the safety population as randomized;</w:t>
      </w:r>
    </w:p>
    <w:p w:rsidR="00642EE5" w:rsidRDefault="00642EE5" w:rsidP="00CC67B4">
      <w:pPr>
        <w:pStyle w:val="ListBulletLevel1"/>
        <w:numPr>
          <w:ilvl w:val="0"/>
          <w:numId w:val="142"/>
        </w:numPr>
      </w:pPr>
      <w:r>
        <w:lastRenderedPageBreak/>
        <w:t xml:space="preserve">When a patient is exposed to both </w:t>
      </w:r>
      <w:r w:rsidR="007659AA" w:rsidRPr="003C0669">
        <w:t>FRC</w:t>
      </w:r>
      <w:r w:rsidR="007659AA">
        <w:t xml:space="preserve"> </w:t>
      </w:r>
      <w:r>
        <w:t>and GLP-1 receptor agonist, the patient will be analyzed in the treatment group (</w:t>
      </w:r>
      <w:r w:rsidR="007659AA" w:rsidRPr="003C0669">
        <w:t>FRC</w:t>
      </w:r>
      <w:r w:rsidR="007659AA">
        <w:t xml:space="preserve"> </w:t>
      </w:r>
      <w:r>
        <w:t>or GLP-1 receptor agonist) in which he/she was treated longer;</w:t>
      </w:r>
    </w:p>
    <w:p w:rsidR="00642EE5" w:rsidRPr="00642EE5" w:rsidRDefault="00642EE5" w:rsidP="00CC67B4">
      <w:pPr>
        <w:pStyle w:val="ListBulletLevel1"/>
        <w:numPr>
          <w:ilvl w:val="0"/>
          <w:numId w:val="142"/>
        </w:numPr>
      </w:pPr>
      <w:r>
        <w:t>Patients will be excluded from the safety population only if there is documented evidence (ie, all study dates recorded as no medication taken) that patients have not taken the study medication.</w:t>
      </w:r>
    </w:p>
    <w:p w:rsidR="002F41EE" w:rsidRDefault="002F41EE">
      <w:pPr>
        <w:pStyle w:val="Heading2"/>
      </w:pPr>
      <w:bookmarkStart w:id="1007" w:name="_Toc89161762"/>
      <w:bookmarkStart w:id="1008" w:name="_Toc128558680"/>
      <w:bookmarkStart w:id="1009" w:name="_Toc129597767"/>
      <w:bookmarkStart w:id="1010" w:name="_Toc130200217"/>
      <w:bookmarkStart w:id="1011" w:name="_Toc130368798"/>
      <w:bookmarkStart w:id="1012" w:name="_Toc130368928"/>
      <w:bookmarkStart w:id="1013" w:name="_Toc130703436"/>
      <w:bookmarkStart w:id="1014" w:name="_Toc291062851"/>
      <w:bookmarkStart w:id="1015" w:name="_Toc291063058"/>
      <w:bookmarkStart w:id="1016" w:name="_Toc292103588"/>
      <w:bookmarkStart w:id="1017" w:name="_Toc382298144"/>
      <w:bookmarkStart w:id="1018" w:name="_Toc443035933"/>
      <w:r>
        <w:t>Statistical methods</w:t>
      </w:r>
      <w:bookmarkEnd w:id="1007"/>
      <w:bookmarkEnd w:id="1008"/>
      <w:bookmarkEnd w:id="1009"/>
      <w:bookmarkEnd w:id="1010"/>
      <w:bookmarkEnd w:id="1011"/>
      <w:bookmarkEnd w:id="1012"/>
      <w:bookmarkEnd w:id="1013"/>
      <w:bookmarkEnd w:id="1014"/>
      <w:bookmarkEnd w:id="1015"/>
      <w:bookmarkEnd w:id="1016"/>
      <w:bookmarkEnd w:id="1017"/>
      <w:bookmarkEnd w:id="1018"/>
    </w:p>
    <w:p w:rsidR="003168AD" w:rsidRDefault="003168AD" w:rsidP="003168AD">
      <w:r>
        <w:t>Continuous data will be summarized by treatment group using the number of observations available (N), mean, standard deviation (SD</w:t>
      </w:r>
      <w:r w:rsidR="00C23433">
        <w:fldChar w:fldCharType="begin"/>
      </w:r>
      <w:r w:rsidR="00C23433">
        <w:instrText xml:space="preserve"> XE "</w:instrText>
      </w:r>
      <w:r w:rsidR="00C23433" w:rsidRPr="00C23433">
        <w:instrText xml:space="preserve"> </w:instrText>
      </w:r>
      <w:r w:rsidR="00260841">
        <w:instrText>SD " \f Abbreviation \t "s</w:instrText>
      </w:r>
      <w:r w:rsidR="00C23433">
        <w:instrText xml:space="preserve">tandard deviation" </w:instrText>
      </w:r>
      <w:r w:rsidR="00C23433">
        <w:fldChar w:fldCharType="end"/>
      </w:r>
      <w:r>
        <w:t>), minimum, median, and maximum.</w:t>
      </w:r>
    </w:p>
    <w:p w:rsidR="003168AD" w:rsidRDefault="003168AD" w:rsidP="003168AD">
      <w:r>
        <w:t xml:space="preserve">Categorical data will be summarized by treatment group using count and percentage. </w:t>
      </w:r>
    </w:p>
    <w:p w:rsidR="003168AD" w:rsidRPr="003168AD" w:rsidRDefault="003168AD" w:rsidP="003168AD">
      <w:r>
        <w:t>In general, descriptive statistics of quantitative efficacy and safety parameters (result and change from baseline) by scheduled visits will be provided on observed cases (OC), ie, inclusion of only patients having non-missing assessments at a specific visit.</w:t>
      </w:r>
    </w:p>
    <w:p w:rsidR="003168AD" w:rsidRDefault="003168AD" w:rsidP="003168AD">
      <w:pPr>
        <w:pStyle w:val="Heading3"/>
      </w:pPr>
      <w:bookmarkStart w:id="1019" w:name="_Toc128558689"/>
      <w:bookmarkStart w:id="1020" w:name="_Toc129597776"/>
      <w:bookmarkStart w:id="1021" w:name="_Toc130200226"/>
      <w:bookmarkStart w:id="1022" w:name="_Toc130368807"/>
      <w:bookmarkStart w:id="1023" w:name="_Toc130368937"/>
      <w:bookmarkStart w:id="1024" w:name="_Toc130703445"/>
      <w:bookmarkStart w:id="1025" w:name="_Toc284335040"/>
      <w:bookmarkStart w:id="1026" w:name="_Toc284348353"/>
      <w:bookmarkStart w:id="1027" w:name="_Toc302136790"/>
      <w:bookmarkStart w:id="1028" w:name="_Toc302371546"/>
      <w:bookmarkStart w:id="1029" w:name="_Toc128558682"/>
      <w:bookmarkStart w:id="1030" w:name="_Toc129597769"/>
      <w:bookmarkStart w:id="1031" w:name="_Toc130200219"/>
      <w:bookmarkStart w:id="1032" w:name="_Toc130368800"/>
      <w:bookmarkStart w:id="1033" w:name="_Toc130368930"/>
      <w:bookmarkStart w:id="1034" w:name="_Toc130703438"/>
      <w:bookmarkStart w:id="1035" w:name="_Toc284335049"/>
      <w:bookmarkStart w:id="1036" w:name="_Toc284348362"/>
      <w:bookmarkStart w:id="1037" w:name="_Toc302136799"/>
      <w:bookmarkStart w:id="1038" w:name="_Toc302371555"/>
      <w:bookmarkStart w:id="1039" w:name="_Toc227432111"/>
      <w:bookmarkStart w:id="1040" w:name="_Toc291062854"/>
      <w:bookmarkStart w:id="1041" w:name="_Toc291063061"/>
      <w:bookmarkStart w:id="1042" w:name="_Toc292103591"/>
      <w:bookmarkStart w:id="1043" w:name="_Toc382298145"/>
      <w:bookmarkStart w:id="1044" w:name="_Toc443035934"/>
      <w:bookmarkEnd w:id="1025"/>
      <w:bookmarkEnd w:id="1026"/>
      <w:bookmarkEnd w:id="1027"/>
      <w:bookmarkEnd w:id="1028"/>
      <w:bookmarkEnd w:id="1035"/>
      <w:bookmarkEnd w:id="1036"/>
      <w:bookmarkEnd w:id="1037"/>
      <w:bookmarkEnd w:id="1038"/>
      <w:r w:rsidRPr="003168AD">
        <w:t>Demographic and baseline characteristics</w:t>
      </w:r>
      <w:bookmarkEnd w:id="1044"/>
    </w:p>
    <w:p w:rsidR="003168AD" w:rsidRDefault="003168AD" w:rsidP="003168AD">
      <w:r>
        <w:t>The baseline value is defined as the last available value before the first dose of open-label Investigational Medicinal Product (IMP). Derived parameters will be computed by the sponsor.</w:t>
      </w:r>
    </w:p>
    <w:p w:rsidR="003168AD" w:rsidRDefault="003168AD" w:rsidP="003168AD">
      <w:r>
        <w:t>Demographic characteristics to be summarized are:</w:t>
      </w:r>
    </w:p>
    <w:p w:rsidR="003168AD" w:rsidRDefault="003168AD" w:rsidP="00CC67B4">
      <w:pPr>
        <w:pStyle w:val="ListBulletLevel1"/>
        <w:numPr>
          <w:ilvl w:val="0"/>
          <w:numId w:val="143"/>
        </w:numPr>
      </w:pPr>
      <w:r>
        <w:t>Age (years) derived as: (Date of informed consent - Date of birth)/365.25;</w:t>
      </w:r>
    </w:p>
    <w:p w:rsidR="003168AD" w:rsidRDefault="003168AD" w:rsidP="00CC67B4">
      <w:pPr>
        <w:pStyle w:val="ListBulletLevel1"/>
        <w:numPr>
          <w:ilvl w:val="0"/>
          <w:numId w:val="144"/>
        </w:numPr>
      </w:pPr>
      <w:r>
        <w:t>Age categories (&lt;50, ≥50 to &lt;65, ≥65 years of age);</w:t>
      </w:r>
    </w:p>
    <w:p w:rsidR="003168AD" w:rsidRDefault="003168AD" w:rsidP="00CC67B4">
      <w:pPr>
        <w:pStyle w:val="ListBulletLevel1"/>
        <w:numPr>
          <w:ilvl w:val="0"/>
          <w:numId w:val="144"/>
        </w:numPr>
      </w:pPr>
      <w:r>
        <w:t>Gender (Male, Female);</w:t>
      </w:r>
    </w:p>
    <w:p w:rsidR="003168AD" w:rsidRDefault="003168AD" w:rsidP="00CC67B4">
      <w:pPr>
        <w:pStyle w:val="ListBulletLevel1"/>
        <w:numPr>
          <w:ilvl w:val="0"/>
          <w:numId w:val="144"/>
        </w:numPr>
      </w:pPr>
      <w:r>
        <w:t>Race (Caucasian/White, Black, Asian/Oriental, Other);</w:t>
      </w:r>
    </w:p>
    <w:p w:rsidR="003168AD" w:rsidRDefault="003168AD" w:rsidP="00CC67B4">
      <w:pPr>
        <w:pStyle w:val="ListBulletLevel1"/>
        <w:numPr>
          <w:ilvl w:val="0"/>
          <w:numId w:val="144"/>
        </w:numPr>
      </w:pPr>
      <w:r>
        <w:t xml:space="preserve">Ethnicity (Hispanic, Not Hispanic); </w:t>
      </w:r>
    </w:p>
    <w:p w:rsidR="003168AD" w:rsidRDefault="003168AD" w:rsidP="00CC67B4">
      <w:pPr>
        <w:pStyle w:val="ListBulletLevel1"/>
        <w:numPr>
          <w:ilvl w:val="0"/>
          <w:numId w:val="144"/>
        </w:numPr>
      </w:pPr>
      <w:r>
        <w:t>HbA</w:t>
      </w:r>
      <w:r w:rsidRPr="00F05B87">
        <w:rPr>
          <w:vertAlign w:val="subscript"/>
        </w:rPr>
        <w:t>1c</w:t>
      </w:r>
      <w:r>
        <w:t xml:space="preserve"> (%) at V1(</w:t>
      </w:r>
      <w:r w:rsidR="0007161F">
        <w:t xml:space="preserve">Week </w:t>
      </w:r>
      <w:r>
        <w:t>-2);</w:t>
      </w:r>
    </w:p>
    <w:p w:rsidR="003168AD" w:rsidRDefault="003168AD" w:rsidP="00CC67B4">
      <w:pPr>
        <w:pStyle w:val="ListBulletLevel1"/>
        <w:numPr>
          <w:ilvl w:val="0"/>
          <w:numId w:val="144"/>
        </w:numPr>
      </w:pPr>
      <w:r>
        <w:t>Baseline BMI (kg/m</w:t>
      </w:r>
      <w:r w:rsidRPr="00C177F4">
        <w:rPr>
          <w:vertAlign w:val="superscript"/>
        </w:rPr>
        <w:t>2</w:t>
      </w:r>
      <w:r>
        <w:t>) derived as: (Weight in kg)/(Height in meters)</w:t>
      </w:r>
      <w:r w:rsidRPr="00C177F4">
        <w:rPr>
          <w:vertAlign w:val="superscript"/>
        </w:rPr>
        <w:t>2</w:t>
      </w:r>
      <w:r>
        <w:t>;</w:t>
      </w:r>
    </w:p>
    <w:p w:rsidR="00C177F4" w:rsidRPr="003C0669" w:rsidRDefault="00C177F4" w:rsidP="00CC67B4">
      <w:pPr>
        <w:pStyle w:val="ListBulletLevel1"/>
        <w:numPr>
          <w:ilvl w:val="0"/>
          <w:numId w:val="144"/>
        </w:numPr>
      </w:pPr>
      <w:r w:rsidRPr="003C0669">
        <w:t>Baseline BMI level (&lt;30, ≥30 kg/m</w:t>
      </w:r>
      <w:r w:rsidRPr="003C0669">
        <w:rPr>
          <w:vertAlign w:val="superscript"/>
        </w:rPr>
        <w:t>2</w:t>
      </w:r>
      <w:r w:rsidRPr="003C0669">
        <w:t>);</w:t>
      </w:r>
    </w:p>
    <w:p w:rsidR="003168AD" w:rsidRDefault="003168AD" w:rsidP="00CC67B4">
      <w:pPr>
        <w:pStyle w:val="ListBulletLevel1"/>
        <w:numPr>
          <w:ilvl w:val="0"/>
          <w:numId w:val="144"/>
        </w:numPr>
      </w:pPr>
      <w:r>
        <w:t>Randomization strata of HbA</w:t>
      </w:r>
      <w:r w:rsidRPr="00F05B87">
        <w:rPr>
          <w:vertAlign w:val="subscript"/>
        </w:rPr>
        <w:t>1c</w:t>
      </w:r>
      <w:r>
        <w:t xml:space="preserve"> (&lt;8, ≥8%) at screening visit 1 (V1, </w:t>
      </w:r>
      <w:r w:rsidR="0007161F">
        <w:t xml:space="preserve">Week </w:t>
      </w:r>
      <w:r>
        <w:t>-2);</w:t>
      </w:r>
    </w:p>
    <w:p w:rsidR="003168AD" w:rsidRDefault="003168AD" w:rsidP="00CC67B4">
      <w:pPr>
        <w:pStyle w:val="ListBulletLevel1"/>
        <w:numPr>
          <w:ilvl w:val="0"/>
          <w:numId w:val="144"/>
        </w:numPr>
      </w:pPr>
      <w:r>
        <w:t xml:space="preserve">Randomization strata of </w:t>
      </w:r>
      <w:r w:rsidR="00B335C1" w:rsidRPr="003C0669">
        <w:t xml:space="preserve">GLP-1 receptor agonist subtype (once/twice daily formulations, once weekly formulations) </w:t>
      </w:r>
      <w:r>
        <w:t>at screening;</w:t>
      </w:r>
    </w:p>
    <w:p w:rsidR="003168AD" w:rsidRDefault="003168AD" w:rsidP="00CC67B4">
      <w:pPr>
        <w:pStyle w:val="ListBulletLevel1"/>
        <w:numPr>
          <w:ilvl w:val="0"/>
          <w:numId w:val="144"/>
        </w:numPr>
      </w:pPr>
      <w:r>
        <w:t>Country.</w:t>
      </w:r>
    </w:p>
    <w:p w:rsidR="003168AD" w:rsidRDefault="003168AD" w:rsidP="003168AD">
      <w:r>
        <w:t>Disease history includes:</w:t>
      </w:r>
    </w:p>
    <w:p w:rsidR="003168AD" w:rsidRDefault="003168AD" w:rsidP="00CC67B4">
      <w:pPr>
        <w:pStyle w:val="ListBulletLevel1"/>
        <w:numPr>
          <w:ilvl w:val="0"/>
          <w:numId w:val="145"/>
        </w:numPr>
      </w:pPr>
      <w:r>
        <w:t>Duration of diabetes (years) derived as: (Date of informed consent – Date of diagnosis of diabetes + 1)/365.25;</w:t>
      </w:r>
    </w:p>
    <w:p w:rsidR="003168AD" w:rsidRDefault="003168AD" w:rsidP="00CC67B4">
      <w:pPr>
        <w:pStyle w:val="ListBulletLevel1"/>
        <w:numPr>
          <w:ilvl w:val="0"/>
          <w:numId w:val="145"/>
        </w:numPr>
      </w:pPr>
      <w:r>
        <w:lastRenderedPageBreak/>
        <w:t>Age at onset of diabetes (years) derived as: (Date of diagnosi</w:t>
      </w:r>
      <w:r w:rsidR="00BA3D0B">
        <w:t>s of diabetes – Date of birth + </w:t>
      </w:r>
      <w:r>
        <w:t>1)/365.25;</w:t>
      </w:r>
    </w:p>
    <w:p w:rsidR="003168AD" w:rsidRDefault="003168AD" w:rsidP="00CC67B4">
      <w:pPr>
        <w:pStyle w:val="ListBulletLevel1"/>
        <w:numPr>
          <w:ilvl w:val="0"/>
          <w:numId w:val="145"/>
        </w:numPr>
      </w:pPr>
      <w:r>
        <w:t>Duration of GLP-1 receptor agonist treatment (years) derived as: (Date of informed consent – Date of first dose of GLP-1 receptor agonist + 1)/365.25;</w:t>
      </w:r>
    </w:p>
    <w:p w:rsidR="003168AD" w:rsidRDefault="003168AD" w:rsidP="00CC67B4">
      <w:pPr>
        <w:pStyle w:val="ListBulletLevel1"/>
        <w:numPr>
          <w:ilvl w:val="0"/>
          <w:numId w:val="145"/>
        </w:numPr>
      </w:pPr>
      <w:r>
        <w:t xml:space="preserve">Percentage of patients with GLP-1 receptor agonist use by type </w:t>
      </w:r>
      <w:r w:rsidR="00431BA6" w:rsidRPr="003C0669">
        <w:t>[once/twice daily formulations</w:t>
      </w:r>
      <w:r w:rsidR="00431BA6">
        <w:t xml:space="preserve"> (Victoza® or Byetta®)</w:t>
      </w:r>
      <w:r w:rsidR="00431BA6" w:rsidRPr="003C0669">
        <w:t>, once weekly formulations (Bydureon®, Tanzeum®/Eperzan®, or Trulicity®)]</w:t>
      </w:r>
      <w:r w:rsidR="00431BA6">
        <w:t xml:space="preserve"> </w:t>
      </w:r>
      <w:r>
        <w:t>at screening;</w:t>
      </w:r>
    </w:p>
    <w:p w:rsidR="003168AD" w:rsidRDefault="003168AD" w:rsidP="00CC67B4">
      <w:pPr>
        <w:pStyle w:val="ListBulletLevel1"/>
        <w:numPr>
          <w:ilvl w:val="0"/>
          <w:numId w:val="145"/>
        </w:numPr>
      </w:pPr>
      <w:r>
        <w:t>Daily dose of GLP-1 receptor agonist (Victoza® or Byetta®) at baseline</w:t>
      </w:r>
      <w:r w:rsidR="00431BA6" w:rsidRPr="003C0669">
        <w:t>, or weekly dose of GLP-1 receptor agonist (Bydureon®, Tanzeum®/Eperzan®, or Trulicity®) at baseline</w:t>
      </w:r>
      <w:r>
        <w:t>;</w:t>
      </w:r>
    </w:p>
    <w:p w:rsidR="003168AD" w:rsidRDefault="003168AD" w:rsidP="00CC67B4">
      <w:pPr>
        <w:pStyle w:val="ListBulletLevel1"/>
        <w:numPr>
          <w:ilvl w:val="0"/>
          <w:numId w:val="145"/>
        </w:numPr>
      </w:pPr>
      <w:r>
        <w:t>Percentage of patients who used pioglitazone at screening (data from e-CRF);</w:t>
      </w:r>
    </w:p>
    <w:p w:rsidR="003168AD" w:rsidRDefault="003168AD" w:rsidP="00CC67B4">
      <w:pPr>
        <w:pStyle w:val="ListBulletLevel1"/>
        <w:numPr>
          <w:ilvl w:val="0"/>
          <w:numId w:val="145"/>
        </w:numPr>
      </w:pPr>
      <w:r>
        <w:t>Duration of metformin treatment (years) derived as: (Date of informed consent – Date of first dose of metformin + 1)/365.25;</w:t>
      </w:r>
    </w:p>
    <w:p w:rsidR="003168AD" w:rsidRDefault="003168AD" w:rsidP="00CC67B4">
      <w:pPr>
        <w:pStyle w:val="ListBulletLevel1"/>
        <w:numPr>
          <w:ilvl w:val="0"/>
          <w:numId w:val="145"/>
        </w:numPr>
      </w:pPr>
      <w:r>
        <w:t>Daily dose of metformin (mg) at baseline;</w:t>
      </w:r>
    </w:p>
    <w:p w:rsidR="003168AD" w:rsidRDefault="003168AD" w:rsidP="00CC67B4">
      <w:pPr>
        <w:pStyle w:val="ListBulletLevel1"/>
        <w:numPr>
          <w:ilvl w:val="0"/>
          <w:numId w:val="145"/>
        </w:numPr>
      </w:pPr>
      <w:r>
        <w:t>Daily dose of pioglitazone (mg) at baseline (if used);</w:t>
      </w:r>
    </w:p>
    <w:p w:rsidR="003168AD" w:rsidRDefault="003168AD" w:rsidP="00CC67B4">
      <w:pPr>
        <w:pStyle w:val="ListBulletLevel1"/>
        <w:numPr>
          <w:ilvl w:val="0"/>
          <w:numId w:val="145"/>
        </w:numPr>
      </w:pPr>
      <w:r>
        <w:t>Categorized daily dose of metformin at baseline (&lt;1500, ≥1500 to &lt;2500, ≥2500 to &lt;3000, ≥3000 mg);</w:t>
      </w:r>
    </w:p>
    <w:p w:rsidR="003168AD" w:rsidRDefault="003168AD" w:rsidP="00CC67B4">
      <w:pPr>
        <w:pStyle w:val="ListBulletLevel1"/>
        <w:numPr>
          <w:ilvl w:val="0"/>
          <w:numId w:val="145"/>
        </w:numPr>
      </w:pPr>
      <w:r>
        <w:t>Baseline diabetic microvascular complications (Yes, No) (ie, diabetic retinopathy, diabetic sensory or motor neuropathy, diabetic autonomic neuropathy, and diabetic nephropathy including the most recent event categories);</w:t>
      </w:r>
    </w:p>
    <w:p w:rsidR="003168AD" w:rsidRDefault="003168AD" w:rsidP="00CC67B4">
      <w:pPr>
        <w:pStyle w:val="ListBulletLevel1"/>
        <w:numPr>
          <w:ilvl w:val="0"/>
          <w:numId w:val="146"/>
        </w:numPr>
      </w:pPr>
      <w:r>
        <w:t>Baseline urine albumin/creatinine ratio categories (&lt;30 µg/mg [Normal], ≥30 to &lt;300 µg/mg [Microalbuminuria], and ≥300 µg/mg [Macroalbuminuria]);</w:t>
      </w:r>
    </w:p>
    <w:p w:rsidR="003168AD" w:rsidRDefault="00CD4453" w:rsidP="00CC67B4">
      <w:pPr>
        <w:pStyle w:val="ListBulletLevel1"/>
        <w:numPr>
          <w:ilvl w:val="0"/>
          <w:numId w:val="146"/>
        </w:numPr>
      </w:pPr>
      <w:r w:rsidRPr="003C0669">
        <w:t>Estimated Glomerular Filtration Rate (eGFR)</w:t>
      </w:r>
      <w:r>
        <w:t xml:space="preserve"> </w:t>
      </w:r>
      <w:r w:rsidR="003168AD">
        <w:t>at screening (ml/min);</w:t>
      </w:r>
    </w:p>
    <w:p w:rsidR="003168AD" w:rsidRDefault="00395B85" w:rsidP="00CC67B4">
      <w:pPr>
        <w:pStyle w:val="ListBulletLevel1"/>
        <w:numPr>
          <w:ilvl w:val="0"/>
          <w:numId w:val="147"/>
        </w:numPr>
      </w:pPr>
      <w:r w:rsidRPr="003C0669">
        <w:t>eGFR</w:t>
      </w:r>
      <w:r>
        <w:t xml:space="preserve"> </w:t>
      </w:r>
      <w:r w:rsidR="003168AD">
        <w:t xml:space="preserve">categories at screening (&lt;15 ml/min [End stage renal disease], ≥15 to &lt;30 ml/min [Severe decrease in GFR], ≥30 to &lt;60 ml/min [Moderate decrease in GFR], ≥60 to &lt;90 ml/min [Mild decrease in GFR], and ≥90 ml/min [Normal]). </w:t>
      </w:r>
    </w:p>
    <w:p w:rsidR="003168AD" w:rsidRDefault="003168AD" w:rsidP="003168AD">
      <w:r>
        <w:t>The baseline efficacy variables include:</w:t>
      </w:r>
    </w:p>
    <w:p w:rsidR="003168AD" w:rsidRDefault="003168AD" w:rsidP="00CC67B4">
      <w:pPr>
        <w:pStyle w:val="ListBulletLevel1"/>
        <w:numPr>
          <w:ilvl w:val="0"/>
          <w:numId w:val="148"/>
        </w:numPr>
      </w:pPr>
      <w:r>
        <w:t>HbA</w:t>
      </w:r>
      <w:r w:rsidRPr="00F05B87">
        <w:rPr>
          <w:vertAlign w:val="subscript"/>
        </w:rPr>
        <w:t>1c</w:t>
      </w:r>
      <w:r>
        <w:t xml:space="preserve">; </w:t>
      </w:r>
    </w:p>
    <w:p w:rsidR="003168AD" w:rsidRDefault="003168AD" w:rsidP="00CC67B4">
      <w:pPr>
        <w:pStyle w:val="ListBulletLevel1"/>
        <w:numPr>
          <w:ilvl w:val="0"/>
          <w:numId w:val="148"/>
        </w:numPr>
      </w:pPr>
      <w:r>
        <w:t>During standardized meal test:</w:t>
      </w:r>
    </w:p>
    <w:p w:rsidR="003168AD" w:rsidRDefault="003168AD" w:rsidP="00CC67B4">
      <w:pPr>
        <w:pStyle w:val="ListBulletLevel2"/>
        <w:numPr>
          <w:ilvl w:val="0"/>
          <w:numId w:val="149"/>
        </w:numPr>
      </w:pPr>
      <w:r>
        <w:t>2-hour postprandial plasma glucose (PPG) and glucose excursion;</w:t>
      </w:r>
    </w:p>
    <w:p w:rsidR="003168AD" w:rsidRDefault="003168AD" w:rsidP="00CC67B4">
      <w:pPr>
        <w:pStyle w:val="ListBulletLevel2"/>
        <w:numPr>
          <w:ilvl w:val="0"/>
          <w:numId w:val="149"/>
        </w:numPr>
      </w:pPr>
      <w:r>
        <w:t>C-peptide under fasting (30 minutes prior to the meal test before IMP administration if IMP is injected before breakfast) and 2-hour postprandial conditions;</w:t>
      </w:r>
    </w:p>
    <w:p w:rsidR="003168AD" w:rsidRDefault="003168AD" w:rsidP="00431BA6">
      <w:pPr>
        <w:ind w:left="720"/>
      </w:pPr>
      <w:r w:rsidRPr="00431BA6">
        <w:rPr>
          <w:b/>
        </w:rPr>
        <w:t>Note:</w:t>
      </w:r>
      <w:r>
        <w:t xml:space="preserve"> 2-hour plasma glucose excursion= 2-hour post prandial plasma glucose value – plasma glucose value obtained 30 minutes prior to the start of meal and before IMP administration if IMP is injected before breakfast.</w:t>
      </w:r>
    </w:p>
    <w:p w:rsidR="003168AD" w:rsidRDefault="003168AD" w:rsidP="00CC67B4">
      <w:pPr>
        <w:pStyle w:val="ListBulletLevel1"/>
        <w:numPr>
          <w:ilvl w:val="0"/>
          <w:numId w:val="150"/>
        </w:numPr>
      </w:pPr>
      <w:r>
        <w:t>7-point (average) SMPG;</w:t>
      </w:r>
    </w:p>
    <w:p w:rsidR="003168AD" w:rsidRDefault="003168AD" w:rsidP="00CC67B4">
      <w:pPr>
        <w:pStyle w:val="ListBulletLevel1"/>
        <w:numPr>
          <w:ilvl w:val="0"/>
          <w:numId w:val="150"/>
        </w:numPr>
      </w:pPr>
      <w:r>
        <w:t>Body weight;</w:t>
      </w:r>
    </w:p>
    <w:p w:rsidR="003168AD" w:rsidRDefault="003168AD" w:rsidP="00CC67B4">
      <w:pPr>
        <w:pStyle w:val="ListBulletLevel1"/>
        <w:numPr>
          <w:ilvl w:val="0"/>
          <w:numId w:val="150"/>
        </w:numPr>
      </w:pPr>
      <w:r>
        <w:lastRenderedPageBreak/>
        <w:t>Fasting plasma glucose (by central laboratory).</w:t>
      </w:r>
    </w:p>
    <w:p w:rsidR="003168AD" w:rsidRDefault="003168AD" w:rsidP="003168AD">
      <w:r>
        <w:t>Medical history and medical findings include:</w:t>
      </w:r>
    </w:p>
    <w:p w:rsidR="003168AD" w:rsidRDefault="003168AD" w:rsidP="00CC67B4">
      <w:pPr>
        <w:pStyle w:val="ListBulletLevel1"/>
        <w:numPr>
          <w:ilvl w:val="0"/>
          <w:numId w:val="151"/>
        </w:numPr>
      </w:pPr>
      <w:r>
        <w:t>Physical examination;</w:t>
      </w:r>
    </w:p>
    <w:p w:rsidR="003168AD" w:rsidRDefault="003168AD" w:rsidP="00CC67B4">
      <w:pPr>
        <w:pStyle w:val="ListBulletLevel1"/>
        <w:numPr>
          <w:ilvl w:val="0"/>
          <w:numId w:val="151"/>
        </w:numPr>
      </w:pPr>
      <w:r>
        <w:t>Medical or surgical history;</w:t>
      </w:r>
    </w:p>
    <w:p w:rsidR="003168AD" w:rsidRDefault="003168AD" w:rsidP="00CC67B4">
      <w:pPr>
        <w:pStyle w:val="ListBulletLevel1"/>
        <w:numPr>
          <w:ilvl w:val="0"/>
          <w:numId w:val="151"/>
        </w:numPr>
      </w:pPr>
      <w:r>
        <w:t>Medical history of cardiovascular and cerebrovascular events;</w:t>
      </w:r>
    </w:p>
    <w:p w:rsidR="003168AD" w:rsidRDefault="003168AD" w:rsidP="00CC67B4">
      <w:pPr>
        <w:pStyle w:val="ListBulletLevel1"/>
        <w:numPr>
          <w:ilvl w:val="0"/>
          <w:numId w:val="151"/>
        </w:numPr>
      </w:pPr>
      <w:r>
        <w:t>Medical history of allergies;</w:t>
      </w:r>
    </w:p>
    <w:p w:rsidR="003168AD" w:rsidRDefault="003168AD" w:rsidP="00CC67B4">
      <w:pPr>
        <w:pStyle w:val="ListBulletLevel1"/>
        <w:numPr>
          <w:ilvl w:val="0"/>
          <w:numId w:val="151"/>
        </w:numPr>
      </w:pPr>
      <w:r>
        <w:t>Subject family allergy history;</w:t>
      </w:r>
    </w:p>
    <w:p w:rsidR="003168AD" w:rsidRDefault="003168AD" w:rsidP="00CC67B4">
      <w:pPr>
        <w:pStyle w:val="ListBulletLevel1"/>
        <w:numPr>
          <w:ilvl w:val="0"/>
          <w:numId w:val="151"/>
        </w:numPr>
      </w:pPr>
      <w:r>
        <w:t>Alcohol habits within the last 12 months;</w:t>
      </w:r>
    </w:p>
    <w:p w:rsidR="003168AD" w:rsidRDefault="003168AD" w:rsidP="00CC67B4">
      <w:pPr>
        <w:pStyle w:val="ListBulletLevel1"/>
        <w:numPr>
          <w:ilvl w:val="0"/>
          <w:numId w:val="151"/>
        </w:numPr>
      </w:pPr>
      <w:r>
        <w:t xml:space="preserve">Smoking habits. </w:t>
      </w:r>
    </w:p>
    <w:p w:rsidR="003168AD" w:rsidRDefault="003168AD" w:rsidP="003168AD">
      <w:r>
        <w:t xml:space="preserve">Medical and surgical history will be coded using the version of Medical Dictionary for Regulatory Activities (MedDRA) currently in effect at </w:t>
      </w:r>
      <w:r w:rsidR="00431BA6">
        <w:t>S</w:t>
      </w:r>
      <w:r>
        <w:t>anofi at the time of database lock.</w:t>
      </w:r>
    </w:p>
    <w:p w:rsidR="003168AD" w:rsidRDefault="003168AD" w:rsidP="003168AD">
      <w:r>
        <w:t>No statistical test will be performed for the between-group difference on demographic and baseline characteristics (including medical history and baseline efficacy data).</w:t>
      </w:r>
    </w:p>
    <w:p w:rsidR="003168AD" w:rsidRPr="003168AD" w:rsidRDefault="003168AD" w:rsidP="003168AD">
      <w:r>
        <w:t xml:space="preserve">Demographic and baseline disease characteristics, baseline efficacy variables and medical history and medical findings will be summarized with appropriate descriptive statistics. Pathologies associated with past medical or surgical history will be summarized by primary </w:t>
      </w:r>
      <w:r w:rsidR="00E92210">
        <w:t>system organ class (</w:t>
      </w:r>
      <w:r>
        <w:t>SOC</w:t>
      </w:r>
      <w:r w:rsidR="00E92210">
        <w:fldChar w:fldCharType="begin"/>
      </w:r>
      <w:r w:rsidR="00E92210">
        <w:instrText xml:space="preserve"> XE "</w:instrText>
      </w:r>
      <w:r w:rsidR="00E92210" w:rsidRPr="00E92210">
        <w:instrText xml:space="preserve"> </w:instrText>
      </w:r>
      <w:r w:rsidR="00260841">
        <w:instrText>SOC " \f Abbreviation \t "s</w:instrText>
      </w:r>
      <w:r w:rsidR="00E92210">
        <w:instrText xml:space="preserve">ystem organ class" </w:instrText>
      </w:r>
      <w:r w:rsidR="00E92210">
        <w:fldChar w:fldCharType="end"/>
      </w:r>
      <w:r w:rsidR="00E92210">
        <w:t>)</w:t>
      </w:r>
      <w:r>
        <w:t xml:space="preserve"> and </w:t>
      </w:r>
      <w:r w:rsidR="00E92210">
        <w:t>high level term (</w:t>
      </w:r>
      <w:r>
        <w:t>HLT</w:t>
      </w:r>
      <w:r w:rsidR="00E92210">
        <w:fldChar w:fldCharType="begin"/>
      </w:r>
      <w:r w:rsidR="00E92210">
        <w:instrText xml:space="preserve"> XE "</w:instrText>
      </w:r>
      <w:r w:rsidR="00E92210" w:rsidRPr="00E92210">
        <w:instrText xml:space="preserve"> </w:instrText>
      </w:r>
      <w:r w:rsidR="00260841">
        <w:instrText>HLT " \f Abbreviation \t "h</w:instrText>
      </w:r>
      <w:r w:rsidR="00E92210">
        <w:instrText xml:space="preserve">igh level term" </w:instrText>
      </w:r>
      <w:r w:rsidR="00E92210">
        <w:fldChar w:fldCharType="end"/>
      </w:r>
      <w:r w:rsidR="00E92210">
        <w:t>)</w:t>
      </w:r>
      <w:r>
        <w:t>. These summaries will be provided on randomized patients for each treatment group (and overall)</w:t>
      </w:r>
      <w:r w:rsidR="00F43D6D">
        <w:t>.</w:t>
      </w:r>
    </w:p>
    <w:p w:rsidR="00431BA6" w:rsidRDefault="00431BA6" w:rsidP="00431BA6">
      <w:pPr>
        <w:pStyle w:val="Heading3"/>
      </w:pPr>
      <w:bookmarkStart w:id="1045" w:name="_Toc443035935"/>
      <w:r w:rsidRPr="00431BA6">
        <w:t>Prior and concomitant medications</w:t>
      </w:r>
      <w:bookmarkEnd w:id="1045"/>
    </w:p>
    <w:p w:rsidR="00431BA6" w:rsidRDefault="00431BA6" w:rsidP="00431BA6">
      <w:r>
        <w:t>All medications will be coded using the version of World Health Organization-Drug Dictionary (WHO-DD</w:t>
      </w:r>
      <w:r w:rsidR="00631DED">
        <w:fldChar w:fldCharType="begin"/>
      </w:r>
      <w:r w:rsidR="00631DED">
        <w:instrText xml:space="preserve"> XE "</w:instrText>
      </w:r>
      <w:r w:rsidR="00631DED" w:rsidRPr="00631DED">
        <w:instrText xml:space="preserve"> </w:instrText>
      </w:r>
      <w:r w:rsidR="00631DED">
        <w:instrText xml:space="preserve">WHO-DD " \f Abbreviation \t "World Health Organization - Drug Dictionary" </w:instrText>
      </w:r>
      <w:r w:rsidR="00631DED">
        <w:fldChar w:fldCharType="end"/>
      </w:r>
      <w:r>
        <w:t xml:space="preserve">) currently in effect at </w:t>
      </w:r>
      <w:r w:rsidR="008811E4">
        <w:t>S</w:t>
      </w:r>
      <w:r>
        <w:t>anofi at the time of database lock.</w:t>
      </w:r>
    </w:p>
    <w:p w:rsidR="00431BA6" w:rsidRDefault="00431BA6" w:rsidP="00431BA6">
      <w:r>
        <w:t>Medications will be classified into the following three groups:</w:t>
      </w:r>
    </w:p>
    <w:p w:rsidR="00431BA6" w:rsidRDefault="00431BA6" w:rsidP="00CC67B4">
      <w:pPr>
        <w:pStyle w:val="ListBulletLevel1"/>
        <w:numPr>
          <w:ilvl w:val="0"/>
          <w:numId w:val="152"/>
        </w:numPr>
      </w:pPr>
      <w:r>
        <w:t>Prior medications are those the patient took prior to the first injection of open-label IMP;</w:t>
      </w:r>
    </w:p>
    <w:p w:rsidR="00431BA6" w:rsidRDefault="00431BA6" w:rsidP="00CC67B4">
      <w:pPr>
        <w:pStyle w:val="ListBulletLevel1"/>
        <w:numPr>
          <w:ilvl w:val="0"/>
          <w:numId w:val="152"/>
        </w:numPr>
      </w:pPr>
      <w:r>
        <w:t>Concomitant medications are those the patient continued or started on or after the first dose of open-label IMP up to 3 days after the last injection of IMP;</w:t>
      </w:r>
    </w:p>
    <w:p w:rsidR="00431BA6" w:rsidRDefault="00431BA6" w:rsidP="00CC67B4">
      <w:pPr>
        <w:pStyle w:val="ListBulletLevel1"/>
        <w:numPr>
          <w:ilvl w:val="0"/>
          <w:numId w:val="152"/>
        </w:numPr>
      </w:pPr>
      <w:r>
        <w:t>Post-treatment medications are those the patient continued or started on or after 4 days after the last injection of open-label IMP.</w:t>
      </w:r>
    </w:p>
    <w:p w:rsidR="00431BA6" w:rsidRDefault="00431BA6" w:rsidP="00431BA6">
      <w:r>
        <w:t>A given medication can be classified in several groups</w:t>
      </w:r>
      <w:r w:rsidR="008811E4">
        <w:t>.</w:t>
      </w:r>
      <w:r>
        <w:t xml:space="preserve"> Medications will be summarized according to the WHO-DD, considering the first digit of the ATC</w:t>
      </w:r>
      <w:r w:rsidR="00631DED">
        <w:fldChar w:fldCharType="begin"/>
      </w:r>
      <w:r w:rsidR="00631DED">
        <w:instrText xml:space="preserve"> XE "</w:instrText>
      </w:r>
      <w:r w:rsidR="00631DED" w:rsidRPr="00631DED">
        <w:instrText xml:space="preserve"> </w:instrText>
      </w:r>
      <w:r w:rsidR="00E36685">
        <w:instrText>ATC " \f Abbreviation \t "a</w:instrText>
      </w:r>
      <w:r w:rsidR="00631DED">
        <w:instrText xml:space="preserve">natomic </w:instrText>
      </w:r>
      <w:r w:rsidR="00A96550">
        <w:instrText xml:space="preserve">or therapeutic </w:instrText>
      </w:r>
      <w:r w:rsidR="00631DED">
        <w:instrText xml:space="preserve">category" </w:instrText>
      </w:r>
      <w:r w:rsidR="00631DED">
        <w:fldChar w:fldCharType="end"/>
      </w:r>
      <w:r>
        <w:t xml:space="preserve"> class (anatomic category) and the first three digits of the ATC class (therapeutic category). All ATC codes corresponding to a medication will be summarized, patients will be counted once in each ATC categories (anatomic or therapeutic) linked to the medication, therefore patients may be counted several time for the same medication.</w:t>
      </w:r>
    </w:p>
    <w:p w:rsidR="00431BA6" w:rsidRPr="00431BA6" w:rsidRDefault="00431BA6" w:rsidP="00431BA6">
      <w:r>
        <w:lastRenderedPageBreak/>
        <w:t>Summaries of prior, concomitant and post-treatment medications will be presented on randomized patients for each treatment group (and overall for the summary of prior medications) using counts and percentages. No statistical test for the between-group difference will be performed.</w:t>
      </w:r>
    </w:p>
    <w:p w:rsidR="002F41EE" w:rsidRDefault="002F41EE">
      <w:pPr>
        <w:pStyle w:val="Heading3"/>
      </w:pPr>
      <w:bookmarkStart w:id="1046" w:name="_Toc443035936"/>
      <w:r>
        <w:t>Extent of study treatment exposure and compliance</w:t>
      </w:r>
      <w:bookmarkEnd w:id="1029"/>
      <w:bookmarkEnd w:id="1030"/>
      <w:bookmarkEnd w:id="1031"/>
      <w:bookmarkEnd w:id="1032"/>
      <w:bookmarkEnd w:id="1033"/>
      <w:bookmarkEnd w:id="1034"/>
      <w:bookmarkEnd w:id="1039"/>
      <w:bookmarkEnd w:id="1040"/>
      <w:bookmarkEnd w:id="1041"/>
      <w:bookmarkEnd w:id="1042"/>
      <w:bookmarkEnd w:id="1043"/>
      <w:bookmarkEnd w:id="1046"/>
    </w:p>
    <w:p w:rsidR="009860B6" w:rsidRPr="009860B6" w:rsidRDefault="009860B6" w:rsidP="009860B6">
      <w:r w:rsidRPr="009860B6">
        <w:t>The extent of study treatment exposure and compliance will be assessed and summarized by actual treatment received in the safety population.</w:t>
      </w:r>
    </w:p>
    <w:p w:rsidR="002F41EE" w:rsidRDefault="002F41EE">
      <w:pPr>
        <w:pStyle w:val="Heading4"/>
      </w:pPr>
      <w:bookmarkStart w:id="1047" w:name="_Toc220316412"/>
      <w:bookmarkStart w:id="1048" w:name="_Ref220351300"/>
      <w:bookmarkStart w:id="1049" w:name="_Ref220351307"/>
      <w:bookmarkStart w:id="1050" w:name="_Ref220351340"/>
      <w:bookmarkStart w:id="1051" w:name="_Ref220351361"/>
      <w:bookmarkStart w:id="1052" w:name="_Ref220351378"/>
      <w:bookmarkStart w:id="1053" w:name="_Toc227432112"/>
      <w:bookmarkStart w:id="1054" w:name="_Toc291062855"/>
      <w:bookmarkStart w:id="1055" w:name="_Toc291063062"/>
      <w:bookmarkStart w:id="1056" w:name="_Toc292103592"/>
      <w:bookmarkStart w:id="1057" w:name="_Toc382298146"/>
      <w:bookmarkStart w:id="1058" w:name="_Toc443035937"/>
      <w:r>
        <w:t>Extent of investigational medicinal product exposure</w:t>
      </w:r>
      <w:bookmarkEnd w:id="1047"/>
      <w:bookmarkEnd w:id="1048"/>
      <w:bookmarkEnd w:id="1049"/>
      <w:bookmarkEnd w:id="1050"/>
      <w:bookmarkEnd w:id="1051"/>
      <w:bookmarkEnd w:id="1052"/>
      <w:bookmarkEnd w:id="1053"/>
      <w:bookmarkEnd w:id="1054"/>
      <w:bookmarkEnd w:id="1055"/>
      <w:bookmarkEnd w:id="1056"/>
      <w:bookmarkEnd w:id="1057"/>
      <w:bookmarkEnd w:id="1058"/>
    </w:p>
    <w:p w:rsidR="009860B6" w:rsidRDefault="009860B6" w:rsidP="009860B6">
      <w:r>
        <w:t>The extent of study treatment exposure will be assessed by the duration of treatment exposure during the study.</w:t>
      </w:r>
    </w:p>
    <w:p w:rsidR="009860B6" w:rsidRDefault="009860B6" w:rsidP="009860B6">
      <w:r>
        <w:t>The duration of treatment exposure will be the total number of days of administration of the open-label investigational medicinal product, regardless of unplanned intermittent discontinuations. The duration of IMP exposure will be calculated as:</w:t>
      </w:r>
    </w:p>
    <w:p w:rsidR="009860B6" w:rsidRDefault="009860B6" w:rsidP="009860B6">
      <w:r>
        <w:t>(Date of the last open-label IMP injection – Date of the first open-label IMP injection) + 1.</w:t>
      </w:r>
    </w:p>
    <w:p w:rsidR="009860B6" w:rsidRDefault="00F43D6D" w:rsidP="009860B6">
      <w:r>
        <w:t>T</w:t>
      </w:r>
      <w:r w:rsidR="009860B6">
        <w:t>he number (%) of patients randomized and exposed to the open-label IMP will be presented by specific time periods for each treatment group in the safety population. The time periods of interest are grouped as follows:</w:t>
      </w:r>
    </w:p>
    <w:p w:rsidR="009860B6" w:rsidRDefault="009860B6" w:rsidP="00CC67B4">
      <w:pPr>
        <w:pStyle w:val="ListBulletLevel1"/>
        <w:numPr>
          <w:ilvl w:val="0"/>
          <w:numId w:val="153"/>
        </w:numPr>
      </w:pPr>
      <w:r>
        <w:t>1 to 14 days;</w:t>
      </w:r>
    </w:p>
    <w:p w:rsidR="009860B6" w:rsidRDefault="009860B6" w:rsidP="00CC67B4">
      <w:pPr>
        <w:pStyle w:val="ListBulletLevel1"/>
        <w:numPr>
          <w:ilvl w:val="0"/>
          <w:numId w:val="153"/>
        </w:numPr>
      </w:pPr>
      <w:r>
        <w:t>15 to 28 days;</w:t>
      </w:r>
    </w:p>
    <w:p w:rsidR="009860B6" w:rsidRDefault="009860B6" w:rsidP="00CC67B4">
      <w:pPr>
        <w:pStyle w:val="ListBulletLevel1"/>
        <w:numPr>
          <w:ilvl w:val="0"/>
          <w:numId w:val="153"/>
        </w:numPr>
      </w:pPr>
      <w:r>
        <w:t>29 to 56 days;</w:t>
      </w:r>
    </w:p>
    <w:p w:rsidR="009860B6" w:rsidRDefault="009860B6" w:rsidP="00CC67B4">
      <w:pPr>
        <w:pStyle w:val="ListBulletLevel1"/>
        <w:numPr>
          <w:ilvl w:val="0"/>
          <w:numId w:val="153"/>
        </w:numPr>
      </w:pPr>
      <w:r>
        <w:t>57 to 84 days;</w:t>
      </w:r>
    </w:p>
    <w:p w:rsidR="009860B6" w:rsidRDefault="009860B6" w:rsidP="00CC67B4">
      <w:pPr>
        <w:pStyle w:val="ListBulletLevel1"/>
        <w:numPr>
          <w:ilvl w:val="0"/>
          <w:numId w:val="153"/>
        </w:numPr>
      </w:pPr>
      <w:r>
        <w:t>85 to 126 days;</w:t>
      </w:r>
    </w:p>
    <w:p w:rsidR="009860B6" w:rsidRDefault="009860B6" w:rsidP="00CC67B4">
      <w:pPr>
        <w:pStyle w:val="ListBulletLevel1"/>
        <w:numPr>
          <w:ilvl w:val="0"/>
          <w:numId w:val="153"/>
        </w:numPr>
      </w:pPr>
      <w:r>
        <w:t>127 to 168 days;</w:t>
      </w:r>
    </w:p>
    <w:p w:rsidR="009860B6" w:rsidRDefault="009860B6" w:rsidP="00CC67B4">
      <w:pPr>
        <w:pStyle w:val="ListBulletLevel1"/>
        <w:numPr>
          <w:ilvl w:val="0"/>
          <w:numId w:val="153"/>
        </w:numPr>
      </w:pPr>
      <w:r>
        <w:t>169 to 182 days;</w:t>
      </w:r>
    </w:p>
    <w:p w:rsidR="009860B6" w:rsidRDefault="009860B6" w:rsidP="00CC67B4">
      <w:pPr>
        <w:pStyle w:val="ListBulletLevel1"/>
        <w:numPr>
          <w:ilvl w:val="0"/>
          <w:numId w:val="153"/>
        </w:numPr>
      </w:pPr>
      <w:r>
        <w:t>&gt;182 days.</w:t>
      </w:r>
    </w:p>
    <w:p w:rsidR="009860B6" w:rsidRPr="009860B6" w:rsidRDefault="009860B6" w:rsidP="009860B6">
      <w:r>
        <w:t>Descriptive statistics of duration of treatment exposure (number, mean, SD, minimum, median, and maximum) and cumulative exposure in patient year will also be presented by treatment group in the safety population.</w:t>
      </w:r>
    </w:p>
    <w:p w:rsidR="002F41EE" w:rsidRDefault="002F41EE">
      <w:pPr>
        <w:pStyle w:val="Heading4"/>
      </w:pPr>
      <w:bookmarkStart w:id="1059" w:name="_Toc220316413"/>
      <w:bookmarkStart w:id="1060" w:name="_Toc227432113"/>
      <w:bookmarkStart w:id="1061" w:name="_Toc291062856"/>
      <w:bookmarkStart w:id="1062" w:name="_Toc291063063"/>
      <w:bookmarkStart w:id="1063" w:name="_Toc292103593"/>
      <w:bookmarkStart w:id="1064" w:name="_Toc382298147"/>
      <w:bookmarkStart w:id="1065" w:name="_Toc443035938"/>
      <w:r>
        <w:t>Compliance</w:t>
      </w:r>
      <w:bookmarkEnd w:id="1059"/>
      <w:bookmarkEnd w:id="1060"/>
      <w:bookmarkEnd w:id="1061"/>
      <w:bookmarkEnd w:id="1062"/>
      <w:bookmarkEnd w:id="1063"/>
      <w:bookmarkEnd w:id="1064"/>
      <w:bookmarkEnd w:id="1065"/>
    </w:p>
    <w:p w:rsidR="00C1186A" w:rsidRDefault="00C1186A" w:rsidP="00C1186A">
      <w:r w:rsidRPr="00C1186A">
        <w:t>Overall treatment compliance is defined as the actual number of days with IMP injection compared to the planned number of days with IMP injection during the open-label treatment period, up to treatment discontinuation. It is calculated according to the following formula:</w:t>
      </w:r>
    </w:p>
    <w:p w:rsidR="00C1186A" w:rsidRDefault="00C1186A" w:rsidP="00C1186A">
      <w:pPr>
        <w:jc w:val="both"/>
      </w:pPr>
      <w:r>
        <w:lastRenderedPageBreak/>
        <w:t xml:space="preserve">Compliance rate (%) = </w:t>
      </w:r>
      <w:r w:rsidRPr="00285D7E">
        <w:t xml:space="preserve"> </w:t>
      </w:r>
      <w:r w:rsidRPr="00711FD0">
        <w:rPr>
          <w:position w:val="-30"/>
        </w:rPr>
        <w:object w:dxaOrig="5000" w:dyaOrig="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9.75pt;height:35.25pt" o:ole="">
            <v:imagedata r:id="rId22" o:title=""/>
          </v:shape>
          <o:OLEObject Type="Embed" ProgID="Equation.3" ShapeID="_x0000_i1025" DrawAspect="Content" ObjectID="_1566917324" r:id="rId23"/>
        </w:object>
      </w:r>
      <w:r w:rsidRPr="00836C47">
        <w:t>.</w:t>
      </w:r>
    </w:p>
    <w:p w:rsidR="00C1186A" w:rsidRPr="00C1186A" w:rsidRDefault="00C1186A" w:rsidP="00C1186A">
      <w:r w:rsidRPr="00C1186A">
        <w:t>Treatment compliance will be summarized by treatment group using mean, SD, median, and range for the safety population. In addition, the percentage of patients who have &lt;60%, ≥60 to &lt;80%, ≥80 to ≤100%, and &gt;100% compliance will be summarized by treatment group.</w:t>
      </w:r>
    </w:p>
    <w:p w:rsidR="002F41EE" w:rsidRDefault="002F41EE">
      <w:pPr>
        <w:pStyle w:val="Heading3"/>
      </w:pPr>
      <w:bookmarkStart w:id="1066" w:name="_Toc221537817"/>
      <w:bookmarkStart w:id="1067" w:name="_Toc221537995"/>
      <w:bookmarkStart w:id="1068" w:name="_Toc221677611"/>
      <w:bookmarkStart w:id="1069" w:name="_Toc128558683"/>
      <w:bookmarkStart w:id="1070" w:name="_Toc129597770"/>
      <w:bookmarkStart w:id="1071" w:name="_Toc130200220"/>
      <w:bookmarkStart w:id="1072" w:name="_Toc130368801"/>
      <w:bookmarkStart w:id="1073" w:name="_Toc130368931"/>
      <w:bookmarkStart w:id="1074" w:name="_Toc130703439"/>
      <w:bookmarkStart w:id="1075" w:name="_Toc227432114"/>
      <w:bookmarkStart w:id="1076" w:name="_Toc291062857"/>
      <w:bookmarkStart w:id="1077" w:name="_Toc291063064"/>
      <w:bookmarkStart w:id="1078" w:name="_Toc292103594"/>
      <w:bookmarkStart w:id="1079" w:name="_Toc382298148"/>
      <w:bookmarkStart w:id="1080" w:name="_Toc443035939"/>
      <w:bookmarkEnd w:id="1066"/>
      <w:bookmarkEnd w:id="1067"/>
      <w:bookmarkEnd w:id="1068"/>
      <w:r>
        <w:t>Ana</w:t>
      </w:r>
      <w:r>
        <w:t>lyses of efficacy endpoints</w:t>
      </w:r>
      <w:bookmarkEnd w:id="1069"/>
      <w:bookmarkEnd w:id="1070"/>
      <w:bookmarkEnd w:id="1071"/>
      <w:bookmarkEnd w:id="1072"/>
      <w:bookmarkEnd w:id="1073"/>
      <w:bookmarkEnd w:id="1074"/>
      <w:bookmarkEnd w:id="1075"/>
      <w:bookmarkEnd w:id="1076"/>
      <w:bookmarkEnd w:id="1077"/>
      <w:bookmarkEnd w:id="1078"/>
      <w:bookmarkEnd w:id="1079"/>
      <w:bookmarkEnd w:id="1080"/>
    </w:p>
    <w:p w:rsidR="00104167" w:rsidRDefault="00F43D6D" w:rsidP="00104167">
      <w:r>
        <w:t>E</w:t>
      </w:r>
      <w:r w:rsidR="00104167">
        <w:t>fficacy analyses will be performed on the mITT population using efficacy assessment obtained during the on-treatment period (</w:t>
      </w:r>
      <w:hyperlink w:anchor="_Ref442690178" w:history="1">
        <w:r w:rsidR="00DC79D4" w:rsidRPr="00DC79D4">
          <w:rPr>
            <w:rStyle w:val="Hyperlink"/>
            <w:u w:val="none"/>
          </w:rPr>
          <w:t>Section</w:t>
        </w:r>
      </w:hyperlink>
      <w:r w:rsidR="00DC79D4">
        <w:t xml:space="preserve"> </w:t>
      </w:r>
      <w:r w:rsidR="00DC79D4">
        <w:fldChar w:fldCharType="begin"/>
      </w:r>
      <w:r w:rsidR="00DC79D4">
        <w:instrText xml:space="preserve"> REF _Ref442690178 \r \h </w:instrText>
      </w:r>
      <w:r w:rsidR="00DC79D4">
        <w:fldChar w:fldCharType="separate"/>
      </w:r>
      <w:r w:rsidR="005A26F6">
        <w:t>9.1</w:t>
      </w:r>
      <w:r w:rsidR="00DC79D4">
        <w:fldChar w:fldCharType="end"/>
      </w:r>
      <w:r w:rsidR="00104167" w:rsidRPr="003E358A">
        <w:rPr>
          <w:color w:val="auto"/>
        </w:rPr>
        <w:t xml:space="preserve"> and </w:t>
      </w:r>
      <w:hyperlink w:anchor="_Ref442690189" w:history="1">
        <w:r w:rsidR="00DC79D4" w:rsidRPr="00DC79D4">
          <w:rPr>
            <w:rStyle w:val="Hyperlink"/>
            <w:u w:val="none"/>
          </w:rPr>
          <w:t>Section</w:t>
        </w:r>
      </w:hyperlink>
      <w:r w:rsidR="00DC79D4">
        <w:t xml:space="preserve"> </w:t>
      </w:r>
      <w:r w:rsidR="00DC79D4">
        <w:fldChar w:fldCharType="begin"/>
      </w:r>
      <w:r w:rsidR="00DC79D4">
        <w:instrText xml:space="preserve"> REF _Ref442690189 \r \h </w:instrText>
      </w:r>
      <w:r w:rsidR="00DC79D4">
        <w:fldChar w:fldCharType="separate"/>
      </w:r>
      <w:r w:rsidR="005A26F6">
        <w:t>9.2.1</w:t>
      </w:r>
      <w:r w:rsidR="00DC79D4">
        <w:fldChar w:fldCharType="end"/>
      </w:r>
      <w:r>
        <w:t>), unless otherwise specified.</w:t>
      </w:r>
    </w:p>
    <w:p w:rsidR="00104167" w:rsidRPr="00104167" w:rsidRDefault="00104167" w:rsidP="00104167">
      <w:r>
        <w:t>For a patient to be included in a change from baseline analysis (endpoint – baseline) or a baseline adjusted analysis of an endpoint, the patient must have both a baseline and a post-baseline on-treatment measurement for that endpoint.</w:t>
      </w:r>
    </w:p>
    <w:p w:rsidR="00B86DB7" w:rsidRDefault="002F41EE" w:rsidP="00B86DB7">
      <w:pPr>
        <w:pStyle w:val="Heading4"/>
      </w:pPr>
      <w:bookmarkStart w:id="1081" w:name="_Toc128558684"/>
      <w:bookmarkStart w:id="1082" w:name="_Toc129597771"/>
      <w:bookmarkStart w:id="1083" w:name="_Toc130200221"/>
      <w:bookmarkStart w:id="1084" w:name="_Toc130368802"/>
      <w:bookmarkStart w:id="1085" w:name="_Toc130368932"/>
      <w:bookmarkStart w:id="1086" w:name="_Toc130703440"/>
      <w:bookmarkStart w:id="1087" w:name="_Toc227432115"/>
      <w:bookmarkStart w:id="1088" w:name="_Toc291062858"/>
      <w:bookmarkStart w:id="1089" w:name="_Toc291063065"/>
      <w:bookmarkStart w:id="1090" w:name="_Toc292103595"/>
      <w:bookmarkStart w:id="1091" w:name="_Toc382298149"/>
      <w:bookmarkStart w:id="1092" w:name="_Ref434329540"/>
      <w:bookmarkStart w:id="1093" w:name="_Ref434329646"/>
      <w:bookmarkStart w:id="1094" w:name="_Ref442280373"/>
      <w:bookmarkStart w:id="1095" w:name="_Ref442690226"/>
      <w:bookmarkStart w:id="1096" w:name="_Toc443035940"/>
      <w:r>
        <w:t>Analysis of primary efficacy endpoint</w:t>
      </w:r>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p>
    <w:p w:rsidR="00141269" w:rsidRPr="00141269" w:rsidRDefault="00141269" w:rsidP="00141269">
      <w:r>
        <w:t xml:space="preserve">See </w:t>
      </w:r>
      <w:hyperlink w:anchor="_Ref442690199" w:history="1">
        <w:r w:rsidR="00DC79D4" w:rsidRPr="00DC79D4">
          <w:rPr>
            <w:rStyle w:val="Hyperlink"/>
            <w:u w:val="none"/>
          </w:rPr>
          <w:t>Section</w:t>
        </w:r>
      </w:hyperlink>
      <w:r w:rsidR="00DC79D4">
        <w:t xml:space="preserve"> </w:t>
      </w:r>
      <w:r w:rsidR="00DC79D4">
        <w:fldChar w:fldCharType="begin"/>
      </w:r>
      <w:r w:rsidR="00DC79D4">
        <w:instrText xml:space="preserve"> REF _Ref442690199 \r \h </w:instrText>
      </w:r>
      <w:r w:rsidR="00DC79D4">
        <w:fldChar w:fldCharType="separate"/>
      </w:r>
      <w:r w:rsidR="005A26F6">
        <w:t>9.1.1</w:t>
      </w:r>
      <w:r w:rsidR="00DC79D4">
        <w:fldChar w:fldCharType="end"/>
      </w:r>
      <w:r>
        <w:rPr>
          <w:rStyle w:val="BlueReplace"/>
        </w:rPr>
        <w:t>.</w:t>
      </w:r>
    </w:p>
    <w:p w:rsidR="00FF6B26" w:rsidRPr="00FF6B26" w:rsidRDefault="00FF6B26" w:rsidP="00FF6B26">
      <w:pPr>
        <w:rPr>
          <w:b/>
        </w:rPr>
      </w:pPr>
      <w:r w:rsidRPr="00FF6B26">
        <w:rPr>
          <w:b/>
        </w:rPr>
        <w:t>Primary analysis</w:t>
      </w:r>
    </w:p>
    <w:p w:rsidR="00FF6B26" w:rsidRDefault="00FF6B26" w:rsidP="00FF6B26">
      <w:r>
        <w:t>The statistical test will be two-sided tests at a nominal 5% significance level.</w:t>
      </w:r>
    </w:p>
    <w:p w:rsidR="00FF6B26" w:rsidRDefault="00FF6B26" w:rsidP="00FF6B26">
      <w:r>
        <w:t>The primary efficacy endpoint (change in HbA</w:t>
      </w:r>
      <w:r w:rsidRPr="00F05B87">
        <w:rPr>
          <w:vertAlign w:val="subscript"/>
        </w:rPr>
        <w:t>1c</w:t>
      </w:r>
      <w:r>
        <w:t xml:space="preserve"> from baseline to </w:t>
      </w:r>
      <w:r w:rsidR="0007161F">
        <w:t xml:space="preserve">Week </w:t>
      </w:r>
      <w:r>
        <w:t>26) will be analyzed using a mixed-effect model with repeated measures (MMRM) under the missing at random framework. The MMRM model will include treatment group (</w:t>
      </w:r>
      <w:r w:rsidR="009C3043" w:rsidRPr="003C0669">
        <w:t>FRC</w:t>
      </w:r>
      <w:r w:rsidR="009C3043">
        <w:t xml:space="preserve"> </w:t>
      </w:r>
      <w:r>
        <w:t>or GLP-1 receptor agonist), randomization strata of HbA</w:t>
      </w:r>
      <w:r w:rsidRPr="00F05B87">
        <w:rPr>
          <w:vertAlign w:val="subscript"/>
        </w:rPr>
        <w:t>1c</w:t>
      </w:r>
      <w:r>
        <w:t xml:space="preserve"> (&lt;8%, ≥8%) at V1 (</w:t>
      </w:r>
      <w:r w:rsidR="0007161F">
        <w:t xml:space="preserve">Week </w:t>
      </w:r>
      <w:r>
        <w:t xml:space="preserve">-2), randomization strata of </w:t>
      </w:r>
      <w:r w:rsidRPr="003C0669">
        <w:t>GLP-1 receptor agonist subtype (once/twice daily formulations, once weekly formulations)</w:t>
      </w:r>
      <w:r w:rsidR="003C0669">
        <w:t xml:space="preserve"> </w:t>
      </w:r>
      <w:r>
        <w:t>at screening, visit (</w:t>
      </w:r>
      <w:r w:rsidR="001A2F7B">
        <w:t xml:space="preserve">Week 8, </w:t>
      </w:r>
      <w:r w:rsidR="0007161F">
        <w:t xml:space="preserve">Week </w:t>
      </w:r>
      <w:r>
        <w:t xml:space="preserve">12, </w:t>
      </w:r>
      <w:r w:rsidR="0007161F">
        <w:t xml:space="preserve">Week </w:t>
      </w:r>
      <w:r w:rsidR="00D75331" w:rsidRPr="00985214">
        <w:t>18,</w:t>
      </w:r>
      <w:r w:rsidR="00D75331">
        <w:t xml:space="preserve"> </w:t>
      </w:r>
      <w:r>
        <w:t xml:space="preserve">and </w:t>
      </w:r>
      <w:r w:rsidR="0007161F">
        <w:t xml:space="preserve">Week </w:t>
      </w:r>
      <w:r>
        <w:t>26), treatment-by-visit interaction and world region as fixed effects, and baseline HbA</w:t>
      </w:r>
      <w:r w:rsidRPr="00F05B87">
        <w:rPr>
          <w:vertAlign w:val="subscript"/>
        </w:rPr>
        <w:t>1c</w:t>
      </w:r>
      <w:r>
        <w:t xml:space="preserve"> value-by-visit interaction as the covariates. The adjusted mean change in HbA</w:t>
      </w:r>
      <w:r w:rsidRPr="00F05B87">
        <w:rPr>
          <w:vertAlign w:val="subscript"/>
        </w:rPr>
        <w:t>1c</w:t>
      </w:r>
      <w:r>
        <w:t xml:space="preserve"> from baseline to </w:t>
      </w:r>
      <w:r w:rsidR="0007161F">
        <w:t xml:space="preserve">Week </w:t>
      </w:r>
      <w:r>
        <w:t xml:space="preserve">26 for each treatment group will be estimated in the framework of this model, as well as the between group difference and the 95% </w:t>
      </w:r>
      <w:r w:rsidR="00B86DB7">
        <w:t>confidence interval (</w:t>
      </w:r>
      <w:r>
        <w:t>CI</w:t>
      </w:r>
      <w:r w:rsidR="00B86DB7">
        <w:t>)</w:t>
      </w:r>
      <w:r>
        <w:t xml:space="preserve"> for the adjusted mean. </w:t>
      </w:r>
    </w:p>
    <w:p w:rsidR="00FF6B26" w:rsidRDefault="00FF6B26" w:rsidP="00FF6B26">
      <w:r>
        <w:t xml:space="preserve">The MMRM model will be implemented using </w:t>
      </w:r>
      <w:r w:rsidR="008F322E">
        <w:t>Statistical analysis system (</w:t>
      </w:r>
      <w:r>
        <w:t>SAS®</w:t>
      </w:r>
      <w:r w:rsidR="008F322E">
        <w:t>)</w:t>
      </w:r>
      <w:r>
        <w:t xml:space="preserve"> (Version 9.4 or higher) MIXED procedure (PROC MIXED) with an unstructured correlation matrix to model the within-patient errors. Parameters will be estimated using the restricted maximum likelihood method with the Newton-Raphson algorithm. Denominator degree of freedom will be estimated using the Kenward-Roger approximation by fitting values from post-randomization scheduled visits during the on-treatment period. This model will use only scheduled HbA</w:t>
      </w:r>
      <w:r w:rsidRPr="00F05B87">
        <w:rPr>
          <w:vertAlign w:val="subscript"/>
        </w:rPr>
        <w:t>1c</w:t>
      </w:r>
      <w:r>
        <w:t xml:space="preserve"> measurements.</w:t>
      </w:r>
    </w:p>
    <w:p w:rsidR="00FF6B26" w:rsidRPr="00FF6B26" w:rsidRDefault="00FF6B26" w:rsidP="00FF6B26">
      <w:pPr>
        <w:rPr>
          <w:b/>
        </w:rPr>
      </w:pPr>
      <w:r w:rsidRPr="00FF6B26">
        <w:rPr>
          <w:b/>
        </w:rPr>
        <w:t>Sensitivity analyses</w:t>
      </w:r>
    </w:p>
    <w:p w:rsidR="00FF6B26" w:rsidRDefault="00FF6B26" w:rsidP="00FF6B26">
      <w:r>
        <w:t>The following sensitivity analyses will be performed for the primary endpoint:</w:t>
      </w:r>
    </w:p>
    <w:p w:rsidR="00FF6B26" w:rsidRDefault="00FF6B26" w:rsidP="00CC67B4">
      <w:pPr>
        <w:pStyle w:val="ListBulletLevel1"/>
        <w:numPr>
          <w:ilvl w:val="0"/>
          <w:numId w:val="154"/>
        </w:numPr>
      </w:pPr>
      <w:r>
        <w:lastRenderedPageBreak/>
        <w:t>The same MMRM model as described in the primary analysis will also be performed by including the HbA</w:t>
      </w:r>
      <w:r w:rsidRPr="00F05B87">
        <w:rPr>
          <w:vertAlign w:val="subscript"/>
        </w:rPr>
        <w:t>1c</w:t>
      </w:r>
      <w:r>
        <w:t xml:space="preserve"> values obtained from all scheduled visits during the study, including those obtained after IMP discontinuation or rescue medication use.</w:t>
      </w:r>
    </w:p>
    <w:p w:rsidR="00FF6B26" w:rsidRDefault="00FF6B26" w:rsidP="00CC67B4">
      <w:pPr>
        <w:pStyle w:val="ListBulletLevel1"/>
        <w:numPr>
          <w:ilvl w:val="0"/>
          <w:numId w:val="155"/>
        </w:numPr>
      </w:pPr>
      <w:r>
        <w:t>An analysis of covariance (ANCOVA</w:t>
      </w:r>
      <w:r w:rsidR="00E14B63">
        <w:fldChar w:fldCharType="begin"/>
      </w:r>
      <w:r w:rsidR="00E14B63">
        <w:instrText xml:space="preserve"> XE "</w:instrText>
      </w:r>
      <w:r w:rsidR="00E14B63" w:rsidRPr="00E14B63">
        <w:instrText xml:space="preserve"> </w:instrText>
      </w:r>
      <w:r w:rsidR="00260841">
        <w:instrText>ANCOVA " \f Abbreviation \t "a</w:instrText>
      </w:r>
      <w:r w:rsidR="00E14B63">
        <w:instrText xml:space="preserve">nalysis of covariance" </w:instrText>
      </w:r>
      <w:r w:rsidR="00E14B63">
        <w:fldChar w:fldCharType="end"/>
      </w:r>
      <w:r>
        <w:t>) with the missing data imputed by the Last Observation Carried Forward (LOCF</w:t>
      </w:r>
      <w:r w:rsidR="00E14B63">
        <w:fldChar w:fldCharType="begin"/>
      </w:r>
      <w:r w:rsidR="00E14B63">
        <w:instrText xml:space="preserve"> XE "</w:instrText>
      </w:r>
      <w:r w:rsidR="00E14B63" w:rsidRPr="00E14B63">
        <w:instrText xml:space="preserve"> </w:instrText>
      </w:r>
      <w:r w:rsidR="00260841">
        <w:instrText>LOCF " \f Abbreviation \t "l</w:instrText>
      </w:r>
      <w:r w:rsidR="00E14B63">
        <w:instrText xml:space="preserve">ast observation carried forward" </w:instrText>
      </w:r>
      <w:r w:rsidR="00E14B63">
        <w:fldChar w:fldCharType="end"/>
      </w:r>
      <w:r>
        <w:t>) will be performed on the primary efficacy variable. Each patient’s last available post-baseline on-treatment HbA</w:t>
      </w:r>
      <w:r w:rsidRPr="00F05B87">
        <w:rPr>
          <w:vertAlign w:val="subscript"/>
        </w:rPr>
        <w:t>1c</w:t>
      </w:r>
      <w:r>
        <w:t xml:space="preserve"> measurement up to </w:t>
      </w:r>
      <w:r w:rsidR="0007161F">
        <w:t xml:space="preserve">Week </w:t>
      </w:r>
      <w:r>
        <w:t>26 will be modeled with treatment group (</w:t>
      </w:r>
      <w:r w:rsidR="009C3043" w:rsidRPr="00985214">
        <w:t>FRC</w:t>
      </w:r>
      <w:r w:rsidR="009C3043">
        <w:t xml:space="preserve"> </w:t>
      </w:r>
      <w:r>
        <w:t>or GLP-1 receptor agonist), randomization strata of HbA</w:t>
      </w:r>
      <w:r w:rsidRPr="00F05B87">
        <w:rPr>
          <w:vertAlign w:val="subscript"/>
        </w:rPr>
        <w:t>1c</w:t>
      </w:r>
      <w:r>
        <w:t xml:space="preserve"> (&lt;8%, ≥8%) at V1 (</w:t>
      </w:r>
      <w:r w:rsidR="0007161F">
        <w:t xml:space="preserve">Week </w:t>
      </w:r>
      <w:r>
        <w:t xml:space="preserve">-2), randomization strata of </w:t>
      </w:r>
      <w:r w:rsidR="00036B77" w:rsidRPr="00985214">
        <w:t xml:space="preserve">GLP-1 receptor agonist subtype (once/twice daily formulations, once weekly formulations) </w:t>
      </w:r>
      <w:r>
        <w:t>at screening, and world region as fixed effects, and using the baseline HbA</w:t>
      </w:r>
      <w:r w:rsidRPr="00F05B87">
        <w:rPr>
          <w:vertAlign w:val="subscript"/>
        </w:rPr>
        <w:t>1c</w:t>
      </w:r>
      <w:r>
        <w:t xml:space="preserve"> value as a covariate. Adjusted mean estimates by treatment and the differences of these estimates (</w:t>
      </w:r>
      <w:r w:rsidR="009C3043" w:rsidRPr="00985214">
        <w:t>FRC</w:t>
      </w:r>
      <w:r w:rsidR="009C3043">
        <w:t xml:space="preserve"> </w:t>
      </w:r>
      <w:r>
        <w:t>versus GLP-1 receptor agonist) will be provided as well as 95% confidence intervals (CI) of the differences and p-values.</w:t>
      </w:r>
    </w:p>
    <w:p w:rsidR="00FF6B26" w:rsidRDefault="00FF6B26" w:rsidP="00CC67B4">
      <w:pPr>
        <w:pStyle w:val="ListBulletLevel1"/>
        <w:numPr>
          <w:ilvl w:val="0"/>
          <w:numId w:val="156"/>
        </w:numPr>
      </w:pPr>
      <w:r>
        <w:t xml:space="preserve">A sensitivity analysis will also be conducted on the 26-week completers in mITT population (ie, all mITT patients who completed the 26-week open-label treatment period and did not start any rescue therapy before the end of the 26 week treatment period) using the observed </w:t>
      </w:r>
      <w:r w:rsidR="0007161F">
        <w:t xml:space="preserve">Week </w:t>
      </w:r>
      <w:r>
        <w:t>26 values and the same ANCOVA model as described above.</w:t>
      </w:r>
    </w:p>
    <w:p w:rsidR="00FF6B26" w:rsidRDefault="00FF6B26" w:rsidP="00CC67B4">
      <w:pPr>
        <w:pStyle w:val="ListBulletLevel1"/>
        <w:numPr>
          <w:ilvl w:val="0"/>
          <w:numId w:val="157"/>
        </w:numPr>
      </w:pPr>
      <w:r>
        <w:t>To investigate the impact of rescue medication, the same MMRM model as described in the primary analysis will be performed by excluding the measurements after receiving the rescue medication.</w:t>
      </w:r>
    </w:p>
    <w:p w:rsidR="00FF6B26" w:rsidRPr="00036B77" w:rsidRDefault="00FF6B26" w:rsidP="00FF6B26">
      <w:pPr>
        <w:rPr>
          <w:b/>
        </w:rPr>
      </w:pPr>
      <w:r w:rsidRPr="00036B77">
        <w:rPr>
          <w:b/>
        </w:rPr>
        <w:t>Assessment of treatment effect by subgroup</w:t>
      </w:r>
    </w:p>
    <w:p w:rsidR="00FF6B26" w:rsidRDefault="00FF6B26" w:rsidP="00FF6B26">
      <w:r>
        <w:t>Descriptive analyses will be performed on the primary endpoint to summarize the treatment effects across subgroups defined by the following baseline or screening factors:</w:t>
      </w:r>
    </w:p>
    <w:p w:rsidR="00FF6B26" w:rsidRDefault="00FF6B26" w:rsidP="00CC67B4">
      <w:pPr>
        <w:pStyle w:val="ListBulletLevel1"/>
        <w:numPr>
          <w:ilvl w:val="0"/>
          <w:numId w:val="158"/>
        </w:numPr>
      </w:pPr>
      <w:r>
        <w:t>Race;</w:t>
      </w:r>
    </w:p>
    <w:p w:rsidR="00FF6B26" w:rsidRDefault="00FF6B26" w:rsidP="00CC67B4">
      <w:pPr>
        <w:pStyle w:val="ListBulletLevel1"/>
        <w:numPr>
          <w:ilvl w:val="0"/>
          <w:numId w:val="158"/>
        </w:numPr>
      </w:pPr>
      <w:r>
        <w:t>Ethnicity (Hispanic, Not Hispanic);</w:t>
      </w:r>
    </w:p>
    <w:p w:rsidR="00FF6B26" w:rsidRDefault="00FF6B26" w:rsidP="00CC67B4">
      <w:pPr>
        <w:pStyle w:val="ListBulletLevel1"/>
        <w:numPr>
          <w:ilvl w:val="0"/>
          <w:numId w:val="158"/>
        </w:numPr>
      </w:pPr>
      <w:r>
        <w:t>Age group (&lt;50, ≥50 to &lt;65, ≥65 years of age);</w:t>
      </w:r>
    </w:p>
    <w:p w:rsidR="00FF6B26" w:rsidRDefault="00FF6B26" w:rsidP="00CC67B4">
      <w:pPr>
        <w:pStyle w:val="ListBulletLevel1"/>
        <w:numPr>
          <w:ilvl w:val="0"/>
          <w:numId w:val="158"/>
        </w:numPr>
      </w:pPr>
      <w:r>
        <w:t>Gender;</w:t>
      </w:r>
    </w:p>
    <w:p w:rsidR="00FF6B26" w:rsidRDefault="00FF6B26" w:rsidP="00CC67B4">
      <w:pPr>
        <w:pStyle w:val="ListBulletLevel1"/>
        <w:numPr>
          <w:ilvl w:val="0"/>
          <w:numId w:val="158"/>
        </w:numPr>
      </w:pPr>
      <w:r>
        <w:t>Baseline BMI level (&lt;30, ≥30 kg/m</w:t>
      </w:r>
      <w:r w:rsidRPr="00036B77">
        <w:rPr>
          <w:vertAlign w:val="superscript"/>
        </w:rPr>
        <w:t>2</w:t>
      </w:r>
      <w:r>
        <w:t>);</w:t>
      </w:r>
    </w:p>
    <w:p w:rsidR="00C858BD" w:rsidRPr="00985214" w:rsidRDefault="00C858BD" w:rsidP="00CC67B4">
      <w:pPr>
        <w:pStyle w:val="ListBulletLevel1"/>
        <w:numPr>
          <w:ilvl w:val="0"/>
          <w:numId w:val="158"/>
        </w:numPr>
      </w:pPr>
      <w:r w:rsidRPr="00985214">
        <w:t>Baseline GLP-1 receptor agonist subtype (once/twice daily formulations, once weekly formulations)</w:t>
      </w:r>
      <w:r w:rsidR="00C522CD">
        <w:t>;</w:t>
      </w:r>
    </w:p>
    <w:p w:rsidR="00FF6B26" w:rsidRDefault="00FF6B26" w:rsidP="00CC67B4">
      <w:pPr>
        <w:pStyle w:val="ListBulletLevel1"/>
        <w:numPr>
          <w:ilvl w:val="0"/>
          <w:numId w:val="158"/>
        </w:numPr>
      </w:pPr>
      <w:r>
        <w:t>Baseline HbA</w:t>
      </w:r>
      <w:r w:rsidRPr="00F05B87">
        <w:rPr>
          <w:vertAlign w:val="subscript"/>
        </w:rPr>
        <w:t>1c</w:t>
      </w:r>
      <w:r>
        <w:t xml:space="preserve"> (&lt;8%, ≥8%);</w:t>
      </w:r>
    </w:p>
    <w:p w:rsidR="00FF6B26" w:rsidRDefault="00FF6B26" w:rsidP="00CC67B4">
      <w:pPr>
        <w:pStyle w:val="ListBulletLevel1"/>
        <w:numPr>
          <w:ilvl w:val="0"/>
          <w:numId w:val="158"/>
        </w:numPr>
      </w:pPr>
      <w:r>
        <w:t>Pioglitazone use (Yes, No) at screening;</w:t>
      </w:r>
    </w:p>
    <w:p w:rsidR="00FF6B26" w:rsidRDefault="00FF6B26" w:rsidP="00CC67B4">
      <w:pPr>
        <w:pStyle w:val="ListBulletLevel1"/>
        <w:numPr>
          <w:ilvl w:val="0"/>
          <w:numId w:val="158"/>
        </w:numPr>
      </w:pPr>
      <w:r>
        <w:t xml:space="preserve">World region. </w:t>
      </w:r>
    </w:p>
    <w:p w:rsidR="00FF6B26" w:rsidRDefault="00FF6B26" w:rsidP="00FF6B26">
      <w:r>
        <w:t xml:space="preserve">The treatment effects across the subgroups defined for each of these factors will be estimated for the change from baseline to </w:t>
      </w:r>
      <w:r w:rsidR="0007161F">
        <w:t xml:space="preserve">Week </w:t>
      </w:r>
      <w:r>
        <w:t>26 in HbA</w:t>
      </w:r>
      <w:r w:rsidRPr="00F05B87">
        <w:rPr>
          <w:vertAlign w:val="subscript"/>
        </w:rPr>
        <w:t>1c</w:t>
      </w:r>
      <w:r>
        <w:t xml:space="preserve"> in the mITT population, and using the MMRM approach with treatment group (</w:t>
      </w:r>
      <w:r w:rsidR="00E50492" w:rsidRPr="00985214">
        <w:t>FRC</w:t>
      </w:r>
      <w:r w:rsidR="00E50492">
        <w:t xml:space="preserve"> </w:t>
      </w:r>
      <w:r>
        <w:t>or GLP-1 receptor agonist), randomization strata of HbA</w:t>
      </w:r>
      <w:r w:rsidRPr="00F05B87">
        <w:rPr>
          <w:vertAlign w:val="subscript"/>
        </w:rPr>
        <w:t>1c</w:t>
      </w:r>
      <w:r>
        <w:t xml:space="preserve"> (&lt;8%, ≥8%) at V1 (</w:t>
      </w:r>
      <w:r w:rsidR="0007161F">
        <w:t xml:space="preserve">Week </w:t>
      </w:r>
      <w:r>
        <w:t xml:space="preserve">-2), randomization strata of </w:t>
      </w:r>
      <w:r w:rsidR="00036B77" w:rsidRPr="00985214">
        <w:t xml:space="preserve">GLP-1 receptor agonist subtype (once/twice daily formulations, once weekly formulations) </w:t>
      </w:r>
      <w:r>
        <w:t>at screening visit, subgroup factor, treatment-by-</w:t>
      </w:r>
      <w:r>
        <w:lastRenderedPageBreak/>
        <w:t>visit, treatment-by-subgroup factor, visit-by-subgroup factor, treatment-by-visit-by-subgroup factor, and world region as fixed effects, and using the baseline HbA</w:t>
      </w:r>
      <w:r w:rsidRPr="00F05B87">
        <w:rPr>
          <w:vertAlign w:val="subscript"/>
        </w:rPr>
        <w:t>1c</w:t>
      </w:r>
      <w:r>
        <w:t xml:space="preserve"> value-by-visit interaction as a covariate. The adjusted estimates of treatment mean differences (</w:t>
      </w:r>
      <w:r w:rsidR="00E50492" w:rsidRPr="00985214">
        <w:t>FRC</w:t>
      </w:r>
      <w:r w:rsidR="00E50492">
        <w:t xml:space="preserve"> </w:t>
      </w:r>
      <w:r>
        <w:t>versus GLP-1 receptor agonist) with standard errors and 95% CIs will be provided as appropriate across the subgroups.</w:t>
      </w:r>
    </w:p>
    <w:p w:rsidR="00FF6B26" w:rsidRDefault="00FF6B26" w:rsidP="00FF6B26">
      <w:r>
        <w:t>In case that the subgroup factor is identical or similar to a randomization strata factor (eg, baseline HbA</w:t>
      </w:r>
      <w:r w:rsidRPr="00F05B87">
        <w:rPr>
          <w:vertAlign w:val="subscript"/>
        </w:rPr>
        <w:t>1c</w:t>
      </w:r>
      <w:r>
        <w:t xml:space="preserve"> category and </w:t>
      </w:r>
      <w:r w:rsidR="00036B77" w:rsidRPr="00985214">
        <w:t xml:space="preserve">GLP-1 RA </w:t>
      </w:r>
      <w:r>
        <w:t>category), only the subgroup factor will be included in the model in order to avoid collinearity issue in the analysis.</w:t>
      </w:r>
    </w:p>
    <w:p w:rsidR="00FF6B26" w:rsidRDefault="00FF6B26" w:rsidP="00FF6B26">
      <w:r>
        <w:t>The change of HbA</w:t>
      </w:r>
      <w:r w:rsidRPr="00F05B87">
        <w:rPr>
          <w:vertAlign w:val="subscript"/>
        </w:rPr>
        <w:t>1c</w:t>
      </w:r>
      <w:r>
        <w:t xml:space="preserve"> from baseline over time by visit will be evaluated by descriptive statistics (mean, SD, median and ranges).</w:t>
      </w:r>
    </w:p>
    <w:p w:rsidR="002F41EE" w:rsidRDefault="002F41EE">
      <w:pPr>
        <w:pStyle w:val="Heading4"/>
      </w:pPr>
      <w:bookmarkStart w:id="1097" w:name="_Toc227432116"/>
      <w:bookmarkStart w:id="1098" w:name="_Toc227432117"/>
      <w:bookmarkStart w:id="1099" w:name="_Toc227432118"/>
      <w:bookmarkStart w:id="1100" w:name="_Toc227432119"/>
      <w:bookmarkStart w:id="1101" w:name="_Toc227432120"/>
      <w:bookmarkStart w:id="1102" w:name="_Toc227432121"/>
      <w:bookmarkStart w:id="1103" w:name="_Toc227432122"/>
      <w:bookmarkStart w:id="1104" w:name="_Toc227432123"/>
      <w:bookmarkStart w:id="1105" w:name="_Toc227432124"/>
      <w:bookmarkStart w:id="1106" w:name="_Toc128558685"/>
      <w:bookmarkStart w:id="1107" w:name="_Toc129597772"/>
      <w:bookmarkStart w:id="1108" w:name="_Toc130200222"/>
      <w:bookmarkStart w:id="1109" w:name="_Toc130368803"/>
      <w:bookmarkStart w:id="1110" w:name="_Toc130368933"/>
      <w:bookmarkStart w:id="1111" w:name="_Toc130703441"/>
      <w:bookmarkStart w:id="1112" w:name="_Toc227432125"/>
      <w:bookmarkStart w:id="1113" w:name="_Toc291062859"/>
      <w:bookmarkStart w:id="1114" w:name="_Toc291063066"/>
      <w:bookmarkStart w:id="1115" w:name="_Toc292103596"/>
      <w:bookmarkStart w:id="1116" w:name="_Toc382298150"/>
      <w:bookmarkStart w:id="1117" w:name="_Toc443035941"/>
      <w:bookmarkEnd w:id="1097"/>
      <w:bookmarkEnd w:id="1098"/>
      <w:bookmarkEnd w:id="1099"/>
      <w:bookmarkEnd w:id="1100"/>
      <w:bookmarkEnd w:id="1101"/>
      <w:bookmarkEnd w:id="1102"/>
      <w:bookmarkEnd w:id="1103"/>
      <w:bookmarkEnd w:id="1104"/>
      <w:bookmarkEnd w:id="1105"/>
      <w:r>
        <w:t>Analyses of secondary efficacy endpoints</w:t>
      </w:r>
      <w:bookmarkEnd w:id="1106"/>
      <w:bookmarkEnd w:id="1107"/>
      <w:bookmarkEnd w:id="1108"/>
      <w:bookmarkEnd w:id="1109"/>
      <w:bookmarkEnd w:id="1110"/>
      <w:bookmarkEnd w:id="1111"/>
      <w:bookmarkEnd w:id="1112"/>
      <w:bookmarkEnd w:id="1113"/>
      <w:bookmarkEnd w:id="1114"/>
      <w:bookmarkEnd w:id="1115"/>
      <w:bookmarkEnd w:id="1116"/>
      <w:bookmarkEnd w:id="1117"/>
    </w:p>
    <w:p w:rsidR="00D86238" w:rsidRDefault="00D86238" w:rsidP="00D86238">
      <w:r>
        <w:t>Descriptive statistics (number, mean, standard deviation, median, minimum, and maximum) will be provided by treatment for all continuous secondary variables at the scheduled visits.</w:t>
      </w:r>
    </w:p>
    <w:p w:rsidR="00D86238" w:rsidRDefault="00D86238" w:rsidP="00D86238">
      <w:r>
        <w:t xml:space="preserve">Except for 2-hour PPG and glucose excursion, all continuous secondary efficacy endpoints at </w:t>
      </w:r>
      <w:r w:rsidR="0007161F">
        <w:t xml:space="preserve">Week </w:t>
      </w:r>
      <w:r>
        <w:t xml:space="preserve">26 defined in </w:t>
      </w:r>
      <w:hyperlink w:anchor="_Ref442690211" w:history="1">
        <w:r w:rsidR="00DC79D4" w:rsidRPr="00DC79D4">
          <w:rPr>
            <w:rStyle w:val="Hyperlink"/>
            <w:u w:val="none"/>
          </w:rPr>
          <w:t>Section</w:t>
        </w:r>
      </w:hyperlink>
      <w:r w:rsidR="00DC79D4">
        <w:t xml:space="preserve"> </w:t>
      </w:r>
      <w:r w:rsidR="00DC79D4">
        <w:fldChar w:fldCharType="begin"/>
      </w:r>
      <w:r w:rsidR="00DC79D4">
        <w:instrText xml:space="preserve"> REF _Ref442690211 \r \h </w:instrText>
      </w:r>
      <w:r w:rsidR="00DC79D4">
        <w:fldChar w:fldCharType="separate"/>
      </w:r>
      <w:r w:rsidR="005A26F6">
        <w:t>9.2.1</w:t>
      </w:r>
      <w:r w:rsidR="00DC79D4">
        <w:fldChar w:fldCharType="end"/>
      </w:r>
      <w:r w:rsidRPr="003E358A">
        <w:rPr>
          <w:color w:val="auto"/>
        </w:rPr>
        <w:t xml:space="preserve">.  will be analyzed using the same MMRM approach as described in </w:t>
      </w:r>
      <w:hyperlink w:anchor="_Ref442690226" w:history="1">
        <w:r w:rsidR="00DC79D4" w:rsidRPr="00DC79D4">
          <w:rPr>
            <w:rStyle w:val="Hyperlink"/>
            <w:u w:val="none"/>
          </w:rPr>
          <w:t>Section</w:t>
        </w:r>
      </w:hyperlink>
      <w:r w:rsidR="00DC79D4">
        <w:t xml:space="preserve"> </w:t>
      </w:r>
      <w:r w:rsidR="00DC79D4">
        <w:fldChar w:fldCharType="begin"/>
      </w:r>
      <w:r w:rsidR="00DC79D4">
        <w:instrText xml:space="preserve"> REF _Ref442690226 \r \h </w:instrText>
      </w:r>
      <w:r w:rsidR="00DC79D4">
        <w:fldChar w:fldCharType="separate"/>
      </w:r>
      <w:r w:rsidR="005A26F6">
        <w:t>11.4.4.1</w:t>
      </w:r>
      <w:r w:rsidR="00DC79D4">
        <w:fldChar w:fldCharType="end"/>
      </w:r>
      <w:r>
        <w:t xml:space="preserve"> to compare </w:t>
      </w:r>
      <w:r w:rsidR="00E50492" w:rsidRPr="0006246E">
        <w:t>FRC</w:t>
      </w:r>
      <w:r w:rsidR="00E50492">
        <w:t xml:space="preserve"> </w:t>
      </w:r>
      <w:r>
        <w:t>with GLP-1 receptor agonist. This model will include fixed effect terms including treatment group (</w:t>
      </w:r>
      <w:r w:rsidR="000E5BAE" w:rsidRPr="0006246E">
        <w:t>FRC</w:t>
      </w:r>
      <w:r w:rsidR="000E5BAE">
        <w:t xml:space="preserve"> </w:t>
      </w:r>
      <w:r>
        <w:t>or GLP-1 receptor agonist), randomization strata of HbA</w:t>
      </w:r>
      <w:r w:rsidRPr="00F05B87">
        <w:rPr>
          <w:vertAlign w:val="subscript"/>
        </w:rPr>
        <w:t>1c</w:t>
      </w:r>
      <w:r>
        <w:t xml:space="preserve"> (&lt;8%, ≥8%) at V1 (</w:t>
      </w:r>
      <w:r w:rsidR="0007161F">
        <w:t xml:space="preserve">Week </w:t>
      </w:r>
      <w:r>
        <w:t xml:space="preserve">-2), randomization strata of GLP-1 receptor agonist </w:t>
      </w:r>
      <w:r w:rsidRPr="0006246E">
        <w:t>subtype (once/twice daily formulations, once weekly formulations) at</w:t>
      </w:r>
      <w:r>
        <w:t xml:space="preserve"> screening, scheduled visit, treatment-by-visit interaction, and world region, and the covariate of baseline value-by-visit interaction. Means and adjusted means of each treatment group will be provided, as well as adjusted mean and associated two-sided 95% CI of the differences between treatment groups. The statistical tests for between-group differences will be two-sided at the alpha level of 0.05. The analyses include all scheduled measurements collected during the on-treatment period.</w:t>
      </w:r>
    </w:p>
    <w:p w:rsidR="00D86238" w:rsidRDefault="00D86238" w:rsidP="00D86238">
      <w:r>
        <w:t xml:space="preserve">2-hour PPG and glucose excursion, for which only one on-treatment assessment is scheduled, will be analyzed using the similar ANCOVA with the missing data at </w:t>
      </w:r>
      <w:r w:rsidR="0007161F">
        <w:t xml:space="preserve">Week </w:t>
      </w:r>
      <w:r>
        <w:t xml:space="preserve">26 imputed by LOCF as described in </w:t>
      </w:r>
      <w:hyperlink w:anchor="_Ref442690226" w:history="1">
        <w:r w:rsidR="00DC79D4" w:rsidRPr="00DC79D4">
          <w:rPr>
            <w:rStyle w:val="Hyperlink"/>
            <w:u w:val="none"/>
          </w:rPr>
          <w:t>Section</w:t>
        </w:r>
      </w:hyperlink>
      <w:r w:rsidR="00DC79D4">
        <w:t xml:space="preserve"> </w:t>
      </w:r>
      <w:r w:rsidR="00DC79D4">
        <w:fldChar w:fldCharType="begin"/>
      </w:r>
      <w:r w:rsidR="00DC79D4">
        <w:instrText xml:space="preserve"> REF _Ref442690226 \r \h </w:instrText>
      </w:r>
      <w:r w:rsidR="00DC79D4">
        <w:fldChar w:fldCharType="separate"/>
      </w:r>
      <w:r w:rsidR="005A26F6">
        <w:t>11.4.4.1</w:t>
      </w:r>
      <w:r w:rsidR="00DC79D4">
        <w:fldChar w:fldCharType="end"/>
      </w:r>
      <w:r>
        <w:t xml:space="preserve"> to compare </w:t>
      </w:r>
      <w:r w:rsidR="000E5BAE" w:rsidRPr="0006246E">
        <w:t>FRC</w:t>
      </w:r>
      <w:r w:rsidR="000E5BAE">
        <w:t xml:space="preserve"> </w:t>
      </w:r>
      <w:r>
        <w:t>with GLP-1 receptor agonist. This model will include fixed effect terms including treatment group (</w:t>
      </w:r>
      <w:r w:rsidR="000E5BAE" w:rsidRPr="0006246E">
        <w:t>FRC</w:t>
      </w:r>
      <w:r w:rsidR="000E5BAE">
        <w:t xml:space="preserve"> </w:t>
      </w:r>
      <w:r>
        <w:t>or GLP-1 receptor agonist), randomization strata of HbA</w:t>
      </w:r>
      <w:r w:rsidRPr="000D2553">
        <w:rPr>
          <w:vertAlign w:val="subscript"/>
        </w:rPr>
        <w:t>1c</w:t>
      </w:r>
      <w:r>
        <w:t xml:space="preserve"> (&lt;8%, ≥8%) at V1 (</w:t>
      </w:r>
      <w:r w:rsidR="0007161F">
        <w:t xml:space="preserve">Week </w:t>
      </w:r>
      <w:r>
        <w:t xml:space="preserve">-2), randomization strata of GLP-1 receptor agonist </w:t>
      </w:r>
      <w:r w:rsidRPr="0006246E">
        <w:t xml:space="preserve">subtype (once/twice daily formulations, once weekly formulations) </w:t>
      </w:r>
      <w:r>
        <w:t xml:space="preserve">at screening, and world region, and a covariate using the corresponding baseline value. Means and adjust means of each treatment group will be provided, as well as adjusted mean and associated two-sided 95% CI of the difference between treatment groups. The LOCF procedure will be used by taking the last available post-baseline on-treatment measurement (before the rescue medication is taken in the event of rescue therapy) as the value at </w:t>
      </w:r>
      <w:r w:rsidR="0007161F">
        <w:t xml:space="preserve">Week </w:t>
      </w:r>
      <w:r>
        <w:t>26.</w:t>
      </w:r>
    </w:p>
    <w:p w:rsidR="00D86238" w:rsidRDefault="00D86238" w:rsidP="00D86238">
      <w:r>
        <w:t xml:space="preserve">All categorical secondary efficacy endpoints defined in </w:t>
      </w:r>
      <w:hyperlink w:anchor="_Ref442690211" w:history="1">
        <w:r w:rsidR="00DC79D4" w:rsidRPr="00DC79D4">
          <w:rPr>
            <w:rStyle w:val="Hyperlink"/>
            <w:u w:val="none"/>
          </w:rPr>
          <w:t>Section</w:t>
        </w:r>
      </w:hyperlink>
      <w:r w:rsidR="00DC79D4">
        <w:t xml:space="preserve"> </w:t>
      </w:r>
      <w:r w:rsidR="00DC79D4">
        <w:fldChar w:fldCharType="begin"/>
      </w:r>
      <w:r w:rsidR="00DC79D4">
        <w:instrText xml:space="preserve"> REF _Ref442690211 \r \h </w:instrText>
      </w:r>
      <w:r w:rsidR="00DC79D4">
        <w:fldChar w:fldCharType="separate"/>
      </w:r>
      <w:r w:rsidR="005A26F6">
        <w:t>9.2.1</w:t>
      </w:r>
      <w:r w:rsidR="00DC79D4">
        <w:fldChar w:fldCharType="end"/>
      </w:r>
      <w:r>
        <w:t xml:space="preserve"> will be analyzed using a Cochran-Mantel-Haenszel (CMH) method stratified on randomization strata of HbA</w:t>
      </w:r>
      <w:r w:rsidRPr="000D2553">
        <w:rPr>
          <w:vertAlign w:val="subscript"/>
        </w:rPr>
        <w:t>1c</w:t>
      </w:r>
      <w:r>
        <w:t xml:space="preserve"> (&lt;8%, ≥8%) and randomization strata of </w:t>
      </w:r>
      <w:r w:rsidRPr="0006246E">
        <w:t xml:space="preserve">GLP-1 receptor agonist subtype (once/twice daily formulations, once weekly formulations) </w:t>
      </w:r>
      <w:r>
        <w:t xml:space="preserve">at screening visit (V1, </w:t>
      </w:r>
      <w:r w:rsidR="0007161F">
        <w:t xml:space="preserve">Week </w:t>
      </w:r>
      <w:r>
        <w:t>-2). The proportion in each treatment group will be provided, as well as the difference of proportions b</w:t>
      </w:r>
      <w:r w:rsidR="00BA3D0B">
        <w:t>etween groups with associated 2</w:t>
      </w:r>
      <w:r w:rsidR="00BA3D0B">
        <w:noBreakHyphen/>
      </w:r>
      <w:r>
        <w:t>sided 95% CI. For HbA</w:t>
      </w:r>
      <w:r w:rsidRPr="000D2553">
        <w:rPr>
          <w:vertAlign w:val="subscript"/>
        </w:rPr>
        <w:t>1c</w:t>
      </w:r>
      <w:r>
        <w:t xml:space="preserve"> responders at </w:t>
      </w:r>
      <w:r w:rsidR="0007161F">
        <w:t xml:space="preserve">Week </w:t>
      </w:r>
      <w:r>
        <w:t xml:space="preserve">26 (≤6.5%, &lt;7% respectively), patients who had </w:t>
      </w:r>
      <w:r>
        <w:lastRenderedPageBreak/>
        <w:t xml:space="preserve">no assessments at </w:t>
      </w:r>
      <w:r w:rsidR="0007161F">
        <w:t xml:space="preserve">Week </w:t>
      </w:r>
      <w:r>
        <w:t xml:space="preserve">26 during the on-treatment period will be treated as failures (non-responders) in the analysis, including those who discontinue study treatment before </w:t>
      </w:r>
      <w:r w:rsidR="0007161F">
        <w:t xml:space="preserve">Week </w:t>
      </w:r>
      <w:r>
        <w:t xml:space="preserve">26, start rescue medication before </w:t>
      </w:r>
      <w:r w:rsidR="0007161F">
        <w:t xml:space="preserve">Week </w:t>
      </w:r>
      <w:r>
        <w:t>26, or have no on-treatment assessments at all in mITT population.</w:t>
      </w:r>
    </w:p>
    <w:p w:rsidR="002F41EE" w:rsidRDefault="002F41EE">
      <w:pPr>
        <w:pStyle w:val="Heading4"/>
      </w:pPr>
      <w:bookmarkStart w:id="1118" w:name="_Toc128558686"/>
      <w:bookmarkStart w:id="1119" w:name="_Toc129597773"/>
      <w:bookmarkStart w:id="1120" w:name="_Toc130200223"/>
      <w:bookmarkStart w:id="1121" w:name="_Toc130368804"/>
      <w:bookmarkStart w:id="1122" w:name="_Toc130368934"/>
      <w:bookmarkStart w:id="1123" w:name="_Toc130703442"/>
      <w:bookmarkStart w:id="1124" w:name="_Toc227432130"/>
      <w:bookmarkStart w:id="1125" w:name="_Toc291062860"/>
      <w:bookmarkStart w:id="1126" w:name="_Toc291063067"/>
      <w:bookmarkStart w:id="1127" w:name="_Toc292103597"/>
      <w:bookmarkStart w:id="1128" w:name="_Toc382298151"/>
      <w:bookmarkStart w:id="1129" w:name="_Toc443035942"/>
      <w:r>
        <w:t xml:space="preserve">Multiplicity </w:t>
      </w:r>
      <w:bookmarkEnd w:id="1124"/>
      <w:bookmarkEnd w:id="1125"/>
      <w:bookmarkEnd w:id="1126"/>
      <w:bookmarkEnd w:id="1127"/>
      <w:r>
        <w:t>considerations</w:t>
      </w:r>
      <w:bookmarkEnd w:id="1128"/>
      <w:bookmarkEnd w:id="1129"/>
    </w:p>
    <w:p w:rsidR="00D86238" w:rsidRDefault="00D86238" w:rsidP="00D86238">
      <w:r>
        <w:t xml:space="preserve">To control the type I error, a step-down testing procedure (please see </w:t>
      </w:r>
      <w:r w:rsidRPr="00D86238">
        <w:rPr>
          <w:color w:val="0000FF"/>
        </w:rPr>
        <w:fldChar w:fldCharType="begin"/>
      </w:r>
      <w:r w:rsidRPr="00D86238">
        <w:rPr>
          <w:color w:val="0000FF"/>
        </w:rPr>
        <w:instrText xml:space="preserve"> REF _Ref434329960 \h  \* MERGEFORMAT </w:instrText>
      </w:r>
      <w:r w:rsidRPr="00D86238">
        <w:rPr>
          <w:color w:val="0000FF"/>
        </w:rPr>
      </w:r>
      <w:r w:rsidRPr="00D86238">
        <w:rPr>
          <w:color w:val="0000FF"/>
        </w:rPr>
        <w:fldChar w:fldCharType="separate"/>
      </w:r>
      <w:r w:rsidR="005A26F6" w:rsidRPr="005A26F6">
        <w:rPr>
          <w:color w:val="0000FF"/>
        </w:rPr>
        <w:t>Figure 1</w:t>
      </w:r>
      <w:r w:rsidRPr="00D86238">
        <w:rPr>
          <w:color w:val="0000FF"/>
        </w:rPr>
        <w:fldChar w:fldCharType="end"/>
      </w:r>
      <w:r>
        <w:t xml:space="preserve">) will be applied. </w:t>
      </w:r>
    </w:p>
    <w:p w:rsidR="00D86238" w:rsidRDefault="00D86238" w:rsidP="00D86238">
      <w:r>
        <w:t xml:space="preserve">For the primary efficacy endpoint (change from baseline to </w:t>
      </w:r>
      <w:r w:rsidR="0007161F">
        <w:t xml:space="preserve">Week </w:t>
      </w:r>
      <w:r>
        <w:t>26 in HbA</w:t>
      </w:r>
      <w:r w:rsidRPr="000D2553">
        <w:rPr>
          <w:vertAlign w:val="subscript"/>
        </w:rPr>
        <w:t>1c</w:t>
      </w:r>
      <w:r>
        <w:t xml:space="preserve">), no multiplicity adjustment is needed to control the Type I error since only one comparison of </w:t>
      </w:r>
      <w:r w:rsidR="000E5BAE" w:rsidRPr="0006246E">
        <w:t>FRC</w:t>
      </w:r>
      <w:r w:rsidR="000E5BAE">
        <w:t xml:space="preserve"> </w:t>
      </w:r>
      <w:r>
        <w:t>versus GLP-1 receptor agonist will be performed.</w:t>
      </w:r>
    </w:p>
    <w:p w:rsidR="00D86238" w:rsidRDefault="00D86238" w:rsidP="00D86238">
      <w:r>
        <w:t>If the primary variable is statistically significant at the 5% level, a hierarchical testing procedure will be performed to test the following secondary efficacy variables in the following prioritized order. Testing will stop when an endpoint is found not to be statistically significant at the 5% level:</w:t>
      </w:r>
    </w:p>
    <w:p w:rsidR="00D86238" w:rsidRDefault="00D86238" w:rsidP="00D86238">
      <w:pPr>
        <w:pStyle w:val="ListNumbered"/>
      </w:pPr>
      <w:r>
        <w:t>Percentage of patients reaching HbA</w:t>
      </w:r>
      <w:r w:rsidRPr="000D2553">
        <w:rPr>
          <w:vertAlign w:val="subscript"/>
        </w:rPr>
        <w:t>1c</w:t>
      </w:r>
      <w:r>
        <w:t xml:space="preserve"> &lt;7% at </w:t>
      </w:r>
      <w:r w:rsidR="0007161F">
        <w:t xml:space="preserve">Week </w:t>
      </w:r>
      <w:r>
        <w:t>26.</w:t>
      </w:r>
    </w:p>
    <w:p w:rsidR="00D86238" w:rsidRDefault="00D86238" w:rsidP="00D86238">
      <w:pPr>
        <w:pStyle w:val="ListNumbered"/>
      </w:pPr>
      <w:r>
        <w:t xml:space="preserve">Change in FPG from baseline to </w:t>
      </w:r>
      <w:r w:rsidR="0007161F">
        <w:t xml:space="preserve">Week </w:t>
      </w:r>
      <w:r>
        <w:t>26.</w:t>
      </w:r>
    </w:p>
    <w:p w:rsidR="00D86238" w:rsidRDefault="00D86238" w:rsidP="00D86238">
      <w:pPr>
        <w:pStyle w:val="ListNumbered"/>
      </w:pPr>
      <w:r>
        <w:t xml:space="preserve">Change in the daily average of the 7-point SMPG from baseline to </w:t>
      </w:r>
      <w:r w:rsidR="0007161F">
        <w:t xml:space="preserve">Week </w:t>
      </w:r>
      <w:r>
        <w:t>26.</w:t>
      </w:r>
    </w:p>
    <w:p w:rsidR="00D86238" w:rsidRDefault="00D86238" w:rsidP="00D86238">
      <w:pPr>
        <w:pStyle w:val="ListNumbered"/>
      </w:pPr>
      <w:r>
        <w:t xml:space="preserve">Change in 2-hour Post Prandial Glucose (PPG) and/or glucose excursion during the standardized meal test from baseline to </w:t>
      </w:r>
      <w:r w:rsidR="0007161F">
        <w:t xml:space="preserve">Week </w:t>
      </w:r>
      <w:r>
        <w:t>26.</w:t>
      </w:r>
    </w:p>
    <w:p w:rsidR="009B4C7A" w:rsidRDefault="00D86238" w:rsidP="00C522CD">
      <w:pPr>
        <w:pStyle w:val="Caption"/>
      </w:pPr>
      <w:bookmarkStart w:id="1130" w:name="_Ref434329960"/>
      <w:bookmarkStart w:id="1131" w:name="_Toc442096361"/>
      <w:bookmarkStart w:id="1132" w:name="_Toc443035983"/>
      <w:r>
        <w:lastRenderedPageBreak/>
        <w:t>Figure </w:t>
      </w:r>
      <w:r w:rsidR="0043198B">
        <w:fldChar w:fldCharType="begin"/>
      </w:r>
      <w:r w:rsidR="0043198B">
        <w:instrText xml:space="preserve"> SEQ Figure \* ARABIC </w:instrText>
      </w:r>
      <w:r w:rsidR="0043198B">
        <w:fldChar w:fldCharType="separate"/>
      </w:r>
      <w:r w:rsidR="0043198B">
        <w:rPr>
          <w:noProof/>
        </w:rPr>
        <w:t>1</w:t>
      </w:r>
      <w:r w:rsidR="0043198B">
        <w:fldChar w:fldCharType="end"/>
      </w:r>
      <w:bookmarkEnd w:id="1130"/>
      <w:r>
        <w:t xml:space="preserve"> - </w:t>
      </w:r>
      <w:r w:rsidRPr="00D86238">
        <w:t>The step-down testing procedure</w:t>
      </w:r>
      <w:bookmarkEnd w:id="1132"/>
    </w:p>
    <w:p w:rsidR="00D86238" w:rsidRDefault="0043198B" w:rsidP="00BA3D0B">
      <w:pPr>
        <w:spacing w:before="0"/>
        <w:jc w:val="center"/>
      </w:pPr>
      <w:r>
        <w:rPr>
          <w:noProof/>
          <w:lang w:eastAsia="zh-CN"/>
        </w:rPr>
        <w:drawing>
          <wp:inline distT="0" distB="0" distL="0" distR="0">
            <wp:extent cx="4517390" cy="4353560"/>
            <wp:effectExtent l="0" t="0" r="0" b="8890"/>
            <wp:docPr id="6" name="Grafik 8" descr="C:\Users\de012545\Desktop\Aleksandra Stjepanovic\EFC13794_Figure 1_multilicity 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C:\Users\de012545\Desktop\Aleksandra Stjepanovic\EFC13794_Figure 1_multilicity graph.jpg"/>
                    <pic:cNvPicPr>
                      <a:picLocks noChangeAspect="1" noChangeArrowheads="1"/>
                    </pic:cNvPicPr>
                  </pic:nvPicPr>
                  <pic:blipFill>
                    <a:blip r:embed="rId24" cstate="print">
                      <a:extLst>
                        <a:ext uri="{28A0092B-C50C-407E-A947-70E740481C1C}">
                          <a14:useLocalDpi xmlns:a14="http://schemas.microsoft.com/office/drawing/2010/main" val="0"/>
                        </a:ext>
                      </a:extLst>
                    </a:blip>
                    <a:srcRect l="9621" t="8650" r="13054" b="33818"/>
                    <a:stretch>
                      <a:fillRect/>
                    </a:stretch>
                  </pic:blipFill>
                  <pic:spPr bwMode="auto">
                    <a:xfrm>
                      <a:off x="0" y="0"/>
                      <a:ext cx="4517390" cy="4353560"/>
                    </a:xfrm>
                    <a:prstGeom prst="rect">
                      <a:avLst/>
                    </a:prstGeom>
                    <a:noFill/>
                    <a:ln>
                      <a:noFill/>
                    </a:ln>
                  </pic:spPr>
                </pic:pic>
              </a:graphicData>
            </a:graphic>
          </wp:inline>
        </w:drawing>
      </w:r>
      <w:bookmarkEnd w:id="1131"/>
    </w:p>
    <w:p w:rsidR="008F322E" w:rsidRPr="008F322E" w:rsidRDefault="002F41EE" w:rsidP="008F322E">
      <w:pPr>
        <w:pStyle w:val="Heading3"/>
      </w:pPr>
      <w:bookmarkStart w:id="1133" w:name="_Toc227432131"/>
      <w:bookmarkStart w:id="1134" w:name="_Toc291062861"/>
      <w:bookmarkStart w:id="1135" w:name="_Toc291063068"/>
      <w:bookmarkStart w:id="1136" w:name="_Toc292103598"/>
      <w:bookmarkStart w:id="1137" w:name="_Toc382298152"/>
      <w:bookmarkStart w:id="1138" w:name="_Toc443035943"/>
      <w:r>
        <w:t>Analyses of safety data</w:t>
      </w:r>
      <w:bookmarkEnd w:id="1118"/>
      <w:bookmarkEnd w:id="1119"/>
      <w:bookmarkEnd w:id="1120"/>
      <w:bookmarkEnd w:id="1121"/>
      <w:bookmarkEnd w:id="1122"/>
      <w:bookmarkEnd w:id="1123"/>
      <w:bookmarkEnd w:id="1133"/>
      <w:bookmarkEnd w:id="1134"/>
      <w:bookmarkEnd w:id="1135"/>
      <w:bookmarkEnd w:id="1136"/>
      <w:bookmarkEnd w:id="1137"/>
      <w:bookmarkEnd w:id="1138"/>
    </w:p>
    <w:p w:rsidR="00260841" w:rsidRDefault="00260841" w:rsidP="002B1CBC">
      <w:r>
        <w:t xml:space="preserve">See </w:t>
      </w:r>
      <w:hyperlink w:anchor="_Ref298260017" w:history="1">
        <w:r w:rsidR="00DC79D4" w:rsidRPr="00DC79D4">
          <w:rPr>
            <w:rStyle w:val="Hyperlink"/>
            <w:u w:val="none"/>
          </w:rPr>
          <w:t>Section</w:t>
        </w:r>
      </w:hyperlink>
      <w:r w:rsidR="00DC79D4">
        <w:t xml:space="preserve"> </w:t>
      </w:r>
      <w:r w:rsidR="00DC79D4">
        <w:fldChar w:fldCharType="begin"/>
      </w:r>
      <w:r w:rsidR="00DC79D4">
        <w:instrText xml:space="preserve"> REF _Ref298260017 \r \h </w:instrText>
      </w:r>
      <w:r w:rsidR="00DC79D4">
        <w:fldChar w:fldCharType="separate"/>
      </w:r>
      <w:r w:rsidR="005A26F6">
        <w:t>9.2.2</w:t>
      </w:r>
      <w:r w:rsidR="00DC79D4">
        <w:fldChar w:fldCharType="end"/>
      </w:r>
      <w:r>
        <w:t>.</w:t>
      </w:r>
    </w:p>
    <w:p w:rsidR="002B1CBC" w:rsidRDefault="002B1CBC" w:rsidP="002B1CBC">
      <w:r>
        <w:t xml:space="preserve">The summary of safety results will be presented by treatment group. </w:t>
      </w:r>
    </w:p>
    <w:p w:rsidR="002B1CBC" w:rsidRDefault="002B1CBC" w:rsidP="002B1CBC">
      <w:r>
        <w:t xml:space="preserve">All safety analyses will be performed on the safety population as defined in </w:t>
      </w:r>
      <w:hyperlink w:anchor="_Ref442690267" w:history="1">
        <w:r w:rsidR="00DC79D4" w:rsidRPr="00DC79D4">
          <w:rPr>
            <w:rStyle w:val="Hyperlink"/>
            <w:u w:val="none"/>
          </w:rPr>
          <w:t>Section</w:t>
        </w:r>
      </w:hyperlink>
      <w:r w:rsidR="00DC79D4">
        <w:t xml:space="preserve"> </w:t>
      </w:r>
      <w:r w:rsidR="00DC79D4">
        <w:fldChar w:fldCharType="begin"/>
      </w:r>
      <w:r w:rsidR="00DC79D4">
        <w:instrText xml:space="preserve"> REF _Ref442690267 \r \h </w:instrText>
      </w:r>
      <w:r w:rsidR="00DC79D4">
        <w:fldChar w:fldCharType="separate"/>
      </w:r>
      <w:r w:rsidR="005A26F6">
        <w:t>11.3.2</w:t>
      </w:r>
      <w:r w:rsidR="00DC79D4">
        <w:fldChar w:fldCharType="end"/>
      </w:r>
      <w:r>
        <w:t xml:space="preserve"> using the following common rules:</w:t>
      </w:r>
    </w:p>
    <w:p w:rsidR="002B1CBC" w:rsidRDefault="002B1CBC" w:rsidP="002B1CBC">
      <w:r>
        <w:t>The baseline value is defined as the last available value prior to the first injection of open-label IMP.</w:t>
      </w:r>
    </w:p>
    <w:p w:rsidR="002B1CBC" w:rsidRDefault="002B1CBC" w:rsidP="002B1CBC">
      <w:r>
        <w:t>The following definitions will be applied to laboratory parameters and vital signs.</w:t>
      </w:r>
    </w:p>
    <w:p w:rsidR="002B1CBC" w:rsidRDefault="002B1CBC" w:rsidP="00CC67B4">
      <w:pPr>
        <w:pStyle w:val="ListBulletLevel1"/>
        <w:numPr>
          <w:ilvl w:val="0"/>
          <w:numId w:val="159"/>
        </w:numPr>
      </w:pPr>
      <w:r>
        <w:t>The potentially clinically significant abnormality (PCSA</w:t>
      </w:r>
      <w:r w:rsidR="007A4FE1">
        <w:fldChar w:fldCharType="begin"/>
      </w:r>
      <w:r w:rsidR="007A4FE1">
        <w:instrText xml:space="preserve"> XE "</w:instrText>
      </w:r>
      <w:r w:rsidR="007A4FE1" w:rsidRPr="007A4FE1">
        <w:instrText xml:space="preserve"> </w:instrText>
      </w:r>
      <w:r w:rsidR="00260841">
        <w:instrText>PCSA " \f Abbreviation \t "p</w:instrText>
      </w:r>
      <w:r w:rsidR="007A4FE1">
        <w:instrText xml:space="preserve">otentially clinically significant abnormality" </w:instrText>
      </w:r>
      <w:r w:rsidR="007A4FE1">
        <w:fldChar w:fldCharType="end"/>
      </w:r>
      <w:r>
        <w:t>) values for clinical laboratory tests and vital signs are defined as abnormal values considered medically important by Sponsor’s Global Pharmacovigilance and Epidemiology department and in effect at the time of the final SAP approval. PCSA criteria for parameters not cited in the protocol as safety parameters will not be analyzed;</w:t>
      </w:r>
    </w:p>
    <w:p w:rsidR="002B1CBC" w:rsidRDefault="002B1CBC" w:rsidP="00CC67B4">
      <w:pPr>
        <w:pStyle w:val="ListBulletLevel1"/>
        <w:numPr>
          <w:ilvl w:val="0"/>
          <w:numId w:val="159"/>
        </w:numPr>
      </w:pPr>
      <w:r>
        <w:lastRenderedPageBreak/>
        <w:t>PCSA criteria will determine which patients had at least 1 PCSA during the on-treatment period, taking into account all evaluations performed during the on-treatment period, including unscheduled or repeated evaluations. The number of all such patients will be the numerator for the on-treatment PCSA percentage.</w:t>
      </w:r>
    </w:p>
    <w:p w:rsidR="002B1CBC" w:rsidRDefault="002B1CBC" w:rsidP="002B1CBC">
      <w:r>
        <w:t xml:space="preserve">The “observation period” defined in </w:t>
      </w:r>
      <w:hyperlink w:anchor="_Ref442280590" w:history="1">
        <w:r w:rsidR="00DC79D4" w:rsidRPr="00DC79D4">
          <w:rPr>
            <w:rStyle w:val="Hyperlink"/>
            <w:u w:val="none"/>
          </w:rPr>
          <w:t>Section</w:t>
        </w:r>
      </w:hyperlink>
      <w:r w:rsidR="00DC79D4">
        <w:t xml:space="preserve"> </w:t>
      </w:r>
      <w:r w:rsidR="00DC79D4">
        <w:fldChar w:fldCharType="begin"/>
      </w:r>
      <w:r w:rsidR="00DC79D4">
        <w:instrText xml:space="preserve"> REF _Ref442280590 \r \h </w:instrText>
      </w:r>
      <w:r w:rsidR="00DC79D4">
        <w:fldChar w:fldCharType="separate"/>
      </w:r>
      <w:r w:rsidR="005A26F6">
        <w:t>9.2.1.1</w:t>
      </w:r>
      <w:r w:rsidR="00DC79D4">
        <w:fldChar w:fldCharType="end"/>
      </w:r>
      <w:r>
        <w:t xml:space="preserve"> are applicable for classification of symptomatic hypoglycemia, AEs, determination of on-treatment PCSA values and the last on-treatment value for the laboratory, vital sign and ECG parameters.</w:t>
      </w:r>
    </w:p>
    <w:p w:rsidR="008F322E" w:rsidRPr="008F322E" w:rsidRDefault="00533EF5" w:rsidP="008F322E">
      <w:pPr>
        <w:pStyle w:val="Heading4"/>
      </w:pPr>
      <w:bookmarkStart w:id="1139" w:name="_Toc443035944"/>
      <w:r w:rsidRPr="00533EF5">
        <w:t>Analyses of symptomatic hypoglycemia</w:t>
      </w:r>
      <w:bookmarkEnd w:id="1139"/>
    </w:p>
    <w:p w:rsidR="00CE4A1E" w:rsidRDefault="00CE4A1E" w:rsidP="00533EF5">
      <w:r>
        <w:t xml:space="preserve">See </w:t>
      </w:r>
      <w:hyperlink w:anchor="_Ref434493038" w:history="1">
        <w:r w:rsidR="00DC79D4" w:rsidRPr="00DC79D4">
          <w:rPr>
            <w:rStyle w:val="Hyperlink"/>
            <w:u w:val="none"/>
          </w:rPr>
          <w:t>Section</w:t>
        </w:r>
      </w:hyperlink>
      <w:r w:rsidR="00DC79D4">
        <w:t xml:space="preserve"> </w:t>
      </w:r>
      <w:r w:rsidR="00DC79D4">
        <w:fldChar w:fldCharType="begin"/>
      </w:r>
      <w:r w:rsidR="00DC79D4">
        <w:instrText xml:space="preserve"> REF _Ref434493038 \r \h </w:instrText>
      </w:r>
      <w:r w:rsidR="00DC79D4">
        <w:fldChar w:fldCharType="separate"/>
      </w:r>
      <w:r w:rsidR="005A26F6">
        <w:t>10.6.1</w:t>
      </w:r>
      <w:r w:rsidR="00DC79D4">
        <w:fldChar w:fldCharType="end"/>
      </w:r>
      <w:r>
        <w:t>.</w:t>
      </w:r>
    </w:p>
    <w:p w:rsidR="00533EF5" w:rsidRDefault="00533EF5" w:rsidP="00533EF5">
      <w:r w:rsidRPr="00533EF5">
        <w:t>The number (%) of patients and event rate in patient years (2 types: the number of patients with events or the total number of events per 100 patient-year) of each type of symptomatic hypoglycemia (severe, documented and probable symptomatic hypoglycemia) will be summarized by treatment group. The pattern of symptomatic hypoglycemia occurrence over time will also be assessed, as appropriate.</w:t>
      </w:r>
    </w:p>
    <w:p w:rsidR="00533EF5" w:rsidRDefault="00533EF5" w:rsidP="00533EF5">
      <w:pPr>
        <w:pStyle w:val="Heading4"/>
      </w:pPr>
      <w:bookmarkStart w:id="1140" w:name="_Toc443035945"/>
      <w:r w:rsidRPr="00533EF5">
        <w:t>Analyses of adverse events</w:t>
      </w:r>
      <w:bookmarkEnd w:id="1140"/>
    </w:p>
    <w:p w:rsidR="00533EF5" w:rsidRDefault="00533EF5" w:rsidP="00533EF5">
      <w:r w:rsidRPr="00533EF5">
        <w:rPr>
          <w:b/>
        </w:rPr>
        <w:t>Pre-treatment AEs</w:t>
      </w:r>
      <w:r>
        <w:t xml:space="preserve"> are AEs that developed or worsened or became serious pre-treatment period.</w:t>
      </w:r>
    </w:p>
    <w:p w:rsidR="00533EF5" w:rsidRDefault="00533EF5" w:rsidP="00533EF5">
      <w:r w:rsidRPr="00533EF5">
        <w:rPr>
          <w:b/>
        </w:rPr>
        <w:t>Treatment-emergent AEs</w:t>
      </w:r>
      <w:r>
        <w:t xml:space="preserve"> (TEAEs) are AEs that developed or worsened (according to the Investigator’s opinion) or became serious during the on-treatment period.</w:t>
      </w:r>
    </w:p>
    <w:p w:rsidR="00533EF5" w:rsidRDefault="00533EF5" w:rsidP="00533EF5">
      <w:r w:rsidRPr="00533EF5">
        <w:rPr>
          <w:b/>
        </w:rPr>
        <w:t>Post-treatment AEs</w:t>
      </w:r>
      <w:r>
        <w:t xml:space="preserve"> are AEs that developed or worsened or became serious during the post-treatment period.</w:t>
      </w:r>
    </w:p>
    <w:p w:rsidR="00533EF5" w:rsidRDefault="00533EF5" w:rsidP="00533EF5">
      <w:r>
        <w:t>The primary focus of AE reporting in the CSR will be on TEAEs. Pre- and post-treatment AEs will be described separately.</w:t>
      </w:r>
    </w:p>
    <w:p w:rsidR="00533EF5" w:rsidRPr="00533EF5" w:rsidRDefault="00533EF5" w:rsidP="00533EF5">
      <w:pPr>
        <w:rPr>
          <w:b/>
        </w:rPr>
      </w:pPr>
      <w:r w:rsidRPr="00533EF5">
        <w:rPr>
          <w:b/>
        </w:rPr>
        <w:t>All adverse events</w:t>
      </w:r>
    </w:p>
    <w:p w:rsidR="00533EF5" w:rsidRDefault="00533EF5" w:rsidP="00533EF5">
      <w:r>
        <w:t>Adverse event incidence tables will present by system organ class (SOC) (sorted by internationally agreed order), high-level group term (HLGT</w:t>
      </w:r>
      <w:r w:rsidR="00803348">
        <w:fldChar w:fldCharType="begin"/>
      </w:r>
      <w:r w:rsidR="00803348">
        <w:instrText xml:space="preserve"> XE "</w:instrText>
      </w:r>
      <w:r w:rsidR="00803348" w:rsidRPr="00803348">
        <w:instrText xml:space="preserve"> </w:instrText>
      </w:r>
      <w:r w:rsidR="00260841">
        <w:instrText>HLGT " \f Abbreviation \t "h</w:instrText>
      </w:r>
      <w:r w:rsidR="00803348">
        <w:instrText xml:space="preserve">igh level group term" </w:instrText>
      </w:r>
      <w:r w:rsidR="00803348">
        <w:fldChar w:fldCharType="end"/>
      </w:r>
      <w:r>
        <w:t>), high level term (HLT) and preferred term (PT</w:t>
      </w:r>
      <w:r w:rsidR="00803348">
        <w:fldChar w:fldCharType="begin"/>
      </w:r>
      <w:r w:rsidR="00803348">
        <w:instrText xml:space="preserve"> XE "</w:instrText>
      </w:r>
      <w:r w:rsidR="00803348" w:rsidRPr="00803348">
        <w:instrText xml:space="preserve"> </w:instrText>
      </w:r>
      <w:r w:rsidR="00260841">
        <w:instrText>PT " \f Abbreviation \t "p</w:instrText>
      </w:r>
      <w:r w:rsidR="00803348">
        <w:instrText xml:space="preserve">referred term" </w:instrText>
      </w:r>
      <w:r w:rsidR="00803348">
        <w:fldChar w:fldCharType="end"/>
      </w:r>
      <w:r>
        <w:t>) sorted in alphabetical order for each treatment group, the number (n) and percentage (%) of patients experiencing an AE. Multiple occurrences of the same event in the same patient will be counted only once in the tables within a treatment phase. The denominator for computation of percentages is the safety populat</w:t>
      </w:r>
      <w:r w:rsidR="0006246E">
        <w:t>ion within each treatment group.</w:t>
      </w:r>
    </w:p>
    <w:p w:rsidR="00533EF5" w:rsidRDefault="00533EF5" w:rsidP="00533EF5">
      <w:r>
        <w:t>Summaries of all TEAEs in each treatment group will include:</w:t>
      </w:r>
    </w:p>
    <w:p w:rsidR="00533EF5" w:rsidRDefault="00533EF5" w:rsidP="00CC67B4">
      <w:pPr>
        <w:pStyle w:val="ListBulletLevel1"/>
        <w:numPr>
          <w:ilvl w:val="0"/>
          <w:numId w:val="160"/>
        </w:numPr>
      </w:pPr>
      <w:r>
        <w:t xml:space="preserve">The overview of AEs, summarizing number (%) of patients with any </w:t>
      </w:r>
    </w:p>
    <w:p w:rsidR="00533EF5" w:rsidRDefault="00533EF5" w:rsidP="00CC67B4">
      <w:pPr>
        <w:pStyle w:val="ListBulletLevel2"/>
        <w:numPr>
          <w:ilvl w:val="0"/>
          <w:numId w:val="161"/>
        </w:numPr>
      </w:pPr>
      <w:r>
        <w:t>TEAE;</w:t>
      </w:r>
    </w:p>
    <w:p w:rsidR="00533EF5" w:rsidRDefault="00533EF5" w:rsidP="00CC67B4">
      <w:pPr>
        <w:pStyle w:val="ListBulletLevel2"/>
        <w:numPr>
          <w:ilvl w:val="0"/>
          <w:numId w:val="161"/>
        </w:numPr>
      </w:pPr>
      <w:r>
        <w:t>serious TEAE;</w:t>
      </w:r>
    </w:p>
    <w:p w:rsidR="00533EF5" w:rsidRDefault="00533EF5" w:rsidP="00CC67B4">
      <w:pPr>
        <w:pStyle w:val="ListBulletLevel2"/>
        <w:numPr>
          <w:ilvl w:val="0"/>
          <w:numId w:val="161"/>
        </w:numPr>
      </w:pPr>
      <w:r>
        <w:lastRenderedPageBreak/>
        <w:t>TEAE leading to death;</w:t>
      </w:r>
    </w:p>
    <w:p w:rsidR="00533EF5" w:rsidRDefault="00533EF5" w:rsidP="00CC67B4">
      <w:pPr>
        <w:pStyle w:val="ListBulletLevel2"/>
        <w:numPr>
          <w:ilvl w:val="0"/>
          <w:numId w:val="161"/>
        </w:numPr>
      </w:pPr>
      <w:r>
        <w:t>TEAE leading to permanent treatment discontinuation;</w:t>
      </w:r>
    </w:p>
    <w:p w:rsidR="00533EF5" w:rsidRDefault="00533EF5" w:rsidP="00CC67B4">
      <w:pPr>
        <w:pStyle w:val="ListBulletLevel1"/>
        <w:numPr>
          <w:ilvl w:val="0"/>
          <w:numId w:val="162"/>
        </w:numPr>
      </w:pPr>
      <w:r>
        <w:t>The number (n) and percentage (%) of patients with at least one AE by primary SOC, HLGT, HLT and PT;</w:t>
      </w:r>
    </w:p>
    <w:p w:rsidR="00533EF5" w:rsidRDefault="00533EF5" w:rsidP="00CC67B4">
      <w:pPr>
        <w:pStyle w:val="ListBulletLevel1"/>
        <w:numPr>
          <w:ilvl w:val="0"/>
          <w:numId w:val="162"/>
        </w:numPr>
      </w:pPr>
      <w:r>
        <w:t>Summary of TEAEs by maximal severity (severe, moderate, mild), presented by primary SOC and PT;</w:t>
      </w:r>
    </w:p>
    <w:p w:rsidR="00533EF5" w:rsidRDefault="00533EF5" w:rsidP="00CC67B4">
      <w:pPr>
        <w:pStyle w:val="ListBulletLevel1"/>
        <w:numPr>
          <w:ilvl w:val="0"/>
          <w:numId w:val="163"/>
        </w:numPr>
      </w:pPr>
      <w:r>
        <w:t>Summary of TEAEs possibly related to open-label IMP, presented by primary SOC and PT.</w:t>
      </w:r>
    </w:p>
    <w:p w:rsidR="00533EF5" w:rsidRDefault="00533EF5" w:rsidP="00533EF5">
      <w:r>
        <w:t>A detailed listing of TEAE summaries will be provided in the statistical analysis plan.</w:t>
      </w:r>
    </w:p>
    <w:p w:rsidR="00533EF5" w:rsidRPr="00533EF5" w:rsidRDefault="00533EF5" w:rsidP="00533EF5">
      <w:pPr>
        <w:rPr>
          <w:b/>
        </w:rPr>
      </w:pPr>
      <w:r w:rsidRPr="00533EF5">
        <w:rPr>
          <w:b/>
        </w:rPr>
        <w:t>Death and serious adverse events</w:t>
      </w:r>
    </w:p>
    <w:p w:rsidR="00533EF5" w:rsidRDefault="00533EF5" w:rsidP="00533EF5">
      <w:r>
        <w:t>Death and treatment-emergent SAEs will be summarized and presented as number and percent of patients in each treatment group.</w:t>
      </w:r>
    </w:p>
    <w:p w:rsidR="00533EF5" w:rsidRDefault="00533EF5" w:rsidP="00533EF5">
      <w:r>
        <w:t>The following deaths summaries will be generated:</w:t>
      </w:r>
    </w:p>
    <w:p w:rsidR="00533EF5" w:rsidRDefault="00533EF5" w:rsidP="00CC67B4">
      <w:pPr>
        <w:pStyle w:val="ListBulletLevel1"/>
        <w:numPr>
          <w:ilvl w:val="0"/>
          <w:numId w:val="164"/>
        </w:numPr>
      </w:pPr>
      <w:r>
        <w:t>Number (%) of patients who died by study period (TEAE, on-study) summarized on the safety population by treatment received;</w:t>
      </w:r>
    </w:p>
    <w:p w:rsidR="00533EF5" w:rsidRDefault="00533EF5" w:rsidP="00CC67B4">
      <w:pPr>
        <w:pStyle w:val="ListBulletLevel1"/>
        <w:numPr>
          <w:ilvl w:val="0"/>
          <w:numId w:val="164"/>
        </w:numPr>
      </w:pPr>
      <w:r>
        <w:t>Death in nonrandomized or randomized and not treated patients;</w:t>
      </w:r>
    </w:p>
    <w:p w:rsidR="00533EF5" w:rsidRDefault="00533EF5" w:rsidP="00CC67B4">
      <w:pPr>
        <w:pStyle w:val="ListBulletLevel1"/>
        <w:numPr>
          <w:ilvl w:val="0"/>
          <w:numId w:val="164"/>
        </w:numPr>
      </w:pPr>
      <w:r>
        <w:t xml:space="preserve">TEAE leading to death (death as an outcome on the AE e-CRF page as reported by the Investigator) by primary SOC, HLGT, HLT and PT showing number (%) of patients sorted by internationally agreed order of SOC and alphabetic order of HLGT, HLT, and PT. </w:t>
      </w:r>
    </w:p>
    <w:p w:rsidR="00533EF5" w:rsidRPr="00533EF5" w:rsidRDefault="00533EF5" w:rsidP="00BA3D0B">
      <w:pPr>
        <w:keepNext/>
        <w:rPr>
          <w:b/>
        </w:rPr>
      </w:pPr>
      <w:r w:rsidRPr="00533EF5">
        <w:rPr>
          <w:b/>
        </w:rPr>
        <w:t>Adverse events leading to permanent treatment discontinuation</w:t>
      </w:r>
    </w:p>
    <w:p w:rsidR="00533EF5" w:rsidRDefault="00533EF5" w:rsidP="00533EF5">
      <w:r>
        <w:t>TEAEs leading to permanent treatment discontinuation will be summarized and presented as number and percent of patients in each treatment group.</w:t>
      </w:r>
    </w:p>
    <w:p w:rsidR="00533EF5" w:rsidRPr="00533EF5" w:rsidRDefault="00533EF5" w:rsidP="00533EF5">
      <w:pPr>
        <w:rPr>
          <w:b/>
        </w:rPr>
      </w:pPr>
      <w:r w:rsidRPr="00533EF5">
        <w:rPr>
          <w:b/>
        </w:rPr>
        <w:t>Local tolerability at injection site</w:t>
      </w:r>
    </w:p>
    <w:p w:rsidR="00533EF5" w:rsidRDefault="00533EF5" w:rsidP="00533EF5">
      <w:r>
        <w:t>AEs related to local intolerability at the injection site will be identified by searching the term “injection site” in either the PTs coded from the Investigator reported terms or the PTs coded from the ARAC diagnosis terms. The number (%) of patients with related events will be summarized by treatment group.</w:t>
      </w:r>
    </w:p>
    <w:p w:rsidR="00533EF5" w:rsidRPr="00533EF5" w:rsidRDefault="00533EF5" w:rsidP="00533EF5">
      <w:pPr>
        <w:rPr>
          <w:b/>
        </w:rPr>
      </w:pPr>
      <w:r w:rsidRPr="00533EF5">
        <w:rPr>
          <w:b/>
        </w:rPr>
        <w:t>Allergic reactions</w:t>
      </w:r>
    </w:p>
    <w:p w:rsidR="00533EF5" w:rsidRDefault="00533EF5" w:rsidP="00533EF5">
      <w:r>
        <w:t>The number (%) of patients with events adjudicated as allergic reactions by ARAC and with events adjudicated by ARAC as possibly related to the IMP will be summarized by treatment group. All the allergic events reported by the Investigators on the AE form for suspected allergic event and its associated complementary forms (confirmed or not confirmed by ARAC) will be listed.</w:t>
      </w:r>
    </w:p>
    <w:p w:rsidR="00533EF5" w:rsidRPr="00533EF5" w:rsidRDefault="00533EF5" w:rsidP="00533EF5">
      <w:pPr>
        <w:rPr>
          <w:b/>
        </w:rPr>
      </w:pPr>
      <w:r w:rsidRPr="00533EF5">
        <w:rPr>
          <w:b/>
        </w:rPr>
        <w:lastRenderedPageBreak/>
        <w:t>Pancreatic-related events</w:t>
      </w:r>
    </w:p>
    <w:p w:rsidR="00533EF5" w:rsidRDefault="00533EF5" w:rsidP="00CC67B4">
      <w:pPr>
        <w:pStyle w:val="ListBulletLevel1"/>
        <w:numPr>
          <w:ilvl w:val="0"/>
          <w:numId w:val="165"/>
        </w:numPr>
      </w:pPr>
      <w:r>
        <w:t xml:space="preserve">Increased pancreatic enzymes &gt;2 times ULN </w:t>
      </w:r>
    </w:p>
    <w:p w:rsidR="00533EF5" w:rsidRDefault="00533EF5" w:rsidP="00CC67B4">
      <w:pPr>
        <w:pStyle w:val="ListBulletLevel2"/>
        <w:numPr>
          <w:ilvl w:val="0"/>
          <w:numId w:val="166"/>
        </w:numPr>
      </w:pPr>
      <w:r>
        <w:t>The number (%) of patients with events reported on the AE form for increased lipase and/or amylase &gt;2 times ULN and its associated complementary forms will be summarized by PTs for each treatment group, sorted by decreasing incidence of PT.</w:t>
      </w:r>
    </w:p>
    <w:p w:rsidR="00533EF5" w:rsidRDefault="00533EF5" w:rsidP="00CC67B4">
      <w:pPr>
        <w:pStyle w:val="ListBulletLevel2"/>
        <w:numPr>
          <w:ilvl w:val="0"/>
          <w:numId w:val="167"/>
        </w:numPr>
      </w:pPr>
      <w:r>
        <w:t>The number (%) of patients with events positively adjudicated as pancreatitis by the PSAC will be summarized by type: 1) acute pancreatitis, 2) acute exacerbation of chronic pancreatitis, 3) chronic pancreatitis, 4) unknown pancreatitis. All events sent to PSAC for adjudication of pancreatitis (ie, events reported on the AE form for increased lipase and/or amylase&gt;2 times ULN) will be listed along with the adjudication outcome.</w:t>
      </w:r>
    </w:p>
    <w:p w:rsidR="00533EF5" w:rsidRDefault="00533EF5" w:rsidP="00CC67B4">
      <w:pPr>
        <w:pStyle w:val="ListBulletLevel1"/>
        <w:numPr>
          <w:ilvl w:val="0"/>
          <w:numId w:val="168"/>
        </w:numPr>
      </w:pPr>
      <w:r>
        <w:t xml:space="preserve">Pancreatic neoplasm </w:t>
      </w:r>
    </w:p>
    <w:p w:rsidR="00533EF5" w:rsidRDefault="00533EF5" w:rsidP="00CC67B4">
      <w:pPr>
        <w:pStyle w:val="ListBulletLevel2"/>
        <w:numPr>
          <w:ilvl w:val="0"/>
          <w:numId w:val="169"/>
        </w:numPr>
      </w:pPr>
      <w:r>
        <w:t>All the events sent to PSAC for adjudication for pancreatic neoplasm will be listed along with the adjudication outcome including PSAC diagnosis, type of neoplasm (malignant, benign, not determined), cancer stage and causal relationship to the study drug (related, possibly related, unlikely related, not related)</w:t>
      </w:r>
      <w:r w:rsidR="00E37F9A">
        <w:t>,</w:t>
      </w:r>
      <w:r>
        <w:t xml:space="preserve"> etc.</w:t>
      </w:r>
    </w:p>
    <w:p w:rsidR="00533EF5" w:rsidRPr="006A2DE9" w:rsidRDefault="00533EF5" w:rsidP="00533EF5">
      <w:pPr>
        <w:rPr>
          <w:b/>
        </w:rPr>
      </w:pPr>
      <w:r w:rsidRPr="006A2DE9">
        <w:rPr>
          <w:b/>
        </w:rPr>
        <w:t>Increased calcitonin</w:t>
      </w:r>
    </w:p>
    <w:p w:rsidR="00533EF5" w:rsidRDefault="00533EF5" w:rsidP="00533EF5">
      <w:r>
        <w:t>The number (%) of patients with events reported on the AE fo</w:t>
      </w:r>
      <w:r w:rsidR="00E37F9A">
        <w:t>rm for increased calcitonin ≥20 </w:t>
      </w:r>
      <w:r>
        <w:t>pg/mL and its associated complementary forms will be summarized by PTs for each treatment group.</w:t>
      </w:r>
    </w:p>
    <w:p w:rsidR="00533EF5" w:rsidRPr="006A2DE9" w:rsidRDefault="00533EF5" w:rsidP="00BA3D0B">
      <w:pPr>
        <w:keepNext/>
        <w:rPr>
          <w:b/>
        </w:rPr>
      </w:pPr>
      <w:r w:rsidRPr="006A2DE9">
        <w:rPr>
          <w:b/>
        </w:rPr>
        <w:t>ALT increase</w:t>
      </w:r>
    </w:p>
    <w:p w:rsidR="00533EF5" w:rsidRDefault="00533EF5" w:rsidP="00533EF5">
      <w:r>
        <w:t>The number (%) of patients with events reported on the AE form for ALT increase and its associated complementary forms will be summarized by PT for each treatment group.</w:t>
      </w:r>
    </w:p>
    <w:p w:rsidR="00533EF5" w:rsidRPr="006A2DE9" w:rsidRDefault="00533EF5" w:rsidP="00533EF5">
      <w:pPr>
        <w:rPr>
          <w:b/>
        </w:rPr>
      </w:pPr>
      <w:r w:rsidRPr="006A2DE9">
        <w:rPr>
          <w:b/>
        </w:rPr>
        <w:t>Pen-related events</w:t>
      </w:r>
    </w:p>
    <w:p w:rsidR="00533EF5" w:rsidRPr="00533EF5" w:rsidRDefault="00533EF5" w:rsidP="00533EF5">
      <w:r>
        <w:t>The number (%) of patients with events reported on pen-related event questionnaire will be summarized for each treatment group along with 2 subcategories, events associated with a clinical event (either symptomatic hypoglycemic event or adverse event) and events not associated with clinical event. The number of events and rates in patient year will also be summarized as appropriate. In addition, a listing of patients with those events will be provided.</w:t>
      </w:r>
    </w:p>
    <w:p w:rsidR="008F322E" w:rsidRPr="008F322E" w:rsidRDefault="006A2DE9" w:rsidP="008F322E">
      <w:pPr>
        <w:pStyle w:val="Heading4"/>
      </w:pPr>
      <w:bookmarkStart w:id="1141" w:name="_Toc443035946"/>
      <w:r w:rsidRPr="006A2DE9">
        <w:t>Analyses of laboratory variables</w:t>
      </w:r>
      <w:bookmarkEnd w:id="1141"/>
    </w:p>
    <w:p w:rsidR="00CE4A1E" w:rsidRDefault="00CE4A1E" w:rsidP="006A2DE9">
      <w:r>
        <w:t xml:space="preserve">See </w:t>
      </w:r>
      <w:hyperlink w:anchor="_Ref442690308" w:history="1">
        <w:r w:rsidR="00DC79D4" w:rsidRPr="00DC79D4">
          <w:rPr>
            <w:rStyle w:val="Hyperlink"/>
            <w:u w:val="none"/>
          </w:rPr>
          <w:t>Section</w:t>
        </w:r>
      </w:hyperlink>
      <w:r w:rsidR="00DC79D4">
        <w:t xml:space="preserve"> </w:t>
      </w:r>
      <w:r w:rsidR="00DC79D4">
        <w:fldChar w:fldCharType="begin"/>
      </w:r>
      <w:r w:rsidR="00DC79D4">
        <w:instrText xml:space="preserve"> REF _Ref442690308 \r \h </w:instrText>
      </w:r>
      <w:r w:rsidR="00DC79D4">
        <w:fldChar w:fldCharType="separate"/>
      </w:r>
      <w:r w:rsidR="005A26F6">
        <w:t>9.2.2.3</w:t>
      </w:r>
      <w:r w:rsidR="00DC79D4">
        <w:fldChar w:fldCharType="end"/>
      </w:r>
      <w:r>
        <w:t>.</w:t>
      </w:r>
    </w:p>
    <w:p w:rsidR="006A2DE9" w:rsidRDefault="006A2DE9" w:rsidP="006A2DE9">
      <w:r>
        <w:t>The number (%) of patients with PCSA at any evaluation during the on-treatment period will be summarized for each clinical laboratory test within each treatment group. The summaries will include patients in the safety population who have at least one laboratory test performed during the on-treatment period and, when required by the definition of the abnormality, with an available baseline value and available laboratory normal range.</w:t>
      </w:r>
    </w:p>
    <w:p w:rsidR="006A2DE9" w:rsidRDefault="006A2DE9" w:rsidP="006A2DE9">
      <w:r>
        <w:lastRenderedPageBreak/>
        <w:t>Descriptive statistics will be used to summarize the laboratory test results and the changes from baseline by visit and for the last on-treatment value within each treatment group.</w:t>
      </w:r>
    </w:p>
    <w:p w:rsidR="006A2DE9" w:rsidRDefault="006A2DE9" w:rsidP="006A2DE9">
      <w:r>
        <w:t>Shift tables and other tabular and graphical methods may be used to present the results for laboratory tests of interest.</w:t>
      </w:r>
    </w:p>
    <w:p w:rsidR="006A2DE9" w:rsidRDefault="006A2DE9" w:rsidP="006A2DE9">
      <w:r>
        <w:t>Listing will be provided with flags indicating the out of laboratory range values as well as the PCSA values.</w:t>
      </w:r>
    </w:p>
    <w:p w:rsidR="006A2DE9" w:rsidRPr="006A2DE9" w:rsidRDefault="006A2DE9" w:rsidP="006A2DE9">
      <w:pPr>
        <w:rPr>
          <w:b/>
        </w:rPr>
      </w:pPr>
      <w:r w:rsidRPr="006A2DE9">
        <w:rPr>
          <w:b/>
        </w:rPr>
        <w:t>Drug-Induced Liver Injury</w:t>
      </w:r>
    </w:p>
    <w:p w:rsidR="006A2DE9" w:rsidRDefault="006A2DE9" w:rsidP="006A2DE9">
      <w:r>
        <w:t>The liver function tests, namely AST, ALT, alkaline phosphatase and total bilirubin are used to assess possible drug induced liver toxicity. The proportion of patients with PCSA values at any post baseline visit by baseline status will be displayed by treatment group for each parameter. The proportion of patients with PCSA values at any post baseline visit will also be displayed by duration of exposure for each treatment group only if a tabulation summary is necessary.</w:t>
      </w:r>
    </w:p>
    <w:p w:rsidR="006A2DE9" w:rsidRPr="006A2DE9" w:rsidRDefault="006A2DE9" w:rsidP="006A2DE9">
      <w:r>
        <w:t>A listing will be provided of possible Hy’s Law cases identified by treatment group (eg, patients with any elevated ALT &gt;3 x ULN, and associated with an increase in total bilirubin &gt;2 x ULN) with liver-related TEAEs, ALT, AST, ALP , total bilirubin  and the following complementary parameters, if available: Conjugated Bilirubin and Prothrombin Time/International normalized ratio (INR), creatine phosphokinase, serum creatinine, complete blood count, Immunoglobin M (IgM</w:t>
      </w:r>
      <w:r w:rsidR="00DF27FF">
        <w:fldChar w:fldCharType="begin"/>
      </w:r>
      <w:r w:rsidR="00DF27FF">
        <w:instrText xml:space="preserve"> XE "</w:instrText>
      </w:r>
      <w:r w:rsidR="00DF27FF" w:rsidRPr="00DF27FF">
        <w:instrText xml:space="preserve"> </w:instrText>
      </w:r>
      <w:r w:rsidR="003A0818">
        <w:instrText>IgM " \f Abbreviation \t "i</w:instrText>
      </w:r>
      <w:r w:rsidR="00DF27FF">
        <w:instrText xml:space="preserve">mmunoglobulin M" </w:instrText>
      </w:r>
      <w:r w:rsidR="00DF27FF">
        <w:fldChar w:fldCharType="end"/>
      </w:r>
      <w:r>
        <w:t>) antibodies to Hepatitis A virus, IgM antibodies to Hepatitis B core antigen, antibodies to Hepatitis C Virus, and Hepatitis C ribonucleic acid, IgM antibodies to Cytomegalovirus, and IgM antibodies to Hepatitis E virus, Auto-antibodies: anti-nuclear, anti-deoxyribonucleic acid, anti-smooth muscle, Epstein-Barr virus, Herpes viruses and anti-liver/kidney microsomes.</w:t>
      </w:r>
    </w:p>
    <w:p w:rsidR="008F322E" w:rsidRPr="008F322E" w:rsidRDefault="006A2DE9" w:rsidP="008F322E">
      <w:pPr>
        <w:pStyle w:val="Heading4"/>
      </w:pPr>
      <w:bookmarkStart w:id="1142" w:name="_Toc443035947"/>
      <w:r w:rsidRPr="006A2DE9">
        <w:t>Analyses of vital sign variables</w:t>
      </w:r>
      <w:bookmarkEnd w:id="1142"/>
    </w:p>
    <w:p w:rsidR="00CE4A1E" w:rsidRDefault="00CE4A1E" w:rsidP="006A2DE9">
      <w:r>
        <w:t xml:space="preserve">See </w:t>
      </w:r>
      <w:hyperlink w:anchor="_Ref440281674" w:history="1">
        <w:r w:rsidR="00DC79D4" w:rsidRPr="00DC79D4">
          <w:rPr>
            <w:rStyle w:val="Hyperlink"/>
            <w:u w:val="none"/>
          </w:rPr>
          <w:t>Section</w:t>
        </w:r>
      </w:hyperlink>
      <w:r w:rsidR="00DC79D4">
        <w:t xml:space="preserve"> </w:t>
      </w:r>
      <w:r w:rsidR="00DC79D4">
        <w:fldChar w:fldCharType="begin"/>
      </w:r>
      <w:r w:rsidR="00DC79D4">
        <w:instrText xml:space="preserve"> REF _Ref440281674 \r \h </w:instrText>
      </w:r>
      <w:r w:rsidR="00DC79D4">
        <w:fldChar w:fldCharType="separate"/>
      </w:r>
      <w:r w:rsidR="005A26F6">
        <w:t>9.2.2.4</w:t>
      </w:r>
      <w:r w:rsidR="00DC79D4">
        <w:fldChar w:fldCharType="end"/>
      </w:r>
      <w:r>
        <w:t>.</w:t>
      </w:r>
    </w:p>
    <w:p w:rsidR="006A2DE9" w:rsidRDefault="006A2DE9" w:rsidP="006A2DE9">
      <w:r>
        <w:t xml:space="preserve">The number and percentage of patients with PCSA at any evaluation during the on-treatment period will be summarized for each vital sign parameter within each treatment group. The summaries will include patients in the safety population who have at least one parameter to be analyzed during the on-treatment period. When the PCSA definition involves the change from the baseline value, patients need also to have a baseline value to be included in the summaries. </w:t>
      </w:r>
    </w:p>
    <w:p w:rsidR="006A2DE9" w:rsidRDefault="006A2DE9" w:rsidP="006A2DE9">
      <w:r>
        <w:t xml:space="preserve">Descriptive statistics will be used to summarize the results </w:t>
      </w:r>
      <w:r w:rsidR="000D3E0A">
        <w:t xml:space="preserve">for </w:t>
      </w:r>
      <w:r w:rsidR="000D3E0A" w:rsidRPr="0006246E">
        <w:t>systolic and diastolic blood pressure and heart rate,</w:t>
      </w:r>
      <w:r w:rsidR="000D3E0A">
        <w:t xml:space="preserve"> </w:t>
      </w:r>
      <w:r>
        <w:t xml:space="preserve">and the changes from baseline by visit and for the last on-treatment value within each treatment group. </w:t>
      </w:r>
    </w:p>
    <w:p w:rsidR="006A2DE9" w:rsidRDefault="006A2DE9" w:rsidP="006A2DE9">
      <w:r>
        <w:t>Tabular and graphical methods may be used to present the results for parameters of interest.</w:t>
      </w:r>
    </w:p>
    <w:p w:rsidR="006A2DE9" w:rsidRDefault="006A2DE9" w:rsidP="006A2DE9">
      <w:r>
        <w:t>Listings will be provided with flags indicating the PCSA values.</w:t>
      </w:r>
    </w:p>
    <w:p w:rsidR="008F322E" w:rsidRPr="008F322E" w:rsidRDefault="006A2DE9" w:rsidP="008F322E">
      <w:pPr>
        <w:pStyle w:val="Heading4"/>
      </w:pPr>
      <w:bookmarkStart w:id="1143" w:name="_Toc443035948"/>
      <w:r w:rsidRPr="006A2DE9">
        <w:lastRenderedPageBreak/>
        <w:t>Analysis of 12 lead ECG status</w:t>
      </w:r>
      <w:bookmarkEnd w:id="1143"/>
    </w:p>
    <w:p w:rsidR="00CE4A1E" w:rsidRDefault="00CE4A1E" w:rsidP="006A2DE9">
      <w:r>
        <w:t xml:space="preserve">See </w:t>
      </w:r>
      <w:hyperlink w:anchor="_Ref442689069" w:history="1">
        <w:r w:rsidR="00C522CD" w:rsidRPr="00C522CD">
          <w:rPr>
            <w:rStyle w:val="Hyperlink"/>
            <w:u w:val="none"/>
          </w:rPr>
          <w:t>Section</w:t>
        </w:r>
      </w:hyperlink>
      <w:r w:rsidR="00C522CD">
        <w:t xml:space="preserve"> </w:t>
      </w:r>
      <w:r w:rsidR="00C522CD">
        <w:fldChar w:fldCharType="begin"/>
      </w:r>
      <w:r w:rsidR="00C522CD">
        <w:instrText xml:space="preserve"> REF _Ref442689069 \r \h </w:instrText>
      </w:r>
      <w:r w:rsidR="00C522CD">
        <w:fldChar w:fldCharType="separate"/>
      </w:r>
      <w:r w:rsidR="005A26F6">
        <w:t>9.2.2.5</w:t>
      </w:r>
      <w:r w:rsidR="00C522CD">
        <w:fldChar w:fldCharType="end"/>
      </w:r>
      <w:r>
        <w:t>.</w:t>
      </w:r>
    </w:p>
    <w:p w:rsidR="006A2DE9" w:rsidRDefault="006A2DE9" w:rsidP="006A2DE9">
      <w:r w:rsidRPr="006A2DE9">
        <w:t>A shift table will be provided to present the ECG on-treatment status according to the baseline status within each treatment group.</w:t>
      </w:r>
    </w:p>
    <w:p w:rsidR="006A2DE9" w:rsidRDefault="006A2DE9" w:rsidP="006A2DE9">
      <w:pPr>
        <w:pStyle w:val="Heading3"/>
      </w:pPr>
      <w:bookmarkStart w:id="1144" w:name="_Toc443035949"/>
      <w:r w:rsidRPr="006A2DE9">
        <w:t>Analyses of other endpoints</w:t>
      </w:r>
      <w:bookmarkEnd w:id="1144"/>
    </w:p>
    <w:p w:rsidR="006A2DE9" w:rsidRPr="006A2DE9" w:rsidRDefault="006A2DE9" w:rsidP="00EC14AC">
      <w:r w:rsidRPr="006A2DE9">
        <w:t xml:space="preserve">Analyses of other endpoints defined in </w:t>
      </w:r>
      <w:hyperlink w:anchor="_Ref434330571" w:history="1">
        <w:r w:rsidR="00C522CD" w:rsidRPr="00C522CD">
          <w:rPr>
            <w:rStyle w:val="Hyperlink"/>
            <w:u w:val="none"/>
          </w:rPr>
          <w:t>Section</w:t>
        </w:r>
      </w:hyperlink>
      <w:r w:rsidR="00C522CD">
        <w:t xml:space="preserve"> </w:t>
      </w:r>
      <w:r w:rsidR="00C522CD">
        <w:fldChar w:fldCharType="begin"/>
      </w:r>
      <w:r w:rsidR="00C522CD">
        <w:instrText xml:space="preserve"> REF _Ref434330571 \r \h </w:instrText>
      </w:r>
      <w:r w:rsidR="00C522CD">
        <w:fldChar w:fldCharType="separate"/>
      </w:r>
      <w:r w:rsidR="005A26F6">
        <w:t>9.3</w:t>
      </w:r>
      <w:r w:rsidR="00C522CD">
        <w:fldChar w:fldCharType="end"/>
      </w:r>
      <w:r w:rsidRPr="00E37F77">
        <w:rPr>
          <w:color w:val="auto"/>
        </w:rPr>
        <w:t xml:space="preserve"> be performed on the mITT population using assessment obtained during the on-treatment period (</w:t>
      </w:r>
      <w:r w:rsidR="008A7F9B" w:rsidRPr="00E37F77">
        <w:rPr>
          <w:color w:val="auto"/>
        </w:rPr>
        <w:t xml:space="preserve">see </w:t>
      </w:r>
      <w:hyperlink w:anchor="_Ref442689057" w:history="1">
        <w:r w:rsidR="00C522CD" w:rsidRPr="00C522CD">
          <w:rPr>
            <w:rStyle w:val="Hyperlink"/>
            <w:u w:val="none"/>
          </w:rPr>
          <w:t>Section</w:t>
        </w:r>
      </w:hyperlink>
      <w:r w:rsidR="00C522CD">
        <w:t xml:space="preserve"> </w:t>
      </w:r>
      <w:r w:rsidR="00C522CD">
        <w:fldChar w:fldCharType="begin"/>
      </w:r>
      <w:r w:rsidR="00C522CD">
        <w:instrText xml:space="preserve"> REF _Ref442689057 \r \h </w:instrText>
      </w:r>
      <w:r w:rsidR="00C522CD">
        <w:fldChar w:fldCharType="separate"/>
      </w:r>
      <w:r w:rsidR="005A26F6">
        <w:t>9.2</w:t>
      </w:r>
      <w:r w:rsidR="00C522CD">
        <w:fldChar w:fldCharType="end"/>
      </w:r>
      <w:r w:rsidRPr="006A2DE9">
        <w:t>), unless otherwise specified. Descriptive statistics will be summarized by treatment group.</w:t>
      </w:r>
    </w:p>
    <w:p w:rsidR="002F41EE" w:rsidRDefault="002F41EE">
      <w:pPr>
        <w:pStyle w:val="Heading2"/>
      </w:pPr>
      <w:bookmarkStart w:id="1145" w:name="_Toc302136808"/>
      <w:bookmarkStart w:id="1146" w:name="_Toc302371564"/>
      <w:bookmarkStart w:id="1147" w:name="_Toc284335061"/>
      <w:bookmarkStart w:id="1148" w:name="_Toc284348374"/>
      <w:bookmarkStart w:id="1149" w:name="_Toc284335062"/>
      <w:bookmarkStart w:id="1150" w:name="_Toc284348375"/>
      <w:bookmarkStart w:id="1151" w:name="_Toc284335063"/>
      <w:bookmarkStart w:id="1152" w:name="_Toc284348376"/>
      <w:bookmarkStart w:id="1153" w:name="_Toc284335064"/>
      <w:bookmarkStart w:id="1154" w:name="_Toc284348377"/>
      <w:bookmarkStart w:id="1155" w:name="_Toc284335065"/>
      <w:bookmarkStart w:id="1156" w:name="_Toc284348378"/>
      <w:bookmarkStart w:id="1157" w:name="_Toc284335066"/>
      <w:bookmarkStart w:id="1158" w:name="_Toc284348379"/>
      <w:bookmarkStart w:id="1159" w:name="_Toc89161785"/>
      <w:bookmarkStart w:id="1160" w:name="_Toc128558690"/>
      <w:bookmarkStart w:id="1161" w:name="_Toc129597777"/>
      <w:bookmarkStart w:id="1162" w:name="_Toc130200227"/>
      <w:bookmarkStart w:id="1163" w:name="_Toc130368808"/>
      <w:bookmarkStart w:id="1164" w:name="_Toc130368938"/>
      <w:bookmarkStart w:id="1165" w:name="_Toc130703446"/>
      <w:bookmarkStart w:id="1166" w:name="_Ref278899170"/>
      <w:bookmarkStart w:id="1167" w:name="_Toc291062865"/>
      <w:bookmarkStart w:id="1168" w:name="_Toc291063072"/>
      <w:bookmarkStart w:id="1169" w:name="_Toc292103602"/>
      <w:bookmarkStart w:id="1170" w:name="_Ref354159514"/>
      <w:bookmarkStart w:id="1171" w:name="_Toc382298155"/>
      <w:bookmarkStart w:id="1172" w:name="_Toc443035950"/>
      <w:bookmarkEnd w:id="1019"/>
      <w:bookmarkEnd w:id="1020"/>
      <w:bookmarkEnd w:id="1021"/>
      <w:bookmarkEnd w:id="1022"/>
      <w:bookmarkEnd w:id="1023"/>
      <w:bookmarkEnd w:id="102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r>
        <w:t>Interim analysis</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rsidR="006A2DE9" w:rsidRPr="006A2DE9" w:rsidRDefault="006A2DE9" w:rsidP="006A2DE9">
      <w:r w:rsidRPr="006A2DE9">
        <w:t>No formal interim analysis for efficacy is planned for this study.</w:t>
      </w:r>
    </w:p>
    <w:p w:rsidR="00C660CB" w:rsidRPr="00C660CB" w:rsidRDefault="00C660CB" w:rsidP="00EB7462">
      <w:pPr>
        <w:rPr>
          <w:lang w:val="en-GB"/>
        </w:rPr>
      </w:pPr>
      <w:bookmarkStart w:id="1173" w:name="_Toc89161786"/>
      <w:bookmarkStart w:id="1174" w:name="_Toc128558691"/>
      <w:bookmarkStart w:id="1175" w:name="_Toc129597778"/>
      <w:bookmarkStart w:id="1176" w:name="_Toc130200228"/>
      <w:bookmarkStart w:id="1177" w:name="_Toc130368809"/>
      <w:bookmarkStart w:id="1178" w:name="_Toc130368939"/>
      <w:bookmarkStart w:id="1179" w:name="_Toc130703447"/>
    </w:p>
    <w:p w:rsidR="002F41EE" w:rsidRDefault="002F41EE">
      <w:pPr>
        <w:pStyle w:val="Heading1"/>
      </w:pPr>
      <w:bookmarkStart w:id="1180" w:name="_Toc382298156"/>
      <w:bookmarkStart w:id="1181" w:name="_Toc443035951"/>
      <w:r>
        <w:lastRenderedPageBreak/>
        <w:t xml:space="preserve">Ethical and regulatory </w:t>
      </w:r>
      <w:bookmarkEnd w:id="1173"/>
      <w:bookmarkEnd w:id="1174"/>
      <w:bookmarkEnd w:id="1175"/>
      <w:bookmarkEnd w:id="1176"/>
      <w:bookmarkEnd w:id="1177"/>
      <w:bookmarkEnd w:id="1178"/>
      <w:bookmarkEnd w:id="1179"/>
      <w:r w:rsidR="00E80629">
        <w:t>considerations</w:t>
      </w:r>
      <w:bookmarkEnd w:id="1180"/>
      <w:bookmarkEnd w:id="1181"/>
    </w:p>
    <w:p w:rsidR="002F41EE" w:rsidRDefault="002F41EE">
      <w:pPr>
        <w:pStyle w:val="Heading2"/>
      </w:pPr>
      <w:bookmarkStart w:id="1182" w:name="_Toc89161787"/>
      <w:bookmarkStart w:id="1183" w:name="_Toc128558692"/>
      <w:bookmarkStart w:id="1184" w:name="_Toc129597779"/>
      <w:bookmarkStart w:id="1185" w:name="_Toc130200229"/>
      <w:bookmarkStart w:id="1186" w:name="_Toc130368810"/>
      <w:bookmarkStart w:id="1187" w:name="_Toc130368940"/>
      <w:bookmarkStart w:id="1188" w:name="_Toc130703448"/>
      <w:bookmarkStart w:id="1189" w:name="_Toc382298157"/>
      <w:bookmarkStart w:id="1190" w:name="_Toc443035952"/>
      <w:r>
        <w:t>Ethical</w:t>
      </w:r>
      <w:r w:rsidR="006A16A4">
        <w:t xml:space="preserve"> and regulatory </w:t>
      </w:r>
      <w:r w:rsidR="00E80629">
        <w:t>standards</w:t>
      </w:r>
      <w:bookmarkEnd w:id="1182"/>
      <w:bookmarkEnd w:id="1183"/>
      <w:bookmarkEnd w:id="1184"/>
      <w:bookmarkEnd w:id="1185"/>
      <w:bookmarkEnd w:id="1186"/>
      <w:bookmarkEnd w:id="1187"/>
      <w:bookmarkEnd w:id="1188"/>
      <w:bookmarkEnd w:id="1189"/>
      <w:bookmarkEnd w:id="1190"/>
    </w:p>
    <w:p w:rsidR="001A7027" w:rsidRDefault="002F41EE" w:rsidP="001A7027">
      <w:r>
        <w:t xml:space="preserve">This clinical trial will be conducted </w:t>
      </w:r>
      <w:r w:rsidR="001A7027">
        <w:t xml:space="preserve">by the Sponsor, the Investigator, delegated Investigator staff and Subinvestigator, </w:t>
      </w:r>
      <w:r>
        <w:t xml:space="preserve">in accordance with the principles laid down by the 18th World Medical Assembly (Helsinki, 1964) and all applicable amendments laid down by the World Medical Assemblies, and the </w:t>
      </w:r>
      <w:r w:rsidR="00DF27FF">
        <w:t>International Conference on Harmonization (</w:t>
      </w:r>
      <w:r>
        <w:t>ICH</w:t>
      </w:r>
      <w:r w:rsidR="00DF27FF">
        <w:fldChar w:fldCharType="begin"/>
      </w:r>
      <w:r w:rsidR="00DF27FF">
        <w:instrText xml:space="preserve"> XE "</w:instrText>
      </w:r>
      <w:r w:rsidR="00DF27FF" w:rsidRPr="00DF27FF">
        <w:instrText xml:space="preserve"> </w:instrText>
      </w:r>
      <w:r w:rsidR="00DF27FF">
        <w:instrText xml:space="preserve">ICH " \f Abbreviation \t "International Conference on Harmonization" </w:instrText>
      </w:r>
      <w:r w:rsidR="00DF27FF">
        <w:fldChar w:fldCharType="end"/>
      </w:r>
      <w:r w:rsidR="00DF27FF">
        <w:t>)</w:t>
      </w:r>
      <w:r>
        <w:t xml:space="preserve"> guidelines for good clinical practice (GCP</w:t>
      </w:r>
      <w:r w:rsidR="00EF2F9C">
        <w:fldChar w:fldCharType="begin"/>
      </w:r>
      <w:r w:rsidR="00EF2F9C">
        <w:instrText xml:space="preserve"> XE "</w:instrText>
      </w:r>
      <w:r w:rsidR="00EF2F9C" w:rsidRPr="00EF2F9C">
        <w:instrText xml:space="preserve"> </w:instrText>
      </w:r>
      <w:r w:rsidR="003A0818">
        <w:instrText>GCP " \f Abbreviation \t "g</w:instrText>
      </w:r>
      <w:r w:rsidR="00EF2F9C">
        <w:instrText xml:space="preserve">ood clinical practice" </w:instrText>
      </w:r>
      <w:r w:rsidR="00EF2F9C">
        <w:fldChar w:fldCharType="end"/>
      </w:r>
      <w:r>
        <w:t>)</w:t>
      </w:r>
      <w:r w:rsidR="001A7027">
        <w:t>, all applicable laws, rules and regulations.</w:t>
      </w:r>
    </w:p>
    <w:p w:rsidR="006837C5" w:rsidRPr="006837C5" w:rsidRDefault="001A7027" w:rsidP="00404DCB">
      <w:pPr>
        <w:rPr>
          <w:shd w:val="clear" w:color="auto" w:fill="FFCC66"/>
        </w:rPr>
      </w:pPr>
      <w:r>
        <w:t>T</w:t>
      </w:r>
      <w:r w:rsidR="002F41EE">
        <w:t xml:space="preserve">his clinical trial will be recorded in </w:t>
      </w:r>
      <w:r w:rsidR="001B51CD">
        <w:t>a free, publicly accessible, internet-based registry</w:t>
      </w:r>
      <w:r w:rsidR="00965BFE">
        <w:t>, no later than 21 days after</w:t>
      </w:r>
      <w:r w:rsidR="002F41EE">
        <w:t xml:space="preserve"> the first patient</w:t>
      </w:r>
      <w:r w:rsidR="00965BFE">
        <w:t xml:space="preserve"> enrollment</w:t>
      </w:r>
      <w:r w:rsidR="001B51CD">
        <w:t>, in compliance with applicable regulatory requirements and with Sanofi public disclosure commitments</w:t>
      </w:r>
      <w:r w:rsidR="002F41EE">
        <w:t xml:space="preserve">. </w:t>
      </w:r>
    </w:p>
    <w:p w:rsidR="002F41EE" w:rsidRDefault="002F41EE">
      <w:pPr>
        <w:pStyle w:val="Heading2"/>
      </w:pPr>
      <w:bookmarkStart w:id="1191" w:name="_Toc89161789"/>
      <w:bookmarkStart w:id="1192" w:name="_Toc128558694"/>
      <w:bookmarkStart w:id="1193" w:name="_Toc129597781"/>
      <w:bookmarkStart w:id="1194" w:name="_Toc130200231"/>
      <w:bookmarkStart w:id="1195" w:name="_Toc130368812"/>
      <w:bookmarkStart w:id="1196" w:name="_Toc130368942"/>
      <w:bookmarkStart w:id="1197" w:name="_Toc130703450"/>
      <w:bookmarkStart w:id="1198" w:name="_Toc382298158"/>
      <w:bookmarkStart w:id="1199" w:name="_Toc443035953"/>
      <w:r>
        <w:t>Informed consent</w:t>
      </w:r>
      <w:bookmarkEnd w:id="1191"/>
      <w:bookmarkEnd w:id="1192"/>
      <w:bookmarkEnd w:id="1193"/>
      <w:bookmarkEnd w:id="1194"/>
      <w:bookmarkEnd w:id="1195"/>
      <w:bookmarkEnd w:id="1196"/>
      <w:bookmarkEnd w:id="1197"/>
      <w:bookmarkEnd w:id="1198"/>
      <w:bookmarkEnd w:id="1199"/>
    </w:p>
    <w:p w:rsidR="002F41EE" w:rsidRDefault="002F41EE">
      <w:r>
        <w:t>The Investigator (according to applicable regulatory requirements), or a person designated by the Investigator, and under the Investigator's responsibility, should fully inform the patient of all pertinent aspects of the clinical trial including the written information giving approval/favorable opinion by the Ethics Committee (IRB/IEC). All participants should be informed to the fullest extent possible about the study, in language and terms they are able to understand.</w:t>
      </w:r>
    </w:p>
    <w:p w:rsidR="002F41EE" w:rsidRDefault="002F41EE">
      <w:r>
        <w:t xml:space="preserve">Prior to a patient’s participation in the clinical trial, the written informed consent form should be signed, name filled in and personally dated by the patient or by the patient’s legally acceptable representative, and by the person who conducted the informed consent discussion. A copy of the signed and dated written informed consent form will be provided to the patient. </w:t>
      </w:r>
    </w:p>
    <w:p w:rsidR="002F41EE" w:rsidRDefault="002F41EE">
      <w:r w:rsidRPr="0006246E">
        <w:t>The informed consent form used by the Investigator for obtaining the patient's informed consent must be reviewed and approved by the Sponsor prior to submission to the appropriate Ethics Committee (IRB/IEC) for approval/favorable opinion.</w:t>
      </w:r>
    </w:p>
    <w:p w:rsidR="002F41EE" w:rsidRDefault="002F41EE">
      <w:pPr>
        <w:pStyle w:val="Heading2"/>
      </w:pPr>
      <w:bookmarkStart w:id="1200" w:name="_Toc89161790"/>
      <w:bookmarkStart w:id="1201" w:name="_Toc128558695"/>
      <w:bookmarkStart w:id="1202" w:name="_Toc129597782"/>
      <w:bookmarkStart w:id="1203" w:name="_Toc130200232"/>
      <w:bookmarkStart w:id="1204" w:name="_Toc130368813"/>
      <w:bookmarkStart w:id="1205" w:name="_Toc130368943"/>
      <w:bookmarkStart w:id="1206" w:name="_Toc130703451"/>
      <w:bookmarkStart w:id="1207" w:name="_Toc382298159"/>
      <w:bookmarkStart w:id="1208" w:name="_Toc443035954"/>
      <w:r>
        <w:t>Institutional Review Board/Independent ethics committee (IRB/IEC)</w:t>
      </w:r>
      <w:bookmarkEnd w:id="1200"/>
      <w:bookmarkEnd w:id="1201"/>
      <w:bookmarkEnd w:id="1202"/>
      <w:bookmarkEnd w:id="1203"/>
      <w:bookmarkEnd w:id="1204"/>
      <w:bookmarkEnd w:id="1205"/>
      <w:bookmarkEnd w:id="1206"/>
      <w:bookmarkEnd w:id="1207"/>
      <w:bookmarkEnd w:id="1208"/>
    </w:p>
    <w:p w:rsidR="002F41EE" w:rsidRDefault="002F41EE">
      <w:r>
        <w:t>As required by local regulation, the Investigator or the Sponsor must submit this clinical trial protocol to the appropriate IRB/IEC, and is required to forward to the respective other party  a copy of the written and dated approval/favorable opinion signed by the Chairman with  IRB/IEC composition.</w:t>
      </w:r>
    </w:p>
    <w:p w:rsidR="002F41EE" w:rsidRDefault="002F41EE">
      <w:r>
        <w:t>The clinical trial (study number, clinical trial protocol title and version number), the documents reviewed (clinical trial protocol, informed consent form, Investigator’s Brochure, Investigator’s curriculum vitae [CV], etc) and the date of the review should be clearly stated on the written (IRB/IEC) approval/favorable opinion.</w:t>
      </w:r>
    </w:p>
    <w:p w:rsidR="002F41EE" w:rsidRDefault="002F41EE">
      <w:r>
        <w:lastRenderedPageBreak/>
        <w:t>IMP will not be released at the study site and the Investigator will not start the study before the written and dated approval/favorable opinion is received by the Investigator and the Sponsor.</w:t>
      </w:r>
    </w:p>
    <w:p w:rsidR="002F41EE" w:rsidRDefault="002F41EE">
      <w:r>
        <w:t>During the clinical trial, any amendment or modification to the clinical trial protocol should be submitted to the IRB/IEC before implementation, unless the change is necessary to eliminate an immediate hazard to the patients, in which case the IRB/IEC should be informed as soon as possible. It should also be informed of any event likely to affect the safety of patients or the continued conduct of the clinical trial, in particular any change in safety. All updates to the Investigator’s Brochure will be sent to the IRB/IEC.</w:t>
      </w:r>
    </w:p>
    <w:p w:rsidR="002F41EE" w:rsidRDefault="002F41EE">
      <w:r>
        <w:t>A progress report is sent to the IRB/IEC at least annually and a summary of the clinical trial’s outcome at the end of the clinical trial.</w:t>
      </w:r>
      <w:r w:rsidR="00382FE0">
        <w:t xml:space="preserve"> </w:t>
      </w:r>
    </w:p>
    <w:p w:rsidR="002F41EE" w:rsidRDefault="002F41EE">
      <w:pPr>
        <w:pStyle w:val="Heading1"/>
      </w:pPr>
      <w:bookmarkStart w:id="1209" w:name="_Toc89161791"/>
      <w:bookmarkStart w:id="1210" w:name="_Toc128558696"/>
      <w:bookmarkStart w:id="1211" w:name="_Toc129597783"/>
      <w:bookmarkStart w:id="1212" w:name="_Toc130200233"/>
      <w:bookmarkStart w:id="1213" w:name="_Toc130368814"/>
      <w:bookmarkStart w:id="1214" w:name="_Toc130368944"/>
      <w:bookmarkStart w:id="1215" w:name="_Toc130703452"/>
      <w:bookmarkStart w:id="1216" w:name="_Toc382298160"/>
      <w:bookmarkStart w:id="1217" w:name="_Toc443035955"/>
      <w:r>
        <w:lastRenderedPageBreak/>
        <w:t>Study monitoring</w:t>
      </w:r>
      <w:bookmarkEnd w:id="1209"/>
      <w:bookmarkEnd w:id="1210"/>
      <w:bookmarkEnd w:id="1211"/>
      <w:bookmarkEnd w:id="1212"/>
      <w:bookmarkEnd w:id="1213"/>
      <w:bookmarkEnd w:id="1214"/>
      <w:bookmarkEnd w:id="1215"/>
      <w:bookmarkEnd w:id="1216"/>
      <w:bookmarkEnd w:id="1217"/>
    </w:p>
    <w:p w:rsidR="002F41EE" w:rsidRDefault="002F41EE">
      <w:pPr>
        <w:pStyle w:val="Heading2"/>
      </w:pPr>
      <w:bookmarkStart w:id="1218" w:name="_Toc89161792"/>
      <w:bookmarkStart w:id="1219" w:name="_Toc128558697"/>
      <w:bookmarkStart w:id="1220" w:name="_Toc129597784"/>
      <w:bookmarkStart w:id="1221" w:name="_Toc130200234"/>
      <w:bookmarkStart w:id="1222" w:name="_Toc130368815"/>
      <w:bookmarkStart w:id="1223" w:name="_Toc130368945"/>
      <w:bookmarkStart w:id="1224" w:name="_Toc130703453"/>
      <w:bookmarkStart w:id="1225" w:name="_Ref278898825"/>
      <w:bookmarkStart w:id="1226" w:name="_Toc382298161"/>
      <w:bookmarkStart w:id="1227" w:name="_Toc443035956"/>
      <w:r>
        <w:t>Responsibilities of the Investigator(s)</w:t>
      </w:r>
      <w:bookmarkEnd w:id="1218"/>
      <w:bookmarkEnd w:id="1219"/>
      <w:bookmarkEnd w:id="1220"/>
      <w:bookmarkEnd w:id="1221"/>
      <w:bookmarkEnd w:id="1222"/>
      <w:bookmarkEnd w:id="1223"/>
      <w:bookmarkEnd w:id="1224"/>
      <w:bookmarkEnd w:id="1225"/>
      <w:bookmarkEnd w:id="1226"/>
      <w:bookmarkEnd w:id="1227"/>
    </w:p>
    <w:p w:rsidR="002F41EE" w:rsidRDefault="002F41EE">
      <w:r>
        <w:t>The Investigator is required to ensure compliance with all procedures required by the clinical trial protocol and with all study procedures provided by the Sponsor (including security rules). The Investigator agrees to provide reliable data and all information requested by the clinical trial protocol (with the help of the CRF, Discrepancy Resolution Form [DRF]</w:t>
      </w:r>
      <w:r>
        <w:rPr>
          <w:sz w:val="34"/>
        </w:rPr>
        <w:t xml:space="preserve"> </w:t>
      </w:r>
      <w:r>
        <w:t>or other appropriate instrument) in an accurate and legible manner according to the instructions provided and to ensure direct access to source documents by Sponsor representatives.</w:t>
      </w:r>
    </w:p>
    <w:p w:rsidR="002F41EE" w:rsidRDefault="002F41EE">
      <w:r>
        <w:t>If any circuit includes transfer of data particular attention should be paid to the confidentiality of the patient's data to be transferred.</w:t>
      </w:r>
    </w:p>
    <w:p w:rsidR="002F41EE" w:rsidRDefault="002F41EE">
      <w:r>
        <w:t>The Investigator may appoint such other individuals as he/she may deem appropriate as Subinvestigators to assist in the conduct of the clinical trial in accordance with the clinical trial protocol. All Subinvestigators shall be appointed</w:t>
      </w:r>
      <w:r w:rsidR="00210130">
        <w:t xml:space="preserve"> </w:t>
      </w:r>
      <w:r>
        <w:t>and listed in a timely manner. The Subinvestigators will be supervised by and work under the responsibility of the Investigator. The Investigator will provide them with a copy of the clinical trial protocol and all necessary information.</w:t>
      </w:r>
    </w:p>
    <w:p w:rsidR="002F41EE" w:rsidRDefault="002F41EE">
      <w:pPr>
        <w:pStyle w:val="Heading2"/>
      </w:pPr>
      <w:bookmarkStart w:id="1228" w:name="_Toc89161793"/>
      <w:bookmarkStart w:id="1229" w:name="_Toc128558698"/>
      <w:bookmarkStart w:id="1230" w:name="_Toc129597785"/>
      <w:bookmarkStart w:id="1231" w:name="_Toc130200235"/>
      <w:bookmarkStart w:id="1232" w:name="_Toc130368816"/>
      <w:bookmarkStart w:id="1233" w:name="_Toc130368946"/>
      <w:bookmarkStart w:id="1234" w:name="_Toc130703454"/>
      <w:bookmarkStart w:id="1235" w:name="_Toc382298162"/>
      <w:bookmarkStart w:id="1236" w:name="_Toc443035957"/>
      <w:r>
        <w:t>Responsibilities of the Sponsor</w:t>
      </w:r>
      <w:bookmarkEnd w:id="1228"/>
      <w:bookmarkEnd w:id="1229"/>
      <w:bookmarkEnd w:id="1230"/>
      <w:bookmarkEnd w:id="1231"/>
      <w:bookmarkEnd w:id="1232"/>
      <w:bookmarkEnd w:id="1233"/>
      <w:bookmarkEnd w:id="1234"/>
      <w:bookmarkEnd w:id="1235"/>
      <w:bookmarkEnd w:id="1236"/>
    </w:p>
    <w:p w:rsidR="002F41EE" w:rsidRDefault="002F41EE">
      <w:r>
        <w:t xml:space="preserve">The Sponsor of this clinical trial is responsible to </w:t>
      </w:r>
      <w:r w:rsidR="00497160">
        <w:t>regulatory authorities</w:t>
      </w:r>
      <w:r>
        <w:t xml:space="preserve"> for taking all reasonable steps to ensure the proper conduct of the clinical trial as regards ethics, clinical trial protocol compliance, and integrity and validity of the data recorded on the CRFs. Thus, the main duty of the monitoring team is to help the Investigator and the Sponsor maintain a high level of ethical, scientific, technical and regulatory quality in all aspects of the clinical trial.</w:t>
      </w:r>
    </w:p>
    <w:p w:rsidR="002F41EE" w:rsidRDefault="002F41EE">
      <w:r>
        <w:t>At regular intervals during the clinical trial, the site will be contacted, through monitoring visits, letters or telephone calls, by a representative of the monitoring team to review study progress, Investigator and patient compliance with clinical trial protocol requirements and any emergent problems. These monitoring visits will include but not be limited to review of the following aspects: patient informed consent, patient recruitment and follow-up, SAE documentation and reporting, AESI documentation and reporting, AE documentation, IMP allocation, patient compliance with the IMP regimen, IMP accountability, concomitant therapy use and quality of data.</w:t>
      </w:r>
    </w:p>
    <w:p w:rsidR="002F41EE" w:rsidRDefault="002F41EE">
      <w:pPr>
        <w:pStyle w:val="Heading2"/>
      </w:pPr>
      <w:bookmarkStart w:id="1237" w:name="_Toc89161794"/>
      <w:bookmarkStart w:id="1238" w:name="_Toc128558699"/>
      <w:bookmarkStart w:id="1239" w:name="_Toc129597786"/>
      <w:bookmarkStart w:id="1240" w:name="_Toc130200236"/>
      <w:bookmarkStart w:id="1241" w:name="_Toc130368817"/>
      <w:bookmarkStart w:id="1242" w:name="_Toc130368947"/>
      <w:bookmarkStart w:id="1243" w:name="_Toc130703455"/>
      <w:bookmarkStart w:id="1244" w:name="_Toc382298163"/>
      <w:bookmarkStart w:id="1245" w:name="_Toc443035958"/>
      <w:r>
        <w:t>Source document requirements</w:t>
      </w:r>
      <w:bookmarkEnd w:id="1237"/>
      <w:bookmarkEnd w:id="1238"/>
      <w:bookmarkEnd w:id="1239"/>
      <w:bookmarkEnd w:id="1240"/>
      <w:bookmarkEnd w:id="1241"/>
      <w:bookmarkEnd w:id="1242"/>
      <w:bookmarkEnd w:id="1243"/>
      <w:bookmarkEnd w:id="1244"/>
      <w:bookmarkEnd w:id="1245"/>
    </w:p>
    <w:p w:rsidR="002F41EE" w:rsidRDefault="002F41EE">
      <w:r>
        <w:t xml:space="preserve">According to the ICH </w:t>
      </w:r>
      <w:r w:rsidR="006B364A">
        <w:t>GCP</w:t>
      </w:r>
      <w:r>
        <w:t xml:space="preserve">, the monitoring team must check the CRF entries against the source documents, except for the pre-identified source data directly recorded in the CRF. The informed consent form will include a statement by which the patient allows the Sponsor’s duly authorized </w:t>
      </w:r>
      <w:r>
        <w:lastRenderedPageBreak/>
        <w:t>personnel, the Ethics Committee (IRB/IEC), and the regulatory authorities to have direct access to original medical records  which support the data on the CRFs (eg, patient's medical file, appointment boo</w:t>
      </w:r>
      <w:r w:rsidR="00E37F9A">
        <w:t>ks, original laboratory records</w:t>
      </w:r>
      <w:r>
        <w:t>). These personnel, bound by professional secrecy, must maintain the confidentiality of all personal identity or personal medical information (according to confidentiality and personal data protection rules).</w:t>
      </w:r>
    </w:p>
    <w:p w:rsidR="002F41EE" w:rsidRDefault="002F41EE">
      <w:pPr>
        <w:pStyle w:val="Heading2"/>
      </w:pPr>
      <w:bookmarkStart w:id="1246" w:name="_Toc89161795"/>
      <w:bookmarkStart w:id="1247" w:name="_Toc128558700"/>
      <w:bookmarkStart w:id="1248" w:name="_Toc129597787"/>
      <w:bookmarkStart w:id="1249" w:name="_Toc130200237"/>
      <w:bookmarkStart w:id="1250" w:name="_Toc130368818"/>
      <w:bookmarkStart w:id="1251" w:name="_Toc130368948"/>
      <w:bookmarkStart w:id="1252" w:name="_Toc130703456"/>
      <w:bookmarkStart w:id="1253" w:name="_Toc382298164"/>
      <w:bookmarkStart w:id="1254" w:name="_Toc443035959"/>
      <w:r>
        <w:t>Use and completion of Case Report Forms (CRFs) and additional request</w:t>
      </w:r>
      <w:bookmarkEnd w:id="1246"/>
      <w:bookmarkEnd w:id="1247"/>
      <w:bookmarkEnd w:id="1248"/>
      <w:bookmarkEnd w:id="1249"/>
      <w:bookmarkEnd w:id="1250"/>
      <w:bookmarkEnd w:id="1251"/>
      <w:bookmarkEnd w:id="1252"/>
      <w:bookmarkEnd w:id="1253"/>
      <w:bookmarkEnd w:id="1254"/>
    </w:p>
    <w:p w:rsidR="002F41EE" w:rsidRDefault="002F41EE">
      <w:r>
        <w:t>It is the responsibility of the Investigator to maintain adequate and accurate CRFs (according to the technology used) designed by the Sponsor to record (according to Sponsor instructions) all observations and other data pertinent to the clinical investigation in a timely manner. All CRFs should be completed in their entirety in a neat, legible manner to ensure accurate interpretation of data.</w:t>
      </w:r>
    </w:p>
    <w:p w:rsidR="002F41EE" w:rsidRPr="00DE5485" w:rsidRDefault="002F41EE">
      <w:r w:rsidRPr="00DE5485">
        <w:t xml:space="preserve">Should a correction be made, the corrected information will be entered in the e-CRF overwriting the initial information. An audit trail allows identifying the modification. </w:t>
      </w:r>
    </w:p>
    <w:p w:rsidR="002F41EE" w:rsidRPr="00DE5485" w:rsidRDefault="002F41EE">
      <w:r w:rsidRPr="00DE5485">
        <w:t>Data are available within the system to the Sponsor as soon as they are entered in the e-CRF.</w:t>
      </w:r>
    </w:p>
    <w:p w:rsidR="002F41EE" w:rsidRPr="00DE5485" w:rsidRDefault="002F41EE">
      <w:r w:rsidRPr="00DE5485">
        <w:t>The computerized handling of the data by the Sponsor may generate additional requests (DRF) to which the Investigator is obliged to respond by confirming or modifying the data questioned. The requests with their responses will be</w:t>
      </w:r>
      <w:r w:rsidR="00DE5485">
        <w:t xml:space="preserve"> managed through the e-CRF.</w:t>
      </w:r>
    </w:p>
    <w:p w:rsidR="002F41EE" w:rsidRDefault="002F41EE">
      <w:pPr>
        <w:pStyle w:val="Heading2"/>
      </w:pPr>
      <w:bookmarkStart w:id="1255" w:name="_Toc89161796"/>
      <w:bookmarkStart w:id="1256" w:name="_Toc128558701"/>
      <w:bookmarkStart w:id="1257" w:name="_Toc129597788"/>
      <w:bookmarkStart w:id="1258" w:name="_Toc130200238"/>
      <w:bookmarkStart w:id="1259" w:name="_Toc130368819"/>
      <w:bookmarkStart w:id="1260" w:name="_Toc130368949"/>
      <w:bookmarkStart w:id="1261" w:name="_Toc130703457"/>
      <w:bookmarkStart w:id="1262" w:name="_Ref278899211"/>
      <w:bookmarkStart w:id="1263" w:name="_Toc382298165"/>
      <w:bookmarkStart w:id="1264" w:name="_Toc443035960"/>
      <w:r>
        <w:t>Use of computerized systems</w:t>
      </w:r>
      <w:bookmarkEnd w:id="1255"/>
      <w:bookmarkEnd w:id="1256"/>
      <w:bookmarkEnd w:id="1257"/>
      <w:bookmarkEnd w:id="1258"/>
      <w:bookmarkEnd w:id="1259"/>
      <w:bookmarkEnd w:id="1260"/>
      <w:bookmarkEnd w:id="1261"/>
      <w:bookmarkEnd w:id="1262"/>
      <w:bookmarkEnd w:id="1263"/>
      <w:bookmarkEnd w:id="1264"/>
    </w:p>
    <w:p w:rsidR="00FF6EC0" w:rsidRPr="00FF6EC0" w:rsidRDefault="00FF6EC0">
      <w:pPr>
        <w:rPr>
          <w:lang w:val="en-GB"/>
        </w:rPr>
      </w:pPr>
      <w:r w:rsidRPr="00E331DC">
        <w:rPr>
          <w:rFonts w:eastAsia="宋体"/>
          <w:color w:val="auto"/>
          <w:lang w:val="en-GB" w:eastAsia="zh-CN"/>
        </w:rPr>
        <w:t>The complete list of computerized systems used for the study is provided in a separate document which is maintained in the Sponsor and Investigator study files.</w:t>
      </w:r>
    </w:p>
    <w:p w:rsidR="002F41EE" w:rsidRDefault="007C4CEC">
      <w:pPr>
        <w:pStyle w:val="Heading1"/>
      </w:pPr>
      <w:bookmarkStart w:id="1265" w:name="_Toc382298166"/>
      <w:bookmarkStart w:id="1266" w:name="_Toc443035961"/>
      <w:r>
        <w:lastRenderedPageBreak/>
        <w:t>Additional requirements</w:t>
      </w:r>
      <w:bookmarkEnd w:id="1265"/>
      <w:bookmarkEnd w:id="1266"/>
    </w:p>
    <w:p w:rsidR="002F41EE" w:rsidRDefault="002F41EE">
      <w:pPr>
        <w:pStyle w:val="Heading2"/>
      </w:pPr>
      <w:bookmarkStart w:id="1267" w:name="_Toc89161798"/>
      <w:bookmarkStart w:id="1268" w:name="_Toc128558703"/>
      <w:bookmarkStart w:id="1269" w:name="_Toc129597790"/>
      <w:bookmarkStart w:id="1270" w:name="_Toc130200240"/>
      <w:bookmarkStart w:id="1271" w:name="_Toc130368821"/>
      <w:bookmarkStart w:id="1272" w:name="_Toc130368951"/>
      <w:bookmarkStart w:id="1273" w:name="_Toc130703459"/>
      <w:bookmarkStart w:id="1274" w:name="_Toc382298167"/>
      <w:bookmarkStart w:id="1275" w:name="_Toc443035962"/>
      <w:r>
        <w:t>Curriculum Vitae</w:t>
      </w:r>
      <w:bookmarkEnd w:id="1267"/>
      <w:bookmarkEnd w:id="1268"/>
      <w:bookmarkEnd w:id="1269"/>
      <w:bookmarkEnd w:id="1270"/>
      <w:bookmarkEnd w:id="1271"/>
      <w:bookmarkEnd w:id="1272"/>
      <w:bookmarkEnd w:id="1273"/>
      <w:bookmarkEnd w:id="1274"/>
      <w:bookmarkEnd w:id="1275"/>
    </w:p>
    <w:p w:rsidR="002F41EE" w:rsidRDefault="002F41EE">
      <w:r>
        <w:t>A current copy of the curriculum vitae describing the experience, qualification and training of each Investigator and Subinvestigator will be signed, dated and provided to the Sponsor prior to the beginning of the clinical trial.</w:t>
      </w:r>
    </w:p>
    <w:p w:rsidR="002F41EE" w:rsidRDefault="002F41EE">
      <w:pPr>
        <w:pStyle w:val="Heading2"/>
      </w:pPr>
      <w:bookmarkStart w:id="1276" w:name="_Toc89161799"/>
      <w:bookmarkStart w:id="1277" w:name="_Toc128558704"/>
      <w:bookmarkStart w:id="1278" w:name="_Toc129597791"/>
      <w:bookmarkStart w:id="1279" w:name="_Toc130200241"/>
      <w:bookmarkStart w:id="1280" w:name="_Toc130368822"/>
      <w:bookmarkStart w:id="1281" w:name="_Toc130368952"/>
      <w:bookmarkStart w:id="1282" w:name="_Toc130703460"/>
      <w:bookmarkStart w:id="1283" w:name="_Toc382298168"/>
      <w:bookmarkStart w:id="1284" w:name="_Toc443035963"/>
      <w:r>
        <w:t>Record retention in study sites</w:t>
      </w:r>
      <w:bookmarkEnd w:id="1276"/>
      <w:bookmarkEnd w:id="1277"/>
      <w:bookmarkEnd w:id="1278"/>
      <w:bookmarkEnd w:id="1279"/>
      <w:bookmarkEnd w:id="1280"/>
      <w:bookmarkEnd w:id="1281"/>
      <w:bookmarkEnd w:id="1282"/>
      <w:bookmarkEnd w:id="1283"/>
      <w:bookmarkEnd w:id="1284"/>
    </w:p>
    <w:p w:rsidR="002F41EE" w:rsidRDefault="002F41EE">
      <w:r>
        <w:t>The Investigator must maintain confidential all study documentation, and take measures to prevent accidental or premature destruction of these documents.</w:t>
      </w:r>
    </w:p>
    <w:p w:rsidR="002F41EE" w:rsidRDefault="002F41EE">
      <w:r>
        <w:t>The Investigator should retain the study documents at least 15 years after the completion or discontinuation of the clinical trial.</w:t>
      </w:r>
    </w:p>
    <w:p w:rsidR="002F41EE" w:rsidRDefault="002F41EE">
      <w:r>
        <w:t>However, applicable regulatory requirements should be taken into account in the event that a longer period is required.</w:t>
      </w:r>
    </w:p>
    <w:p w:rsidR="002F41EE" w:rsidRDefault="002F41EE">
      <w:r>
        <w:t>The Investigator must notify the Sponsor prior to destroying any study essential documents following the clinical trial completion or discontinuation.</w:t>
      </w:r>
    </w:p>
    <w:p w:rsidR="002F41EE" w:rsidRDefault="002F41EE">
      <w:r>
        <w:t>If the Investigator's personal situation is such that archiving can no longer be ensured by him/her, the Investigator shall inform the Sponsor and the relevant records shall be transferred to a mutually agreed upon designee.</w:t>
      </w:r>
      <w:r w:rsidR="007C4CEC">
        <w:t xml:space="preserve"> </w:t>
      </w:r>
    </w:p>
    <w:p w:rsidR="002F41EE" w:rsidRDefault="002F41EE">
      <w:pPr>
        <w:pStyle w:val="Heading2"/>
      </w:pPr>
      <w:bookmarkStart w:id="1285" w:name="_Toc89161800"/>
      <w:bookmarkStart w:id="1286" w:name="_Toc128558705"/>
      <w:bookmarkStart w:id="1287" w:name="_Toc129597792"/>
      <w:bookmarkStart w:id="1288" w:name="_Toc130200242"/>
      <w:bookmarkStart w:id="1289" w:name="_Toc130368823"/>
      <w:bookmarkStart w:id="1290" w:name="_Toc130368953"/>
      <w:bookmarkStart w:id="1291" w:name="_Toc130703461"/>
      <w:bookmarkStart w:id="1292" w:name="_Ref379796427"/>
      <w:bookmarkStart w:id="1293" w:name="_Toc382298169"/>
      <w:bookmarkStart w:id="1294" w:name="_Toc443035964"/>
      <w:r>
        <w:t>Confidentiality</w:t>
      </w:r>
      <w:bookmarkEnd w:id="1285"/>
      <w:bookmarkEnd w:id="1286"/>
      <w:bookmarkEnd w:id="1287"/>
      <w:bookmarkEnd w:id="1288"/>
      <w:bookmarkEnd w:id="1289"/>
      <w:bookmarkEnd w:id="1290"/>
      <w:bookmarkEnd w:id="1291"/>
      <w:bookmarkEnd w:id="1292"/>
      <w:bookmarkEnd w:id="1293"/>
      <w:bookmarkEnd w:id="1294"/>
    </w:p>
    <w:p w:rsidR="002F41EE" w:rsidRDefault="002F41EE">
      <w:r>
        <w:t xml:space="preserve">All information disclosed or provided by the Sponsor (or any company/institution acting on their behalf), or produced during the clinical trial, including, but not limited to, the clinical trial protocol, </w:t>
      </w:r>
      <w:r w:rsidR="00587F9E">
        <w:t xml:space="preserve">personal data in relation to the patients, </w:t>
      </w:r>
      <w:r>
        <w:t>the CRFs, the Investigator's Brochure and the results obtained during the course of the clinical trial, is confidential, prior to the publication of results. The Investigator and any person under his/her authority agree to undertake to keep confidential and not to disclose the information to any third party without the prior written approval of the Sponsor.</w:t>
      </w:r>
    </w:p>
    <w:p w:rsidR="002F41EE" w:rsidRDefault="002F41EE">
      <w:r>
        <w:t>However, the submission of this clinical trial protocol and other necessary documentation to the Ethics committee (IRB/IEC) is expressly permitted, the IRB/IEC members having the same obligation of confidentiality.</w:t>
      </w:r>
    </w:p>
    <w:p w:rsidR="002F41EE" w:rsidRDefault="002F41EE">
      <w:r>
        <w:t>The Subinvestigators shall be bound by the same obligation as the Investigator. The Investigator shall inform the Subinvestigators of the confidential nature of the clinical trial.</w:t>
      </w:r>
    </w:p>
    <w:p w:rsidR="002F41EE" w:rsidRDefault="002F41EE">
      <w:r>
        <w:lastRenderedPageBreak/>
        <w:t>The Investigator and the Subinvestigators shall use the information solely for the purposes of the clinical trial, to the exclusion of any use for their own or for a third party's account.</w:t>
      </w:r>
    </w:p>
    <w:p w:rsidR="002F41EE" w:rsidRDefault="002F41EE">
      <w:pPr>
        <w:pStyle w:val="Heading2"/>
      </w:pPr>
      <w:bookmarkStart w:id="1295" w:name="_Toc89161801"/>
      <w:bookmarkStart w:id="1296" w:name="_Toc128558706"/>
      <w:bookmarkStart w:id="1297" w:name="_Toc129597793"/>
      <w:bookmarkStart w:id="1298" w:name="_Toc130200243"/>
      <w:bookmarkStart w:id="1299" w:name="_Toc130368824"/>
      <w:bookmarkStart w:id="1300" w:name="_Toc130368954"/>
      <w:bookmarkStart w:id="1301" w:name="_Toc130703462"/>
      <w:bookmarkStart w:id="1302" w:name="_Toc382298170"/>
      <w:bookmarkStart w:id="1303" w:name="_Toc443035965"/>
      <w:r>
        <w:t>Property rights</w:t>
      </w:r>
      <w:bookmarkEnd w:id="1295"/>
      <w:bookmarkEnd w:id="1296"/>
      <w:bookmarkEnd w:id="1297"/>
      <w:bookmarkEnd w:id="1298"/>
      <w:bookmarkEnd w:id="1299"/>
      <w:bookmarkEnd w:id="1300"/>
      <w:bookmarkEnd w:id="1301"/>
      <w:bookmarkEnd w:id="1302"/>
      <w:bookmarkEnd w:id="1303"/>
    </w:p>
    <w:p w:rsidR="002F41EE" w:rsidRDefault="002F41EE">
      <w:r>
        <w:t>All information, documents and IMP provided by the Sponsor or its designee are and remain the sole property of the Sponsor.</w:t>
      </w:r>
    </w:p>
    <w:p w:rsidR="002F41EE" w:rsidRDefault="002F41EE">
      <w:r>
        <w:t xml:space="preserve">The Investigator shall not </w:t>
      </w:r>
      <w:r w:rsidR="006A1272">
        <w:t xml:space="preserve">and shall cause the delegated Investigator staff /Subinvestigator not to </w:t>
      </w:r>
      <w:r>
        <w:t>mention any information or the Product in any application for a patent or for any other intellectual property rights.</w:t>
      </w:r>
    </w:p>
    <w:p w:rsidR="002F41EE" w:rsidRDefault="002F41EE">
      <w:r>
        <w:t>All the results, data, documents and inventions, which arise directly or indirectly from the clinical trial in any form, shall be the immediate and exclusive property of the Sponsor.</w:t>
      </w:r>
    </w:p>
    <w:p w:rsidR="002F41EE" w:rsidRDefault="002F41EE">
      <w:r>
        <w:t>The Sponsor may use or exploit all the results at its own discretion, without any limitation to its property right (territory, field, continuance). The Sponsor shall be under no obligation to patent, develop, market or otherwise use the results of the clinical trial.</w:t>
      </w:r>
    </w:p>
    <w:p w:rsidR="002F41EE" w:rsidRDefault="002F41EE">
      <w:r>
        <w:t>As the case may be, the Investigator and/or the Subinvestigators shall provide all assistance required by the Sponsor, at the Sponsor's expense, for obtaining and defending any patent, including signature of legal documents.</w:t>
      </w:r>
    </w:p>
    <w:p w:rsidR="002F41EE" w:rsidRDefault="002F41EE">
      <w:pPr>
        <w:pStyle w:val="Heading2"/>
      </w:pPr>
      <w:bookmarkStart w:id="1304" w:name="_Toc89161802"/>
      <w:bookmarkStart w:id="1305" w:name="_Toc128558707"/>
      <w:bookmarkStart w:id="1306" w:name="_Toc129597794"/>
      <w:bookmarkStart w:id="1307" w:name="_Toc130200244"/>
      <w:bookmarkStart w:id="1308" w:name="_Toc130368825"/>
      <w:bookmarkStart w:id="1309" w:name="_Toc130368955"/>
      <w:bookmarkStart w:id="1310" w:name="_Toc130703463"/>
      <w:bookmarkStart w:id="1311" w:name="_Ref354001629"/>
      <w:bookmarkStart w:id="1312" w:name="_Ref379796447"/>
      <w:bookmarkStart w:id="1313" w:name="_Toc382298171"/>
      <w:bookmarkStart w:id="1314" w:name="_Toc443035966"/>
      <w:r>
        <w:t>Data protection</w:t>
      </w:r>
      <w:bookmarkEnd w:id="1304"/>
      <w:bookmarkEnd w:id="1305"/>
      <w:bookmarkEnd w:id="1306"/>
      <w:bookmarkEnd w:id="1307"/>
      <w:bookmarkEnd w:id="1308"/>
      <w:bookmarkEnd w:id="1309"/>
      <w:bookmarkEnd w:id="1310"/>
      <w:bookmarkEnd w:id="1311"/>
      <w:bookmarkEnd w:id="1312"/>
      <w:bookmarkEnd w:id="1313"/>
      <w:bookmarkEnd w:id="1314"/>
    </w:p>
    <w:p w:rsidR="002F41EE" w:rsidRDefault="002F41EE">
      <w:pPr>
        <w:pStyle w:val="ListBulletLevel1"/>
      </w:pPr>
      <w:r>
        <w:t>The patient's personal data, which are included in the Sponsor database shall be treated in compliance with all applicable laws and regulations;</w:t>
      </w:r>
    </w:p>
    <w:p w:rsidR="002F41EE" w:rsidRDefault="002F41EE">
      <w:pPr>
        <w:pStyle w:val="ListBulletLevel1"/>
      </w:pPr>
      <w:r>
        <w:t>When archiving or processing personal data pertaining to the Investigator and/or to the patients, the Sponsor shall take all appropriate measures to safeguard and prevent access to this data by any unauthorized third party.</w:t>
      </w:r>
    </w:p>
    <w:p w:rsidR="002F41EE" w:rsidRDefault="002F41EE" w:rsidP="009341B5">
      <w:pPr>
        <w:pStyle w:val="ListBulletLevel1"/>
      </w:pPr>
      <w:r>
        <w:t>The Sponsor also collects specific data regarding Investigator as well as personal data from any person involved in the study which may be included in the Sponsor’s databases, shall be treated by both the Sponsor and the Investigator in compliance with all applicable laws and regulations.</w:t>
      </w:r>
    </w:p>
    <w:p w:rsidR="00DE5485" w:rsidRPr="009341B5" w:rsidRDefault="00DE5485" w:rsidP="009341B5">
      <w:r w:rsidRPr="009341B5">
        <w:t xml:space="preserve">Subject race or ethnicity will be collected in this study because these data are required by several regulatory authorities (eg, on afro American population for FDA) </w:t>
      </w:r>
      <w:r w:rsidR="00EF2F9C">
        <w:t>(</w:t>
      </w:r>
      <w:r w:rsidR="00EF2F9C" w:rsidRPr="00EF2F9C">
        <w:rPr>
          <w:color w:val="0000FF"/>
        </w:rPr>
        <w:fldChar w:fldCharType="begin"/>
      </w:r>
      <w:r w:rsidR="00EF2F9C" w:rsidRPr="00EF2F9C">
        <w:rPr>
          <w:color w:val="0000FF"/>
        </w:rPr>
        <w:instrText xml:space="preserve"> REF  TARGET_REFBIB0031 \h  \* MERGEFORMAT </w:instrText>
      </w:r>
      <w:r w:rsidR="00EF2F9C" w:rsidRPr="00EF2F9C">
        <w:rPr>
          <w:color w:val="0000FF"/>
        </w:rPr>
      </w:r>
      <w:r w:rsidR="00EF2F9C" w:rsidRPr="00EF2F9C">
        <w:rPr>
          <w:color w:val="0000FF"/>
        </w:rPr>
        <w:fldChar w:fldCharType="separate"/>
      </w:r>
      <w:r w:rsidR="005A26F6" w:rsidRPr="005A26F6">
        <w:rPr>
          <w:color w:val="0000FF"/>
        </w:rPr>
        <w:t>31</w:t>
      </w:r>
      <w:r w:rsidR="00EF2F9C" w:rsidRPr="00EF2F9C">
        <w:rPr>
          <w:color w:val="0000FF"/>
        </w:rPr>
        <w:fldChar w:fldCharType="end"/>
      </w:r>
      <w:r w:rsidR="00EF2F9C">
        <w:t>)</w:t>
      </w:r>
      <w:r w:rsidRPr="009341B5">
        <w:t>.</w:t>
      </w:r>
    </w:p>
    <w:p w:rsidR="00DE5485" w:rsidRPr="009341B5" w:rsidRDefault="00DE5485" w:rsidP="009341B5">
      <w:r w:rsidRPr="009341B5">
        <w:t>The data collected in this study will only be used for the purpose(s) of the study and to document the evaluation of the benefit/ risk ratio, efficacy and safety of the product(s). They may be further processed if they have been anonymized.</w:t>
      </w:r>
    </w:p>
    <w:p w:rsidR="00DE5485" w:rsidRPr="00CA63B0" w:rsidRDefault="00DE5485" w:rsidP="00DE5485">
      <w:pPr>
        <w:autoSpaceDE w:val="0"/>
        <w:autoSpaceDN w:val="0"/>
        <w:adjustRightInd w:val="0"/>
        <w:spacing w:before="0"/>
        <w:rPr>
          <w:rFonts w:eastAsia="Times New Roman" w:cs="Verdana"/>
          <w:color w:val="auto"/>
          <w:lang w:eastAsia="fr-FR"/>
        </w:rPr>
      </w:pPr>
    </w:p>
    <w:p w:rsidR="002F41EE" w:rsidRDefault="002F41EE">
      <w:pPr>
        <w:pStyle w:val="Heading2"/>
      </w:pPr>
      <w:bookmarkStart w:id="1315" w:name="_Toc89161803"/>
      <w:bookmarkStart w:id="1316" w:name="_Toc128558708"/>
      <w:bookmarkStart w:id="1317" w:name="_Toc129597795"/>
      <w:bookmarkStart w:id="1318" w:name="_Toc130200245"/>
      <w:bookmarkStart w:id="1319" w:name="_Toc130368826"/>
      <w:bookmarkStart w:id="1320" w:name="_Toc130368956"/>
      <w:bookmarkStart w:id="1321" w:name="_Toc130703464"/>
      <w:bookmarkStart w:id="1322" w:name="_Toc382298172"/>
      <w:bookmarkStart w:id="1323" w:name="_Toc443035967"/>
      <w:r>
        <w:lastRenderedPageBreak/>
        <w:t>Insurance compensation</w:t>
      </w:r>
      <w:bookmarkEnd w:id="1315"/>
      <w:bookmarkEnd w:id="1316"/>
      <w:bookmarkEnd w:id="1317"/>
      <w:bookmarkEnd w:id="1318"/>
      <w:bookmarkEnd w:id="1319"/>
      <w:bookmarkEnd w:id="1320"/>
      <w:bookmarkEnd w:id="1321"/>
      <w:bookmarkEnd w:id="1322"/>
      <w:bookmarkEnd w:id="1323"/>
    </w:p>
    <w:p w:rsidR="002F41EE" w:rsidRDefault="002F41EE">
      <w:r>
        <w:t xml:space="preserve">The Sponsor certifies that it has taken out a liability insurance policy covering all clinical trials under its sponsorship.  This insurance policy is in accordance with local laws and requirements. The insurance of the Sponsor does not relieve the Investigator and the collaborators from </w:t>
      </w:r>
      <w:r w:rsidR="006A1272">
        <w:t xml:space="preserve">any obligation to maintain </w:t>
      </w:r>
      <w:r>
        <w:t xml:space="preserve">their own liability insurance policy. An insurance certificate will be provided to the IECs/IRBs or </w:t>
      </w:r>
      <w:r w:rsidR="00497160">
        <w:t>regulatory authorities</w:t>
      </w:r>
      <w:r>
        <w:t xml:space="preserve"> in countries requiring this document.</w:t>
      </w:r>
      <w:r w:rsidR="007C4CEC">
        <w:t xml:space="preserve"> </w:t>
      </w:r>
    </w:p>
    <w:p w:rsidR="002F41EE" w:rsidRDefault="002F41EE">
      <w:pPr>
        <w:pStyle w:val="Heading2"/>
      </w:pPr>
      <w:bookmarkStart w:id="1324" w:name="_Toc89161804"/>
      <w:bookmarkStart w:id="1325" w:name="_Toc128558709"/>
      <w:bookmarkStart w:id="1326" w:name="_Toc129597796"/>
      <w:bookmarkStart w:id="1327" w:name="_Toc130200246"/>
      <w:bookmarkStart w:id="1328" w:name="_Toc130368827"/>
      <w:bookmarkStart w:id="1329" w:name="_Toc130368957"/>
      <w:bookmarkStart w:id="1330" w:name="_Toc130703465"/>
      <w:bookmarkStart w:id="1331" w:name="_Toc382298173"/>
      <w:bookmarkStart w:id="1332" w:name="_Toc443035968"/>
      <w:r>
        <w:t>Sponsor audits and inspections by regulatory agencies</w:t>
      </w:r>
      <w:bookmarkEnd w:id="1324"/>
      <w:bookmarkEnd w:id="1325"/>
      <w:bookmarkEnd w:id="1326"/>
      <w:bookmarkEnd w:id="1327"/>
      <w:bookmarkEnd w:id="1328"/>
      <w:bookmarkEnd w:id="1329"/>
      <w:bookmarkEnd w:id="1330"/>
      <w:bookmarkEnd w:id="1331"/>
      <w:bookmarkEnd w:id="1332"/>
    </w:p>
    <w:p w:rsidR="002F41EE" w:rsidRDefault="002F41EE">
      <w:r>
        <w:t>For the purpose of ensuring compliance with the clinical trial protocol, Good Clinical Practice and applicable</w:t>
      </w:r>
      <w:r w:rsidR="00E331DC">
        <w:t xml:space="preserve"> </w:t>
      </w:r>
      <w:r>
        <w:t>regulatory requirements, the Investigator should permit auditing by or on the behalf of the Sponsor and inspection by regulatory authorities.</w:t>
      </w:r>
    </w:p>
    <w:p w:rsidR="002F41EE" w:rsidRDefault="002F41EE">
      <w:r>
        <w:t>The Investigator agrees to allow the auditors/inspectors to have direct access to his/her study records for review, being understood that these personnel is bound by professional secrecy, and as such will not disclose any personal identity or personal medical information.</w:t>
      </w:r>
    </w:p>
    <w:p w:rsidR="002F41EE" w:rsidRDefault="002F41EE">
      <w:r>
        <w:t>The Investigator will make every effort to help with the performance of the audits and inspections, giving access to all necessary facilities, data, and documents.</w:t>
      </w:r>
    </w:p>
    <w:p w:rsidR="002F41EE" w:rsidRDefault="002F41EE">
      <w:r>
        <w:t>As soon as the Investigator is notified of a planned inspection by the authorities, he will inform the Sponsor and authorize the Sponsor to participate in this inspection.</w:t>
      </w:r>
    </w:p>
    <w:p w:rsidR="002F41EE" w:rsidRDefault="002F41EE">
      <w:r>
        <w:t>The confidentiality of the data verified and the protection of the patients should be respected during these inspections.</w:t>
      </w:r>
    </w:p>
    <w:p w:rsidR="002F41EE" w:rsidRDefault="002F41EE">
      <w:r>
        <w:t>Any result and information arising from the inspections by the regulatory authorities will be immediately communicated by the Investigator to the Sponsor.</w:t>
      </w:r>
    </w:p>
    <w:p w:rsidR="002F41EE" w:rsidRDefault="002F41EE">
      <w:r>
        <w:t>The Investigator shall take appropriate measures required by the Sponsor to take corrective actions for all problems found during the audit or inspections.</w:t>
      </w:r>
    </w:p>
    <w:p w:rsidR="002F41EE" w:rsidRDefault="002F41EE">
      <w:pPr>
        <w:pStyle w:val="Heading2"/>
      </w:pPr>
      <w:bookmarkStart w:id="1333" w:name="_Toc89161805"/>
      <w:bookmarkStart w:id="1334" w:name="_Toc128558710"/>
      <w:bookmarkStart w:id="1335" w:name="_Toc129597797"/>
      <w:bookmarkStart w:id="1336" w:name="_Toc130200247"/>
      <w:bookmarkStart w:id="1337" w:name="_Toc130368828"/>
      <w:bookmarkStart w:id="1338" w:name="_Toc130368958"/>
      <w:bookmarkStart w:id="1339" w:name="_Toc130703466"/>
      <w:bookmarkStart w:id="1340" w:name="_Toc382298174"/>
      <w:bookmarkStart w:id="1341" w:name="_Toc443035969"/>
      <w:r>
        <w:t>Premature discontinuation of the study or premature close-out of a site</w:t>
      </w:r>
      <w:bookmarkEnd w:id="1333"/>
      <w:bookmarkEnd w:id="1334"/>
      <w:bookmarkEnd w:id="1335"/>
      <w:bookmarkEnd w:id="1336"/>
      <w:bookmarkEnd w:id="1337"/>
      <w:bookmarkEnd w:id="1338"/>
      <w:bookmarkEnd w:id="1339"/>
      <w:bookmarkEnd w:id="1340"/>
      <w:bookmarkEnd w:id="1341"/>
    </w:p>
    <w:p w:rsidR="002F41EE" w:rsidRDefault="00AF2503">
      <w:pPr>
        <w:pStyle w:val="Heading3"/>
      </w:pPr>
      <w:bookmarkStart w:id="1342" w:name="_Toc89161806"/>
      <w:bookmarkStart w:id="1343" w:name="_Toc128558711"/>
      <w:bookmarkStart w:id="1344" w:name="_Toc129597798"/>
      <w:bookmarkStart w:id="1345" w:name="_Toc130200248"/>
      <w:bookmarkStart w:id="1346" w:name="_Toc130368829"/>
      <w:bookmarkStart w:id="1347" w:name="_Toc130368959"/>
      <w:bookmarkStart w:id="1348" w:name="_Toc130703467"/>
      <w:bookmarkStart w:id="1349" w:name="_Toc382298175"/>
      <w:bookmarkStart w:id="1350" w:name="_Toc443035970"/>
      <w:r>
        <w:t>By</w:t>
      </w:r>
      <w:r w:rsidR="002F41EE">
        <w:t xml:space="preserve"> the Sponsor</w:t>
      </w:r>
      <w:bookmarkEnd w:id="1349"/>
      <w:bookmarkEnd w:id="1350"/>
      <w:r w:rsidR="002F41EE">
        <w:t xml:space="preserve"> </w:t>
      </w:r>
    </w:p>
    <w:p w:rsidR="002F41EE" w:rsidRDefault="007C4CEC">
      <w:r w:rsidRPr="00EB7462">
        <w:t>The Sponsor has the right to terminate the participation of either an individual site or the study at any time, for any reason</w:t>
      </w:r>
      <w:r w:rsidR="00610C6C">
        <w:t>,</w:t>
      </w:r>
      <w:r w:rsidRPr="00EB7462">
        <w:t xml:space="preserve"> </w:t>
      </w:r>
      <w:r w:rsidR="00610C6C">
        <w:t>including but not limited to</w:t>
      </w:r>
      <w:r w:rsidRPr="00EB7462">
        <w:t xml:space="preserve"> the following:</w:t>
      </w:r>
      <w:r w:rsidR="002F41EE">
        <w:t xml:space="preserve"> </w:t>
      </w:r>
      <w:bookmarkEnd w:id="1342"/>
      <w:bookmarkEnd w:id="1343"/>
      <w:bookmarkEnd w:id="1344"/>
      <w:bookmarkEnd w:id="1345"/>
      <w:bookmarkEnd w:id="1346"/>
      <w:bookmarkEnd w:id="1347"/>
      <w:bookmarkEnd w:id="1348"/>
    </w:p>
    <w:p w:rsidR="00B426FC" w:rsidRDefault="007C4CEC" w:rsidP="00B426FC">
      <w:pPr>
        <w:pStyle w:val="ListBulletLevel1"/>
      </w:pPr>
      <w:r>
        <w:t>The</w:t>
      </w:r>
      <w:r w:rsidR="002F41EE">
        <w:t xml:space="preserve"> information on the product leads to doubt as to the benefit/risk ratio;</w:t>
      </w:r>
    </w:p>
    <w:p w:rsidR="00B426FC" w:rsidRPr="00AF2503" w:rsidRDefault="007C4CEC" w:rsidP="00B426FC">
      <w:pPr>
        <w:pStyle w:val="ListBulletLevel1"/>
      </w:pPr>
      <w:r w:rsidRPr="00EB7462">
        <w:t>P</w:t>
      </w:r>
      <w:r w:rsidR="00B426FC" w:rsidRPr="00AF2503">
        <w:t>atient enrollment is unsatisfactory</w:t>
      </w:r>
      <w:r w:rsidR="002232C3">
        <w:t>;</w:t>
      </w:r>
    </w:p>
    <w:p w:rsidR="002F41EE" w:rsidRDefault="007C4CEC">
      <w:pPr>
        <w:pStyle w:val="ListBulletLevel1"/>
      </w:pPr>
      <w:r>
        <w:t>The</w:t>
      </w:r>
      <w:r w:rsidR="002F41EE">
        <w:t xml:space="preserve"> Investigator has received from the Sponsor all IMP, means and information necessary to perform the clinical trial and has not included any patient after a reasonable period of time mutually agreed upon;</w:t>
      </w:r>
    </w:p>
    <w:p w:rsidR="002F41EE" w:rsidRDefault="00AF2503">
      <w:pPr>
        <w:pStyle w:val="ListBulletLevel1"/>
      </w:pPr>
      <w:r>
        <w:lastRenderedPageBreak/>
        <w:t>Non-compliance</w:t>
      </w:r>
      <w:r w:rsidR="002F41EE">
        <w:t xml:space="preserve"> </w:t>
      </w:r>
      <w:r>
        <w:t xml:space="preserve">of </w:t>
      </w:r>
      <w:r w:rsidR="002F41EE">
        <w:t xml:space="preserve">the Investigator </w:t>
      </w:r>
      <w:r>
        <w:t xml:space="preserve">or Subinvestigator, delegated staff with any provision </w:t>
      </w:r>
      <w:r w:rsidR="002F41EE">
        <w:t xml:space="preserve">of the clinical trial protocol, </w:t>
      </w:r>
      <w:r>
        <w:t xml:space="preserve">and </w:t>
      </w:r>
      <w:r w:rsidR="002F41EE">
        <w:t>breach of the applicable laws and regulations or breach of the ICH G</w:t>
      </w:r>
      <w:r>
        <w:t>CP</w:t>
      </w:r>
      <w:r w:rsidR="00C20A4D">
        <w:t>;</w:t>
      </w:r>
    </w:p>
    <w:p w:rsidR="002F41EE" w:rsidRDefault="007C4CEC">
      <w:pPr>
        <w:pStyle w:val="ListBulletLevel1"/>
      </w:pPr>
      <w:r>
        <w:t>The</w:t>
      </w:r>
      <w:r w:rsidR="002F41EE">
        <w:t xml:space="preserve"> total number of patients are included earlier than expected;</w:t>
      </w:r>
    </w:p>
    <w:p w:rsidR="002F41EE" w:rsidRDefault="002F41EE">
      <w:r>
        <w:t>In any case the Sponsor will notify the Investigator of its decision by written notice.</w:t>
      </w:r>
    </w:p>
    <w:p w:rsidR="002F41EE" w:rsidRDefault="00AF2503">
      <w:pPr>
        <w:pStyle w:val="Heading3"/>
      </w:pPr>
      <w:bookmarkStart w:id="1351" w:name="_Toc89161807"/>
      <w:bookmarkStart w:id="1352" w:name="_Toc128558712"/>
      <w:bookmarkStart w:id="1353" w:name="_Toc129597799"/>
      <w:bookmarkStart w:id="1354" w:name="_Toc130200249"/>
      <w:bookmarkStart w:id="1355" w:name="_Toc130368830"/>
      <w:bookmarkStart w:id="1356" w:name="_Toc130368960"/>
      <w:bookmarkStart w:id="1357" w:name="_Toc130703468"/>
      <w:bookmarkStart w:id="1358" w:name="_Toc382298176"/>
      <w:bookmarkStart w:id="1359" w:name="_Toc443035971"/>
      <w:r>
        <w:t>By</w:t>
      </w:r>
      <w:r w:rsidR="002F41EE">
        <w:t xml:space="preserve"> the Investigator</w:t>
      </w:r>
      <w:bookmarkEnd w:id="1351"/>
      <w:bookmarkEnd w:id="1352"/>
      <w:bookmarkEnd w:id="1353"/>
      <w:bookmarkEnd w:id="1354"/>
      <w:bookmarkEnd w:id="1355"/>
      <w:bookmarkEnd w:id="1356"/>
      <w:bookmarkEnd w:id="1357"/>
      <w:bookmarkEnd w:id="1358"/>
      <w:bookmarkEnd w:id="1359"/>
    </w:p>
    <w:p w:rsidR="00C20A4D" w:rsidRDefault="002F41EE" w:rsidP="00C20A4D">
      <w:r>
        <w:t xml:space="preserve">The Investigator </w:t>
      </w:r>
      <w:r w:rsidR="00C20A4D">
        <w:t xml:space="preserve">may terminate his/her participation upon </w:t>
      </w:r>
      <w:r w:rsidR="0042191B">
        <w:t>thirty (</w:t>
      </w:r>
      <w:r w:rsidR="00C20A4D">
        <w:t>30</w:t>
      </w:r>
      <w:r w:rsidR="0042191B">
        <w:t>)</w:t>
      </w:r>
      <w:r w:rsidR="00C20A4D">
        <w:t xml:space="preserve"> </w:t>
      </w:r>
      <w:r>
        <w:t xml:space="preserve">days' prior </w:t>
      </w:r>
      <w:r w:rsidR="00C20A4D">
        <w:t xml:space="preserve">written </w:t>
      </w:r>
      <w:r>
        <w:t>notice</w:t>
      </w:r>
      <w:r w:rsidR="00C20A4D" w:rsidRPr="00C20A4D">
        <w:t xml:space="preserve"> </w:t>
      </w:r>
      <w:r w:rsidR="00C20A4D">
        <w:t xml:space="preserve">if the study site or the Investigator for any reason becomes unable to perform or complete the clinical trial. </w:t>
      </w:r>
    </w:p>
    <w:p w:rsidR="002F41EE" w:rsidRDefault="002F41EE">
      <w:r>
        <w:t xml:space="preserve">In </w:t>
      </w:r>
      <w:r w:rsidR="0042191B">
        <w:t>the event of premature discontinuation of the study or premature close-out of a site, for any reason whatsoever</w:t>
      </w:r>
      <w:r>
        <w:t>, the appropriate</w:t>
      </w:r>
      <w:r w:rsidR="00C20A4D">
        <w:t xml:space="preserve"> </w:t>
      </w:r>
      <w:r>
        <w:t xml:space="preserve">IRB/IEC and </w:t>
      </w:r>
      <w:r w:rsidR="00497160">
        <w:t>regulatory authorities</w:t>
      </w:r>
      <w:r>
        <w:t xml:space="preserve"> should be informed according to applicable regulatory requirements.</w:t>
      </w:r>
    </w:p>
    <w:p w:rsidR="002F41EE" w:rsidRDefault="002F41EE">
      <w:pPr>
        <w:pStyle w:val="Heading2"/>
      </w:pPr>
      <w:bookmarkStart w:id="1360" w:name="_Toc89161808"/>
      <w:bookmarkStart w:id="1361" w:name="_Toc128558713"/>
      <w:bookmarkStart w:id="1362" w:name="_Toc129597800"/>
      <w:bookmarkStart w:id="1363" w:name="_Toc130200250"/>
      <w:bookmarkStart w:id="1364" w:name="_Toc130368831"/>
      <w:bookmarkStart w:id="1365" w:name="_Toc130368961"/>
      <w:bookmarkStart w:id="1366" w:name="_Toc130703469"/>
      <w:bookmarkStart w:id="1367" w:name="_Ref303858130"/>
      <w:bookmarkStart w:id="1368" w:name="_Ref303858270"/>
      <w:bookmarkStart w:id="1369" w:name="_Ref303858548"/>
      <w:bookmarkStart w:id="1370" w:name="_Ref304207161"/>
      <w:bookmarkStart w:id="1371" w:name="_Toc382298177"/>
      <w:bookmarkStart w:id="1372" w:name="_Toc443035972"/>
      <w:r>
        <w:t>Clinical trial results</w:t>
      </w:r>
      <w:bookmarkEnd w:id="1360"/>
      <w:bookmarkEnd w:id="1361"/>
      <w:bookmarkEnd w:id="1362"/>
      <w:bookmarkEnd w:id="1363"/>
      <w:bookmarkEnd w:id="1364"/>
      <w:bookmarkEnd w:id="1365"/>
      <w:bookmarkEnd w:id="1366"/>
      <w:bookmarkEnd w:id="1367"/>
      <w:bookmarkEnd w:id="1368"/>
      <w:bookmarkEnd w:id="1369"/>
      <w:bookmarkEnd w:id="1370"/>
      <w:bookmarkEnd w:id="1371"/>
      <w:bookmarkEnd w:id="1372"/>
    </w:p>
    <w:p w:rsidR="002F41EE" w:rsidRDefault="002F41EE">
      <w:r>
        <w:t>The Sponsor will be responsible for preparing a clinical study report and to provide a summary of study results to the Investigator.</w:t>
      </w:r>
    </w:p>
    <w:p w:rsidR="002F41EE" w:rsidRDefault="002F41EE">
      <w:pPr>
        <w:pStyle w:val="Heading2"/>
      </w:pPr>
      <w:bookmarkStart w:id="1373" w:name="_Toc89161809"/>
      <w:bookmarkStart w:id="1374" w:name="_Toc128558714"/>
      <w:bookmarkStart w:id="1375" w:name="_Toc129597801"/>
      <w:bookmarkStart w:id="1376" w:name="_Toc130200251"/>
      <w:bookmarkStart w:id="1377" w:name="_Toc130368832"/>
      <w:bookmarkStart w:id="1378" w:name="_Toc130368962"/>
      <w:bookmarkStart w:id="1379" w:name="_Toc130703470"/>
      <w:bookmarkStart w:id="1380" w:name="_Ref303858688"/>
      <w:bookmarkStart w:id="1381" w:name="_Ref304207306"/>
      <w:bookmarkStart w:id="1382" w:name="_Ref308441669"/>
      <w:bookmarkStart w:id="1383" w:name="_Toc382298178"/>
      <w:bookmarkStart w:id="1384" w:name="_Ref382409597"/>
      <w:bookmarkStart w:id="1385" w:name="_Toc443035973"/>
      <w:r>
        <w:t>Publications and communications</w:t>
      </w:r>
      <w:bookmarkEnd w:id="1373"/>
      <w:bookmarkEnd w:id="1374"/>
      <w:bookmarkEnd w:id="1375"/>
      <w:bookmarkEnd w:id="1376"/>
      <w:bookmarkEnd w:id="1377"/>
      <w:bookmarkEnd w:id="1378"/>
      <w:bookmarkEnd w:id="1379"/>
      <w:bookmarkEnd w:id="1380"/>
      <w:bookmarkEnd w:id="1381"/>
      <w:bookmarkEnd w:id="1382"/>
      <w:bookmarkEnd w:id="1383"/>
      <w:bookmarkEnd w:id="1384"/>
      <w:bookmarkEnd w:id="1385"/>
    </w:p>
    <w:p w:rsidR="002F41EE" w:rsidRDefault="002F41EE" w:rsidP="006501BD">
      <w:pPr>
        <w:spacing w:before="200"/>
      </w:pPr>
      <w:r>
        <w:rPr>
          <w:lang w:eastAsia="ja-JP"/>
        </w:rPr>
        <w:t>The Investigator undertakes not to make any publication or release pertaining to the study and/or results of the study prior to the Sponsor’s written consent, being understood that the Sponsor will not unreasonably withhold its approval</w:t>
      </w:r>
      <w:r>
        <w:t>.</w:t>
      </w:r>
    </w:p>
    <w:p w:rsidR="002F41EE" w:rsidRDefault="002F41EE" w:rsidP="006501BD">
      <w:pPr>
        <w:spacing w:before="200"/>
        <w:rPr>
          <w:lang w:eastAsia="ja-JP"/>
        </w:rPr>
      </w:pPr>
      <w:r>
        <w:rPr>
          <w:spacing w:val="-3"/>
          <w:lang w:eastAsia="ja-JP"/>
        </w:rPr>
        <w:t xml:space="preserve">As </w:t>
      </w:r>
      <w:r>
        <w:rPr>
          <w:lang w:eastAsia="ja-JP"/>
        </w:rPr>
        <w:t>the study is being conducted at multiple sites, the Sponsor agree</w:t>
      </w:r>
      <w:r w:rsidR="005F277E">
        <w:rPr>
          <w:lang w:eastAsia="ja-JP"/>
        </w:rPr>
        <w:t>s</w:t>
      </w:r>
      <w:r>
        <w:rPr>
          <w:lang w:eastAsia="ja-JP"/>
        </w:rPr>
        <w:t xml:space="preserve"> that, consistent with scientific standards, </w:t>
      </w:r>
      <w:r w:rsidR="00CC3F18">
        <w:rPr>
          <w:lang w:eastAsia="ja-JP"/>
        </w:rPr>
        <w:t>a primary</w:t>
      </w:r>
      <w:r>
        <w:rPr>
          <w:lang w:eastAsia="ja-JP"/>
        </w:rPr>
        <w:t xml:space="preserve"> presentation or publication of the</w:t>
      </w:r>
      <w:r w:rsidR="00CC3F18">
        <w:rPr>
          <w:lang w:eastAsia="ja-JP"/>
        </w:rPr>
        <w:t xml:space="preserve"> study</w:t>
      </w:r>
      <w:r>
        <w:rPr>
          <w:lang w:eastAsia="ja-JP"/>
        </w:rPr>
        <w:t xml:space="preserve"> results </w:t>
      </w:r>
      <w:r w:rsidR="00CC3F18">
        <w:rPr>
          <w:lang w:eastAsia="ja-JP"/>
        </w:rPr>
        <w:t>based on global study outcomes shall be sought</w:t>
      </w:r>
      <w:r w:rsidR="005F277E">
        <w:rPr>
          <w:lang w:eastAsia="ja-JP"/>
        </w:rPr>
        <w:t>.</w:t>
      </w:r>
      <w:r w:rsidR="007F00E9">
        <w:rPr>
          <w:lang w:eastAsia="ja-JP"/>
        </w:rPr>
        <w:t xml:space="preserve"> </w:t>
      </w:r>
      <w:r w:rsidR="00070174">
        <w:rPr>
          <w:lang w:eastAsia="ja-JP"/>
        </w:rPr>
        <w:t xml:space="preserve">However, if no multicenter publication is submitted, underway or planned within </w:t>
      </w:r>
      <w:r>
        <w:rPr>
          <w:lang w:eastAsia="ja-JP"/>
        </w:rPr>
        <w:t>twelve (12) months of the completion of this study at all sites, the Investigator shall have the right to publish or present independently the results of this</w:t>
      </w:r>
      <w:r w:rsidR="00070174">
        <w:rPr>
          <w:lang w:eastAsia="ja-JP"/>
        </w:rPr>
        <w:t xml:space="preserve"> study</w:t>
      </w:r>
      <w:r>
        <w:rPr>
          <w:lang w:eastAsia="ja-JP"/>
        </w:rPr>
        <w:t xml:space="preserve"> </w:t>
      </w:r>
      <w:r w:rsidR="005F277E">
        <w:rPr>
          <w:lang w:eastAsia="ja-JP"/>
        </w:rPr>
        <w:t>in agreement with other I</w:t>
      </w:r>
      <w:r w:rsidR="00070174">
        <w:rPr>
          <w:lang w:eastAsia="ja-JP"/>
        </w:rPr>
        <w:t>nvestigators and stakeholders</w:t>
      </w:r>
      <w:r>
        <w:rPr>
          <w:lang w:eastAsia="ja-JP"/>
        </w:rPr>
        <w:t>.</w:t>
      </w:r>
      <w:r w:rsidR="005F277E">
        <w:rPr>
          <w:lang w:eastAsia="ja-JP"/>
        </w:rPr>
        <w:t xml:space="preserve"> </w:t>
      </w:r>
      <w:r>
        <w:rPr>
          <w:lang w:eastAsia="ja-JP"/>
        </w:rPr>
        <w:t>The Investigator shall provide the Sponsor with a copy of any such presentation or publication for review and comment at least 30 days in advance of any presentation or submission for publication.  In addition, if requested by the Sponsor, any presentation or submission for publication shall be delayed for a</w:t>
      </w:r>
      <w:r w:rsidR="003D20A8">
        <w:rPr>
          <w:lang w:eastAsia="ja-JP"/>
        </w:rPr>
        <w:t xml:space="preserve"> limited time, not to exceed 90 </w:t>
      </w:r>
      <w:r>
        <w:rPr>
          <w:lang w:eastAsia="ja-JP"/>
        </w:rPr>
        <w:t xml:space="preserve">days, to allow for filing of a patent application or such other </w:t>
      </w:r>
      <w:r w:rsidR="00070174">
        <w:rPr>
          <w:lang w:eastAsia="ja-JP"/>
        </w:rPr>
        <w:t xml:space="preserve">justified </w:t>
      </w:r>
      <w:r>
        <w:rPr>
          <w:lang w:eastAsia="ja-JP"/>
        </w:rPr>
        <w:t xml:space="preserve">measures as the Sponsor deems appropriate to establish and preserve its proprietary rights. </w:t>
      </w:r>
    </w:p>
    <w:p w:rsidR="002F41EE" w:rsidRDefault="002F41EE" w:rsidP="006501BD">
      <w:pPr>
        <w:spacing w:before="200"/>
        <w:rPr>
          <w:lang w:eastAsia="ja-JP"/>
        </w:rPr>
      </w:pPr>
      <w:r>
        <w:rPr>
          <w:lang w:eastAsia="ja-JP"/>
        </w:rPr>
        <w:t>The Investigator shall not use the name(s) of the Sponsor and/or its employees in advertising or promotional material or publication without the prior written consent of the Sponsor. The Sponsor shall not use the name(s) of the Investigator and/or the collaborators in advertising or promotional material or publication without having received his/her and/or their prior written consent(s).</w:t>
      </w:r>
    </w:p>
    <w:p w:rsidR="002F41EE" w:rsidRDefault="002F41EE" w:rsidP="006501BD">
      <w:pPr>
        <w:spacing w:before="200"/>
      </w:pPr>
      <w:r>
        <w:t>The Sponsor has the right at any time to publish the results of the study.</w:t>
      </w:r>
    </w:p>
    <w:p w:rsidR="002F41EE" w:rsidRDefault="002F41EE">
      <w:pPr>
        <w:pStyle w:val="Heading1"/>
      </w:pPr>
      <w:bookmarkStart w:id="1386" w:name="_Toc89161810"/>
      <w:bookmarkStart w:id="1387" w:name="_Toc128558715"/>
      <w:bookmarkStart w:id="1388" w:name="_Toc129597802"/>
      <w:bookmarkStart w:id="1389" w:name="_Toc130200252"/>
      <w:bookmarkStart w:id="1390" w:name="_Toc130368833"/>
      <w:bookmarkStart w:id="1391" w:name="_Toc130368963"/>
      <w:bookmarkStart w:id="1392" w:name="_Toc130703471"/>
      <w:bookmarkStart w:id="1393" w:name="_Toc382298179"/>
      <w:bookmarkStart w:id="1394" w:name="_Toc443035974"/>
      <w:r>
        <w:lastRenderedPageBreak/>
        <w:t>Clinical trial protocol amendments</w:t>
      </w:r>
      <w:bookmarkEnd w:id="1386"/>
      <w:bookmarkEnd w:id="1387"/>
      <w:bookmarkEnd w:id="1388"/>
      <w:bookmarkEnd w:id="1389"/>
      <w:bookmarkEnd w:id="1390"/>
      <w:bookmarkEnd w:id="1391"/>
      <w:bookmarkEnd w:id="1392"/>
      <w:bookmarkEnd w:id="1393"/>
      <w:bookmarkEnd w:id="1394"/>
    </w:p>
    <w:p w:rsidR="002F41EE" w:rsidRDefault="002F41EE">
      <w:r>
        <w:t>All appendices attached hereto and referred to herein are made part of this clinical trial protocol.</w:t>
      </w:r>
    </w:p>
    <w:p w:rsidR="002F41EE" w:rsidRDefault="002F41EE">
      <w:r>
        <w:t>The Investigator should not implement any deviation from, or changes of the clinical trial protocol without agreement by the Sponsor and prior review and documented approval/favorable opinion from the IRB/IEC of an amendment, except where necessary to eliminate an immedia</w:t>
      </w:r>
      <w:r w:rsidR="000D3D2B">
        <w:t>te hazard(s) to clinical trial p</w:t>
      </w:r>
      <w:r>
        <w:t>atients, or when the change(s) involves only logistical or administrative aspects of the trial. Any change agreed upon will be recorded in writing, the written amendment will be signed by the Investigator and by the Sponsor and the signed amendment will be filed with this clinical trial protocol.</w:t>
      </w:r>
      <w:r w:rsidR="009F0C16">
        <w:t xml:space="preserve"> </w:t>
      </w:r>
    </w:p>
    <w:p w:rsidR="002F41EE" w:rsidRDefault="002F41EE">
      <w:r>
        <w:t>Any amendment to the clinical trial protocol requires written approval/favorable opinion by the IRB/IEC prior to its implementation, unless there are overriding safety reasons.</w:t>
      </w:r>
    </w:p>
    <w:p w:rsidR="002F41EE" w:rsidRDefault="002F41EE">
      <w:r>
        <w:t>In some instances, an amendment may require a change to the informed consent form. The Investigator must receive an IRB/IEC approval/favorable opinion concerning the revised informed consent form prior to implementation of the change and patient signature should be re-collected if necessary.</w:t>
      </w:r>
    </w:p>
    <w:p w:rsidR="002F41EE" w:rsidRDefault="002F41EE">
      <w:pPr>
        <w:pStyle w:val="Heading1"/>
      </w:pPr>
      <w:bookmarkStart w:id="1395" w:name="_Toc89161811"/>
      <w:bookmarkStart w:id="1396" w:name="_Toc128558716"/>
      <w:bookmarkStart w:id="1397" w:name="_Toc129597803"/>
      <w:bookmarkStart w:id="1398" w:name="_Toc130200253"/>
      <w:bookmarkStart w:id="1399" w:name="_Toc130368834"/>
      <w:bookmarkStart w:id="1400" w:name="_Toc130368964"/>
      <w:bookmarkStart w:id="1401" w:name="_Toc130703472"/>
      <w:bookmarkStart w:id="1402" w:name="_Toc382298180"/>
      <w:bookmarkStart w:id="1403" w:name="_Toc443035975"/>
      <w:r>
        <w:lastRenderedPageBreak/>
        <w:t>Bibliographic references</w:t>
      </w:r>
      <w:bookmarkEnd w:id="1395"/>
      <w:bookmarkEnd w:id="1396"/>
      <w:bookmarkEnd w:id="1397"/>
      <w:bookmarkEnd w:id="1398"/>
      <w:bookmarkEnd w:id="1399"/>
      <w:bookmarkEnd w:id="1400"/>
      <w:bookmarkEnd w:id="1401"/>
      <w:bookmarkEnd w:id="1402"/>
      <w:bookmarkEnd w:id="1403"/>
    </w:p>
    <w:bookmarkStart w:id="1404" w:name="TARGET_REFBIB0001"/>
    <w:bookmarkStart w:id="1405" w:name="RefList"/>
    <w:p w:rsidR="005A26F6" w:rsidRDefault="005A26F6" w:rsidP="005A26F6">
      <w:pPr>
        <w:pStyle w:val="Bibliography"/>
      </w:pPr>
      <w:r>
        <w:fldChar w:fldCharType="begin"/>
      </w:r>
      <w:r>
        <w:instrText xml:space="preserve"> SEQ Bibliography </w:instrText>
      </w:r>
      <w:r>
        <w:fldChar w:fldCharType="separate"/>
      </w:r>
      <w:r>
        <w:rPr>
          <w:noProof/>
        </w:rPr>
        <w:t>1</w:t>
      </w:r>
      <w:r>
        <w:fldChar w:fldCharType="end"/>
      </w:r>
      <w:bookmarkEnd w:id="1404"/>
      <w:r>
        <w:t>.</w:t>
      </w:r>
      <w:r>
        <w:tab/>
      </w:r>
      <w:fldSimple w:instr=" DOCVARIABLE  REFBIB0001 \* MERGEFORMAT ">
        <w:r>
          <w:t>Lixisenatide Investigator's Brochure, Edition number 12 (30 March 2015), Sanofi-aventis, France</w:t>
        </w:r>
      </w:fldSimple>
    </w:p>
    <w:bookmarkStart w:id="1406" w:name="TARGET_REFBIB0002"/>
    <w:p w:rsidR="005A26F6" w:rsidRDefault="005A26F6" w:rsidP="005A26F6">
      <w:pPr>
        <w:pStyle w:val="Bibliography"/>
      </w:pPr>
      <w:r>
        <w:fldChar w:fldCharType="begin"/>
      </w:r>
      <w:r>
        <w:instrText xml:space="preserve"> SEQ Bibliography </w:instrText>
      </w:r>
      <w:r>
        <w:fldChar w:fldCharType="separate"/>
      </w:r>
      <w:r>
        <w:rPr>
          <w:noProof/>
        </w:rPr>
        <w:t>2</w:t>
      </w:r>
      <w:r>
        <w:fldChar w:fldCharType="end"/>
      </w:r>
      <w:bookmarkEnd w:id="1406"/>
      <w:r>
        <w:t>.</w:t>
      </w:r>
      <w:r>
        <w:tab/>
      </w:r>
      <w:fldSimple w:instr=" DOCVARIABLE  REFBIB0002 \* MERGEFORMAT ">
        <w:r>
          <w:t>European Medicines Agency. Lyxumia summary of product characteristics (EMEA/H/C/0002445). Last updated 6 November 2015 [accessed 5 January 2016]. Available from: http://www.ema.europa.eu/ema/index.jsp?curl=pages/medicines/human/medicines/002445/human_med_001615.jsp&amp;mid=WC0b01ac058001d124</w:t>
        </w:r>
      </w:fldSimple>
    </w:p>
    <w:bookmarkStart w:id="1407" w:name="TARGET_REFBIB0003"/>
    <w:p w:rsidR="005A26F6" w:rsidRDefault="005A26F6" w:rsidP="005A26F6">
      <w:pPr>
        <w:pStyle w:val="Bibliography"/>
      </w:pPr>
      <w:r>
        <w:fldChar w:fldCharType="begin"/>
      </w:r>
      <w:r>
        <w:instrText xml:space="preserve"> SEQ Bibliography </w:instrText>
      </w:r>
      <w:r>
        <w:fldChar w:fldCharType="separate"/>
      </w:r>
      <w:r>
        <w:rPr>
          <w:noProof/>
        </w:rPr>
        <w:t>3</w:t>
      </w:r>
      <w:r>
        <w:fldChar w:fldCharType="end"/>
      </w:r>
      <w:bookmarkEnd w:id="1407"/>
      <w:r>
        <w:t>.</w:t>
      </w:r>
      <w:r>
        <w:tab/>
      </w:r>
      <w:fldSimple w:instr=" DOCVARIABLE  REFBIB0003 \* MERGEFORMAT ">
        <w:r>
          <w:t>European Medicines Agency. Lantus summary of product characteristics (EMEA/H/C/000284 -II/0098). Last updated 25 September 2015 [accessed 5 January 2016]. Available from: http://www.ema.europa.eu/ema/index.jsp?curl=pages/medicines/human/medicines/000284/human_med_000882.jsp&amp;mid=WC0b01ac058001d124</w:t>
        </w:r>
      </w:fldSimple>
    </w:p>
    <w:bookmarkStart w:id="1408" w:name="TARGET_REFBIB0004"/>
    <w:p w:rsidR="005A26F6" w:rsidRDefault="005A26F6" w:rsidP="005A26F6">
      <w:pPr>
        <w:pStyle w:val="Bibliography"/>
      </w:pPr>
      <w:r>
        <w:fldChar w:fldCharType="begin"/>
      </w:r>
      <w:r>
        <w:instrText xml:space="preserve"> SEQ Bibliography </w:instrText>
      </w:r>
      <w:r>
        <w:fldChar w:fldCharType="separate"/>
      </w:r>
      <w:r>
        <w:rPr>
          <w:noProof/>
        </w:rPr>
        <w:t>4</w:t>
      </w:r>
      <w:r>
        <w:fldChar w:fldCharType="end"/>
      </w:r>
      <w:bookmarkEnd w:id="1408"/>
      <w:r>
        <w:t>.</w:t>
      </w:r>
      <w:r>
        <w:tab/>
      </w:r>
      <w:fldSimple w:instr=" DOCVARIABLE  REFBIB0004 \* MERGEFORMAT ">
        <w:r>
          <w:t>Lantus U.S. Prescribing Information (NDA no. 021081). Revised Aug 2015 [accessed 26 Jan 2016]. Available from: http://dailymed.nlm.nih.gov/dailymed/lookup.cfm?setid=d5e07a0c-7e14-4756-9152-9fea485d654a</w:t>
        </w:r>
      </w:fldSimple>
    </w:p>
    <w:bookmarkStart w:id="1409" w:name="TARGET_REFBIB0005"/>
    <w:p w:rsidR="005A26F6" w:rsidRDefault="005A26F6" w:rsidP="005A26F6">
      <w:pPr>
        <w:pStyle w:val="Bibliography"/>
      </w:pPr>
      <w:r>
        <w:fldChar w:fldCharType="begin"/>
      </w:r>
      <w:r>
        <w:instrText xml:space="preserve"> SEQ Bibliography </w:instrText>
      </w:r>
      <w:r>
        <w:fldChar w:fldCharType="separate"/>
      </w:r>
      <w:r>
        <w:rPr>
          <w:noProof/>
        </w:rPr>
        <w:t>5</w:t>
      </w:r>
      <w:r>
        <w:fldChar w:fldCharType="end"/>
      </w:r>
      <w:bookmarkEnd w:id="1409"/>
      <w:r>
        <w:t>.</w:t>
      </w:r>
      <w:r>
        <w:tab/>
      </w:r>
      <w:fldSimple w:instr=" DOCVARIABLE  REFBIB0005 \* MERGEFORMAT ">
        <w:r>
          <w:t>European Medicines Agency. Victoza® summary of product characteristics (EMEA/H/C/001026). Last updated 26 June 2014 [accessed 2 February 2016]. Available from: http://www.glucagon.com/pdfs/VictozaPIEU.pdf</w:t>
        </w:r>
      </w:fldSimple>
    </w:p>
    <w:bookmarkStart w:id="1410" w:name="TARGET_REFBIB0006"/>
    <w:p w:rsidR="005A26F6" w:rsidRDefault="005A26F6" w:rsidP="005A26F6">
      <w:pPr>
        <w:pStyle w:val="Bibliography"/>
      </w:pPr>
      <w:r>
        <w:fldChar w:fldCharType="begin"/>
      </w:r>
      <w:r>
        <w:instrText xml:space="preserve"> SEQ Bibliography </w:instrText>
      </w:r>
      <w:r>
        <w:fldChar w:fldCharType="separate"/>
      </w:r>
      <w:r>
        <w:rPr>
          <w:noProof/>
        </w:rPr>
        <w:t>6</w:t>
      </w:r>
      <w:r>
        <w:fldChar w:fldCharType="end"/>
      </w:r>
      <w:bookmarkEnd w:id="1410"/>
      <w:r>
        <w:t>.</w:t>
      </w:r>
      <w:r>
        <w:tab/>
      </w:r>
      <w:fldSimple w:instr=" DOCVARIABLE  REFBIB0006 \* MERGEFORMAT ">
        <w:r>
          <w:t>Victoza® Prescribing Information (NDA no 206321). Revised 9 March 2015 [accessed 2 February 2016]. Available from: http://www.novo-pi.com/victoza.pdf</w:t>
        </w:r>
      </w:fldSimple>
    </w:p>
    <w:bookmarkStart w:id="1411" w:name="TARGET_REFBIB0007"/>
    <w:p w:rsidR="005A26F6" w:rsidRDefault="005A26F6" w:rsidP="005A26F6">
      <w:pPr>
        <w:pStyle w:val="Bibliography"/>
      </w:pPr>
      <w:r>
        <w:fldChar w:fldCharType="begin"/>
      </w:r>
      <w:r>
        <w:instrText xml:space="preserve"> SEQ Bibliography </w:instrText>
      </w:r>
      <w:r>
        <w:fldChar w:fldCharType="separate"/>
      </w:r>
      <w:r>
        <w:rPr>
          <w:noProof/>
        </w:rPr>
        <w:t>7</w:t>
      </w:r>
      <w:r>
        <w:fldChar w:fldCharType="end"/>
      </w:r>
      <w:bookmarkEnd w:id="1411"/>
      <w:r>
        <w:t>.</w:t>
      </w:r>
      <w:r>
        <w:tab/>
      </w:r>
      <w:fldSimple w:instr=" DOCVARIABLE  REFBIB0007 \* MERGEFORMAT ">
        <w:r>
          <w:t>European Medicines Agency. Byetta® summary of product characteristics (EMEA/H/C/000698). Last updated 28 January 2016 [accessed 2 February 2016]. Available from: http://www.ema.europa.eu/ema/index.jsp?curl=pages/medicines/human/medicines/000698/human_med_000682.jsp&amp;mid=WC0b01ac058001d124</w:t>
        </w:r>
      </w:fldSimple>
    </w:p>
    <w:bookmarkStart w:id="1412" w:name="TARGET_REFBIB0008"/>
    <w:p w:rsidR="005A26F6" w:rsidRDefault="005A26F6" w:rsidP="005A26F6">
      <w:pPr>
        <w:pStyle w:val="Bibliography"/>
      </w:pPr>
      <w:r>
        <w:fldChar w:fldCharType="begin"/>
      </w:r>
      <w:r>
        <w:instrText xml:space="preserve"> SEQ Bibliography </w:instrText>
      </w:r>
      <w:r>
        <w:fldChar w:fldCharType="separate"/>
      </w:r>
      <w:r>
        <w:rPr>
          <w:noProof/>
        </w:rPr>
        <w:t>8</w:t>
      </w:r>
      <w:r>
        <w:fldChar w:fldCharType="end"/>
      </w:r>
      <w:bookmarkEnd w:id="1412"/>
      <w:r>
        <w:t>.</w:t>
      </w:r>
      <w:r>
        <w:tab/>
      </w:r>
      <w:fldSimple w:instr=" DOCVARIABLE  REFBIB0008 \* MERGEFORMAT ">
        <w:r>
          <w:t>Byetta® Prescribing Information (NDA no 021919). Revised March 2012. Available from: http://www.ema.europa.eu/ema/index.jsp?curl=pages/medicines/human/medicines/000698/human_med_000682.jsp&amp;mid=WC0b01ac058001d124</w:t>
        </w:r>
      </w:fldSimple>
    </w:p>
    <w:bookmarkStart w:id="1413" w:name="TARGET_REFBIB0009"/>
    <w:p w:rsidR="005A26F6" w:rsidRDefault="005A26F6" w:rsidP="005A26F6">
      <w:pPr>
        <w:pStyle w:val="Bibliography"/>
      </w:pPr>
      <w:r>
        <w:fldChar w:fldCharType="begin"/>
      </w:r>
      <w:r>
        <w:instrText xml:space="preserve"> SEQ Bibliography </w:instrText>
      </w:r>
      <w:r>
        <w:fldChar w:fldCharType="separate"/>
      </w:r>
      <w:r>
        <w:rPr>
          <w:noProof/>
        </w:rPr>
        <w:t>9</w:t>
      </w:r>
      <w:r>
        <w:fldChar w:fldCharType="end"/>
      </w:r>
      <w:bookmarkEnd w:id="1413"/>
      <w:r>
        <w:t>.</w:t>
      </w:r>
      <w:r>
        <w:tab/>
      </w:r>
      <w:fldSimple w:instr=" DOCVARIABLE  REFBIB0009 \* MERGEFORMAT ">
        <w:r>
          <w:t>European Medicines Agency. Bydureon® summary of product characteristics (EMEA/H/C/002020). Last updated November 2011 [accessed 2 February 2016]. Available from: http://www.ema.europa.eu/ema/index.jsp?curl=pages/medicines/human/medicines/002020/human_med_001457.jsp&amp;mid=WC0b01ac058001d124</w:t>
        </w:r>
      </w:fldSimple>
    </w:p>
    <w:bookmarkStart w:id="1414" w:name="TARGET_REFBIB0010"/>
    <w:p w:rsidR="005A26F6" w:rsidRDefault="005A26F6" w:rsidP="005A26F6">
      <w:pPr>
        <w:pStyle w:val="Bibliography"/>
      </w:pPr>
      <w:r>
        <w:fldChar w:fldCharType="begin"/>
      </w:r>
      <w:r>
        <w:instrText xml:space="preserve"> SEQ Bibliography </w:instrText>
      </w:r>
      <w:r>
        <w:fldChar w:fldCharType="separate"/>
      </w:r>
      <w:r>
        <w:rPr>
          <w:noProof/>
        </w:rPr>
        <w:t>10</w:t>
      </w:r>
      <w:r>
        <w:fldChar w:fldCharType="end"/>
      </w:r>
      <w:bookmarkEnd w:id="1414"/>
      <w:r>
        <w:t>.</w:t>
      </w:r>
      <w:r>
        <w:tab/>
      </w:r>
      <w:fldSimple w:instr=" DOCVARIABLE  REFBIB0010 \* MERGEFORMAT ">
        <w:r>
          <w:t>Bydureon® Prescribing Information (NDA no 22200). Revised January 2012 [accessed 2 February 2016). Available from: http://www.accessdata.fda.gov/drugsatfda_docs/label/2012/022200s000lbl.pdf</w:t>
        </w:r>
      </w:fldSimple>
    </w:p>
    <w:bookmarkStart w:id="1415" w:name="TARGET_REFBIB0011"/>
    <w:p w:rsidR="005A26F6" w:rsidRDefault="005A26F6" w:rsidP="005A26F6">
      <w:pPr>
        <w:pStyle w:val="Bibliography"/>
      </w:pPr>
      <w:r>
        <w:lastRenderedPageBreak/>
        <w:fldChar w:fldCharType="begin"/>
      </w:r>
      <w:r>
        <w:instrText xml:space="preserve"> SEQ Bibliography </w:instrText>
      </w:r>
      <w:r>
        <w:fldChar w:fldCharType="separate"/>
      </w:r>
      <w:r>
        <w:rPr>
          <w:noProof/>
        </w:rPr>
        <w:t>11</w:t>
      </w:r>
      <w:r>
        <w:fldChar w:fldCharType="end"/>
      </w:r>
      <w:bookmarkEnd w:id="1415"/>
      <w:r>
        <w:t>.</w:t>
      </w:r>
      <w:r>
        <w:tab/>
      </w:r>
      <w:fldSimple w:instr=" DOCVARIABLE  REFBIB0011 \* MERGEFORMAT ">
        <w:r>
          <w:t>European Medicines Agency. Eperzan® summary of product characteristics (EMEA/H/C/002735) Last updated 11 January 2016 [accessed 2 February 2016]. Available from: http://www.ema.europa.eu/ema/index.jsp?curl=search.jsp&amp;q=eperzan+summary+of+product+characteristics&amp;btnG=Search&amp;mid=</w:t>
        </w:r>
      </w:fldSimple>
    </w:p>
    <w:bookmarkStart w:id="1416" w:name="TARGET_REFBIB0012"/>
    <w:p w:rsidR="005A26F6" w:rsidRDefault="005A26F6" w:rsidP="005A26F6">
      <w:pPr>
        <w:pStyle w:val="Bibliography"/>
      </w:pPr>
      <w:r>
        <w:fldChar w:fldCharType="begin"/>
      </w:r>
      <w:r>
        <w:instrText xml:space="preserve"> SEQ Bibliography </w:instrText>
      </w:r>
      <w:r>
        <w:fldChar w:fldCharType="separate"/>
      </w:r>
      <w:r>
        <w:rPr>
          <w:noProof/>
        </w:rPr>
        <w:t>12</w:t>
      </w:r>
      <w:r>
        <w:fldChar w:fldCharType="end"/>
      </w:r>
      <w:bookmarkEnd w:id="1416"/>
      <w:r>
        <w:t>.</w:t>
      </w:r>
      <w:r>
        <w:tab/>
      </w:r>
      <w:fldSimple w:instr=" DOCVARIABLE  REFBIB0012 \* MERGEFORMAT ">
        <w:r>
          <w:t>Tanzeum® Prescribing Information (NDA no 125431). Revised May 2015 [accessed 2 February 2016). Available from: https://www.gsksource.com/pharma/content/dam/GlaxoSmithKline/US/en/Prescribing_Information/Tanzeum/pdf/TANZEUM-PI-MG-IFU-COMBINED.PDF</w:t>
        </w:r>
      </w:fldSimple>
    </w:p>
    <w:bookmarkStart w:id="1417" w:name="TARGET_REFBIB0013"/>
    <w:p w:rsidR="005A26F6" w:rsidRDefault="005A26F6" w:rsidP="005A26F6">
      <w:pPr>
        <w:pStyle w:val="Bibliography"/>
      </w:pPr>
      <w:r>
        <w:fldChar w:fldCharType="begin"/>
      </w:r>
      <w:r>
        <w:instrText xml:space="preserve"> SEQ Bibliography </w:instrText>
      </w:r>
      <w:r>
        <w:fldChar w:fldCharType="separate"/>
      </w:r>
      <w:r>
        <w:rPr>
          <w:noProof/>
        </w:rPr>
        <w:t>13</w:t>
      </w:r>
      <w:r>
        <w:fldChar w:fldCharType="end"/>
      </w:r>
      <w:bookmarkEnd w:id="1417"/>
      <w:r>
        <w:t>.</w:t>
      </w:r>
      <w:r>
        <w:tab/>
      </w:r>
      <w:fldSimple w:instr=" DOCVARIABLE  REFBIB0013 \* MERGEFORMAT ">
        <w:r>
          <w:t>European Medicines Agency. Trulicity® Summary of Product Characteristics (EMEA/H/C/002825). Last updated November 2014 [accessed 2 February 2016]. Available from: http://www.ema.europa.eu/ema/index.jsp?curl=/pages/medicines/human/medicines/002825/human_med_001821.jsp</w:t>
        </w:r>
      </w:fldSimple>
    </w:p>
    <w:bookmarkStart w:id="1418" w:name="TARGET_REFBIB0014"/>
    <w:p w:rsidR="005A26F6" w:rsidRDefault="005A26F6" w:rsidP="005A26F6">
      <w:pPr>
        <w:pStyle w:val="Bibliography"/>
      </w:pPr>
      <w:r>
        <w:fldChar w:fldCharType="begin"/>
      </w:r>
      <w:r>
        <w:instrText xml:space="preserve"> SEQ Bibliography </w:instrText>
      </w:r>
      <w:r>
        <w:fldChar w:fldCharType="separate"/>
      </w:r>
      <w:r>
        <w:rPr>
          <w:noProof/>
        </w:rPr>
        <w:t>14</w:t>
      </w:r>
      <w:r>
        <w:fldChar w:fldCharType="end"/>
      </w:r>
      <w:bookmarkEnd w:id="1418"/>
      <w:r>
        <w:t>.</w:t>
      </w:r>
      <w:r>
        <w:tab/>
      </w:r>
      <w:fldSimple w:instr=" DOCVARIABLE  REFBIB0014 \* MERGEFORMAT ">
        <w:r>
          <w:t>Trulicity® Prescribing Information (BLA no 125469). Revised October 2015 [accessed 2 February 2016). Available from: http://www.drugs.com/search.php?searchterm=trulicity+prescribing+information</w:t>
        </w:r>
      </w:fldSimple>
    </w:p>
    <w:bookmarkStart w:id="1419" w:name="TARGET_REFBIB0015"/>
    <w:p w:rsidR="005A26F6" w:rsidRDefault="005A26F6" w:rsidP="005A26F6">
      <w:pPr>
        <w:pStyle w:val="Bibliography"/>
      </w:pPr>
      <w:r>
        <w:fldChar w:fldCharType="begin"/>
      </w:r>
      <w:r>
        <w:instrText xml:space="preserve"> SEQ Bibliography </w:instrText>
      </w:r>
      <w:r>
        <w:fldChar w:fldCharType="separate"/>
      </w:r>
      <w:r>
        <w:rPr>
          <w:noProof/>
        </w:rPr>
        <w:t>15</w:t>
      </w:r>
      <w:r>
        <w:fldChar w:fldCharType="end"/>
      </w:r>
      <w:bookmarkEnd w:id="1419"/>
      <w:r>
        <w:t>.</w:t>
      </w:r>
      <w:r>
        <w:tab/>
      </w:r>
      <w:fldSimple w:instr=" DOCVARIABLE  REFBIB0015 \* MERGEFORMAT ">
        <w:r>
          <w:t>Inzucchi SE, Bergenstal RM, Buse JB, Diamant M, Ferrannini E, Nauck M, et al.  Management of Hyperglycemia in Type 2 Diabetes: A Patient-Centered Approach. Position Statement of the American Diabetes Association (ADA) and the European Association for the Study of Diabetes (EASD) Diabetes Care. 2012;35(6):1364-79.</w:t>
        </w:r>
      </w:fldSimple>
    </w:p>
    <w:bookmarkStart w:id="1420" w:name="TARGET_REFBIB0016"/>
    <w:p w:rsidR="005A26F6" w:rsidRDefault="005A26F6" w:rsidP="005A26F6">
      <w:pPr>
        <w:pStyle w:val="Bibliography"/>
      </w:pPr>
      <w:r>
        <w:fldChar w:fldCharType="begin"/>
      </w:r>
      <w:r>
        <w:instrText xml:space="preserve"> SEQ Bibliography </w:instrText>
      </w:r>
      <w:r>
        <w:fldChar w:fldCharType="separate"/>
      </w:r>
      <w:r>
        <w:rPr>
          <w:noProof/>
        </w:rPr>
        <w:t>16</w:t>
      </w:r>
      <w:r>
        <w:fldChar w:fldCharType="end"/>
      </w:r>
      <w:bookmarkEnd w:id="1420"/>
      <w:r>
        <w:t>.</w:t>
      </w:r>
      <w:r>
        <w:tab/>
      </w:r>
      <w:fldSimple w:instr=" DOCVARIABLE  REFBIB0016 \* MERGEFORMAT ">
        <w:r>
          <w:t>Levin P, Wei W, Wang L, Pan C, Douglas D, Baser O. Combination therapy with insulin glargine and exenatide: real-world outcomes in patients with type 2 diabetes. Current Medical Research &amp; Opinion. 2012;28(3):439-46.</w:t>
        </w:r>
      </w:fldSimple>
    </w:p>
    <w:bookmarkStart w:id="1421" w:name="TARGET_REFBIB0017"/>
    <w:p w:rsidR="005A26F6" w:rsidRDefault="005A26F6" w:rsidP="005A26F6">
      <w:pPr>
        <w:pStyle w:val="Bibliography"/>
      </w:pPr>
      <w:r>
        <w:fldChar w:fldCharType="begin"/>
      </w:r>
      <w:r>
        <w:instrText xml:space="preserve"> SEQ Bibliography </w:instrText>
      </w:r>
      <w:r>
        <w:fldChar w:fldCharType="separate"/>
      </w:r>
      <w:r>
        <w:rPr>
          <w:noProof/>
        </w:rPr>
        <w:t>17</w:t>
      </w:r>
      <w:r>
        <w:fldChar w:fldCharType="end"/>
      </w:r>
      <w:bookmarkEnd w:id="1421"/>
      <w:r>
        <w:t>.</w:t>
      </w:r>
      <w:r>
        <w:tab/>
      </w:r>
      <w:fldSimple w:instr=" DOCVARIABLE  REFBIB0017 \* MERGEFORMAT ">
        <w:r>
          <w:t>Holst JJ, Vilsbøll T. Combining GLP-1 receptor agonists with insulin: therapeutic rationales and clinical findings [review article]. Diabetes, Obesity and Metabolism 2012.</w:t>
        </w:r>
      </w:fldSimple>
    </w:p>
    <w:bookmarkStart w:id="1422" w:name="TARGET_REFBIB0018"/>
    <w:p w:rsidR="005A26F6" w:rsidRDefault="005A26F6" w:rsidP="005A26F6">
      <w:pPr>
        <w:pStyle w:val="Bibliography"/>
      </w:pPr>
      <w:r>
        <w:fldChar w:fldCharType="begin"/>
      </w:r>
      <w:r>
        <w:instrText xml:space="preserve"> SEQ Bibliography </w:instrText>
      </w:r>
      <w:r>
        <w:fldChar w:fldCharType="separate"/>
      </w:r>
      <w:r>
        <w:rPr>
          <w:noProof/>
        </w:rPr>
        <w:t>18</w:t>
      </w:r>
      <w:r>
        <w:fldChar w:fldCharType="end"/>
      </w:r>
      <w:bookmarkEnd w:id="1422"/>
      <w:r>
        <w:t>.</w:t>
      </w:r>
      <w:r>
        <w:tab/>
      </w:r>
      <w:fldSimple w:instr=" DOCVARIABLE  REFBIB0018 \* MERGEFORMAT ">
        <w:r>
          <w:t>Perfetti R. Combining basal insulin analogs with glucagon-like peptide-1 mimetics. Diabetes Technology &amp; Therapeutics. 2011;13(9):873-81.</w:t>
        </w:r>
      </w:fldSimple>
    </w:p>
    <w:bookmarkStart w:id="1423" w:name="TARGET_REFBIB0019"/>
    <w:p w:rsidR="005A26F6" w:rsidRDefault="005A26F6" w:rsidP="005A26F6">
      <w:pPr>
        <w:pStyle w:val="Bibliography"/>
      </w:pPr>
      <w:r>
        <w:fldChar w:fldCharType="begin"/>
      </w:r>
      <w:r>
        <w:instrText xml:space="preserve"> SEQ Bibliography </w:instrText>
      </w:r>
      <w:r>
        <w:fldChar w:fldCharType="separate"/>
      </w:r>
      <w:r>
        <w:rPr>
          <w:noProof/>
        </w:rPr>
        <w:t>19</w:t>
      </w:r>
      <w:r>
        <w:fldChar w:fldCharType="end"/>
      </w:r>
      <w:bookmarkEnd w:id="1423"/>
      <w:r>
        <w:t>.</w:t>
      </w:r>
      <w:r>
        <w:tab/>
      </w:r>
      <w:fldSimple w:instr=" DOCVARIABLE  REFBIB0019 \* MERGEFORMAT ">
        <w:r>
          <w:t>Thong KY, Jose B, Sukumar N, Cull ML, Mills AP, Sathyapalan T, et al. Safety, efficacy and tolerability of exenatide in combination with insulin in the Association of British Clinical Diabetologists nationwide exenatide audit. Diabetes, Obesity and Metabolism. 2011;13(8):703-10.</w:t>
        </w:r>
      </w:fldSimple>
    </w:p>
    <w:bookmarkStart w:id="1424" w:name="TARGET_REFBIB0020"/>
    <w:p w:rsidR="005A26F6" w:rsidRDefault="005A26F6" w:rsidP="005A26F6">
      <w:pPr>
        <w:pStyle w:val="Bibliography"/>
      </w:pPr>
      <w:r>
        <w:fldChar w:fldCharType="begin"/>
      </w:r>
      <w:r>
        <w:instrText xml:space="preserve"> SEQ Bibliography </w:instrText>
      </w:r>
      <w:r>
        <w:fldChar w:fldCharType="separate"/>
      </w:r>
      <w:r>
        <w:rPr>
          <w:noProof/>
        </w:rPr>
        <w:t>20</w:t>
      </w:r>
      <w:r>
        <w:fldChar w:fldCharType="end"/>
      </w:r>
      <w:bookmarkEnd w:id="1424"/>
      <w:r>
        <w:t>.</w:t>
      </w:r>
      <w:r>
        <w:tab/>
      </w:r>
      <w:fldSimple w:instr=" DOCVARIABLE  REFBIB0020 \* MERGEFORMAT ">
        <w:r>
          <w:t>Buse JB, Bergenstal RM, Glass LC, Heilmann CR, Lewis MS, Kwan AY, et al. Use of twice-daily exenatide in basal insulin treated patients with type 2 diabetes - a randomized, controlled trial. Annals of Internal Medicine. 2011;154(2):103-12.</w:t>
        </w:r>
      </w:fldSimple>
    </w:p>
    <w:bookmarkStart w:id="1425" w:name="TARGET_REFBIB0021"/>
    <w:p w:rsidR="005A26F6" w:rsidRDefault="005A26F6" w:rsidP="005A26F6">
      <w:pPr>
        <w:pStyle w:val="Bibliography"/>
      </w:pPr>
      <w:r>
        <w:lastRenderedPageBreak/>
        <w:fldChar w:fldCharType="begin"/>
      </w:r>
      <w:r>
        <w:instrText xml:space="preserve"> SEQ Bibliography </w:instrText>
      </w:r>
      <w:r>
        <w:fldChar w:fldCharType="separate"/>
      </w:r>
      <w:r>
        <w:rPr>
          <w:noProof/>
        </w:rPr>
        <w:t>21</w:t>
      </w:r>
      <w:r>
        <w:fldChar w:fldCharType="end"/>
      </w:r>
      <w:bookmarkEnd w:id="1425"/>
      <w:r>
        <w:t>.</w:t>
      </w:r>
      <w:r>
        <w:tab/>
      </w:r>
      <w:fldSimple w:instr=" DOCVARIABLE  REFBIB0021 \* MERGEFORMAT ">
        <w:r>
          <w:t>Jendle J, Martin SA, Milicevic Z. Insulin and GLP-1 analog combinations in type 2 diabetes mellitus: a critical review. Expert Opin. Investig. Drugs. 2012;21(10): 1463-74. Posted online on July 16, 2012.</w:t>
        </w:r>
      </w:fldSimple>
    </w:p>
    <w:bookmarkStart w:id="1426" w:name="TARGET_REFBIB0022"/>
    <w:p w:rsidR="005A26F6" w:rsidRDefault="005A26F6" w:rsidP="005A26F6">
      <w:pPr>
        <w:pStyle w:val="Bibliography"/>
      </w:pPr>
      <w:r>
        <w:fldChar w:fldCharType="begin"/>
      </w:r>
      <w:r>
        <w:instrText xml:space="preserve"> SEQ Bibliography </w:instrText>
      </w:r>
      <w:r>
        <w:fldChar w:fldCharType="separate"/>
      </w:r>
      <w:r>
        <w:rPr>
          <w:noProof/>
        </w:rPr>
        <w:t>22</w:t>
      </w:r>
      <w:r>
        <w:fldChar w:fldCharType="end"/>
      </w:r>
      <w:bookmarkEnd w:id="1426"/>
      <w:r>
        <w:t>.</w:t>
      </w:r>
      <w:r>
        <w:tab/>
      </w:r>
      <w:fldSimple w:instr=" DOCVARIABLE  REFBIB0022 \* MERGEFORMAT ">
        <w:r>
          <w:t>Berlie H, Hurren KM, Pinelli. Glucagon-like peptide-1 receptor agonists as add-on therapy to basal insulin in patients with type 2 diabetes: a systematic review. Diabetes, Metabolic Syndrome and Obesity. Targets and Therapy. 2012:5;165-74.</w:t>
        </w:r>
      </w:fldSimple>
    </w:p>
    <w:bookmarkStart w:id="1427" w:name="TARGET_REFBIB0023"/>
    <w:p w:rsidR="005A26F6" w:rsidRDefault="005A26F6" w:rsidP="005A26F6">
      <w:pPr>
        <w:pStyle w:val="Bibliography"/>
      </w:pPr>
      <w:r>
        <w:fldChar w:fldCharType="begin"/>
      </w:r>
      <w:r>
        <w:instrText xml:space="preserve"> SEQ Bibliography </w:instrText>
      </w:r>
      <w:r>
        <w:fldChar w:fldCharType="separate"/>
      </w:r>
      <w:r>
        <w:rPr>
          <w:noProof/>
        </w:rPr>
        <w:t>23</w:t>
      </w:r>
      <w:r>
        <w:fldChar w:fldCharType="end"/>
      </w:r>
      <w:bookmarkEnd w:id="1427"/>
      <w:r>
        <w:t>.</w:t>
      </w:r>
      <w:r>
        <w:tab/>
      </w:r>
      <w:fldSimple w:instr=" DOCVARIABLE  REFBIB0023 \* MERGEFORMAT ">
        <w:r>
          <w:t>De Vries JH, Bain SC, Rodbard HW, Seufert J, D’Alessio D, Thomsen AB, et al. Sequential intensification of metformin treatment in type 2 diabetes with liraglutide followed by randomized addition of basal insulin prompted by A1C targets. Diabetes Care. 2012;35(7):1446-54.</w:t>
        </w:r>
      </w:fldSimple>
    </w:p>
    <w:bookmarkStart w:id="1428" w:name="TARGET_REFBIB0024"/>
    <w:p w:rsidR="005A26F6" w:rsidRDefault="005A26F6" w:rsidP="005A26F6">
      <w:pPr>
        <w:pStyle w:val="Bibliography"/>
      </w:pPr>
      <w:r>
        <w:fldChar w:fldCharType="begin"/>
      </w:r>
      <w:r>
        <w:instrText xml:space="preserve"> SEQ Bibliography </w:instrText>
      </w:r>
      <w:r>
        <w:fldChar w:fldCharType="separate"/>
      </w:r>
      <w:r>
        <w:rPr>
          <w:noProof/>
        </w:rPr>
        <w:t>24</w:t>
      </w:r>
      <w:r>
        <w:fldChar w:fldCharType="end"/>
      </w:r>
      <w:bookmarkEnd w:id="1428"/>
      <w:r>
        <w:t>.</w:t>
      </w:r>
      <w:r>
        <w:tab/>
      </w:r>
      <w:fldSimple w:instr=" DOCVARIABLE  REFBIB0024 \* MERGEFORMAT ">
        <w:r>
          <w:t>Riddle MC, Aronson R, Home P, Marre M, Niemoeller E, Miossec P, et al. Adding once-daily Lixisenatide for Type 2 Diabetes inadequately controlled by established basal insulin. a 24-week, randomized, placebo-controlled comparison (GetGoal-L). Diabetes Care. 2013;36(9):2489-96.</w:t>
        </w:r>
      </w:fldSimple>
    </w:p>
    <w:bookmarkStart w:id="1429" w:name="TARGET_REFBIB0025"/>
    <w:p w:rsidR="005A26F6" w:rsidRDefault="005A26F6" w:rsidP="005A26F6">
      <w:pPr>
        <w:pStyle w:val="Bibliography"/>
      </w:pPr>
      <w:r>
        <w:fldChar w:fldCharType="begin"/>
      </w:r>
      <w:r>
        <w:instrText xml:space="preserve"> SEQ Bibliography </w:instrText>
      </w:r>
      <w:r>
        <w:fldChar w:fldCharType="separate"/>
      </w:r>
      <w:r>
        <w:rPr>
          <w:noProof/>
        </w:rPr>
        <w:t>25</w:t>
      </w:r>
      <w:r>
        <w:fldChar w:fldCharType="end"/>
      </w:r>
      <w:bookmarkEnd w:id="1429"/>
      <w:r>
        <w:t>.</w:t>
      </w:r>
      <w:r>
        <w:tab/>
      </w:r>
      <w:fldSimple w:instr=" DOCVARIABLE  REFBIB0025 \* MERGEFORMAT ">
        <w:r>
          <w:t>Seino Y,  Min KW, Niemoeller  E, Takami A.  On behalf of the EFC10887 GETGOAL-L Asia Study Investigators. Randomized, double-blind, placebo-controlled trial of the once-daily GLP-1 receptor agonist lixisenatide in Asian patients with type 2 diabetes insufficiently controlled on basal insulin with or without a sulfonylurea (GetGoal-L-Asia). Diabetes, Obesity and Metabolism. 2012;14(10):910-7.</w:t>
        </w:r>
      </w:fldSimple>
    </w:p>
    <w:bookmarkStart w:id="1430" w:name="TARGET_REFBIB0026"/>
    <w:p w:rsidR="005A26F6" w:rsidRDefault="005A26F6" w:rsidP="005A26F6">
      <w:pPr>
        <w:pStyle w:val="Bibliography"/>
      </w:pPr>
      <w:r>
        <w:fldChar w:fldCharType="begin"/>
      </w:r>
      <w:r>
        <w:instrText xml:space="preserve"> SEQ Bibliography </w:instrText>
      </w:r>
      <w:r>
        <w:fldChar w:fldCharType="separate"/>
      </w:r>
      <w:r>
        <w:rPr>
          <w:noProof/>
        </w:rPr>
        <w:t>26</w:t>
      </w:r>
      <w:r>
        <w:fldChar w:fldCharType="end"/>
      </w:r>
      <w:bookmarkEnd w:id="1430"/>
      <w:r>
        <w:t>.</w:t>
      </w:r>
      <w:r>
        <w:tab/>
      </w:r>
      <w:fldSimple w:instr=" DOCVARIABLE  REFBIB0026 \* MERGEFORMAT ">
        <w:r>
          <w:t>Riddle MC, Forst T, Aronson R, Sauque-Reyna L, Souhami E, Silvestre L, et al. Adding once-daily Lixisenatide for Type 2 Diabetes inadequately controlled with newly initiated and continuously titrated basal insulin glargine. A 24-week, randomized, placebo-controlled study (GETGOAL-DUO-1).  Diabetes Care. 2013;36(9):2497–503.</w:t>
        </w:r>
      </w:fldSimple>
    </w:p>
    <w:bookmarkStart w:id="1431" w:name="TARGET_REFBIB0027"/>
    <w:p w:rsidR="005A26F6" w:rsidRDefault="005A26F6" w:rsidP="005A26F6">
      <w:pPr>
        <w:pStyle w:val="Bibliography"/>
      </w:pPr>
      <w:r>
        <w:fldChar w:fldCharType="begin"/>
      </w:r>
      <w:r>
        <w:instrText xml:space="preserve"> SEQ Bibliography </w:instrText>
      </w:r>
      <w:r>
        <w:fldChar w:fldCharType="separate"/>
      </w:r>
      <w:r>
        <w:rPr>
          <w:noProof/>
        </w:rPr>
        <w:t>27</w:t>
      </w:r>
      <w:r>
        <w:fldChar w:fldCharType="end"/>
      </w:r>
      <w:bookmarkEnd w:id="1431"/>
      <w:r>
        <w:t>.</w:t>
      </w:r>
      <w:r>
        <w:tab/>
      </w:r>
      <w:fldSimple w:instr=" DOCVARIABLE  REFBIB0027 \* MERGEFORMAT ">
        <w:r>
          <w:t>Vora J, Bain SC, Damci T, Dzida G, Hollander P, Meneghini LF, et al. Incretin-based therapy in combination with basal insulin: a promising tactic for the treatment of type 2 diabetes. Diabetes Metab. 2013;39(1):6-15.</w:t>
        </w:r>
      </w:fldSimple>
    </w:p>
    <w:bookmarkStart w:id="1432" w:name="TARGET_REFBIB0028"/>
    <w:p w:rsidR="005A26F6" w:rsidRDefault="005A26F6" w:rsidP="005A26F6">
      <w:pPr>
        <w:pStyle w:val="Bibliography"/>
      </w:pPr>
      <w:r>
        <w:fldChar w:fldCharType="begin"/>
      </w:r>
      <w:r>
        <w:instrText xml:space="preserve"> SEQ Bibliography </w:instrText>
      </w:r>
      <w:r>
        <w:fldChar w:fldCharType="separate"/>
      </w:r>
      <w:r>
        <w:rPr>
          <w:noProof/>
        </w:rPr>
        <w:t>28</w:t>
      </w:r>
      <w:r>
        <w:fldChar w:fldCharType="end"/>
      </w:r>
      <w:bookmarkEnd w:id="1432"/>
      <w:r>
        <w:t>.</w:t>
      </w:r>
      <w:r>
        <w:tab/>
      </w:r>
      <w:fldSimple w:instr=" DOCVARIABLE  REFBIB0028 \* MERGEFORMAT ">
        <w:r>
          <w:t>Rosenstock J, Diamant M, Silvestre L, Souhami E, Zhou T, Fonseca V. Benefits of a fixed-ratio formulation of once-daily insulin glargine/lixisenatide (LixiLan) vs. glargine in type 2 diabetes (T2DM) inadequately controlled on metformin [abstract]. American Diabetes Association, 74th Scientific Sessions, 13-17 June 2014, San Francisco. Oral presentation number 332-OR.</w:t>
        </w:r>
      </w:fldSimple>
    </w:p>
    <w:bookmarkStart w:id="1433" w:name="TARGET_REFBIB0029"/>
    <w:p w:rsidR="005A26F6" w:rsidRDefault="005A26F6" w:rsidP="005A26F6">
      <w:pPr>
        <w:pStyle w:val="Bibliography"/>
      </w:pPr>
      <w:r>
        <w:fldChar w:fldCharType="begin"/>
      </w:r>
      <w:r>
        <w:instrText xml:space="preserve"> SEQ Bibliography </w:instrText>
      </w:r>
      <w:r>
        <w:fldChar w:fldCharType="separate"/>
      </w:r>
      <w:r>
        <w:rPr>
          <w:noProof/>
        </w:rPr>
        <w:t>29</w:t>
      </w:r>
      <w:r>
        <w:fldChar w:fldCharType="end"/>
      </w:r>
      <w:bookmarkEnd w:id="1433"/>
      <w:r>
        <w:t>.</w:t>
      </w:r>
      <w:r>
        <w:tab/>
      </w:r>
      <w:fldSimple w:instr=" DOCVARIABLE  REFBIB0029 \* MERGEFORMAT ">
        <w:r>
          <w:t>Rosenstock J, Guerci B, Paranjape S, Berria R, Souhami E, Aroda V. Improved glucose control without increased hypoglycemia risk at any level of HbA1c reduction with insulin glargine/lixisenatide fixed-ratio combination (LixiLan) vs insulin glargine alone both added-on to metformin in type 2 diabetes (T2DM) [abstract]. American Diabetes Association, 75th scientific sessions, 5-9 June 2015, Boston. Oral presentation number 169-OR.</w:t>
        </w:r>
      </w:fldSimple>
    </w:p>
    <w:bookmarkStart w:id="1434" w:name="TARGET_REFBIB0030"/>
    <w:p w:rsidR="005A26F6" w:rsidRDefault="005A26F6" w:rsidP="005A26F6">
      <w:pPr>
        <w:pStyle w:val="Bibliography"/>
      </w:pPr>
      <w:r>
        <w:fldChar w:fldCharType="begin"/>
      </w:r>
      <w:r>
        <w:instrText xml:space="preserve"> SEQ Bibliography </w:instrText>
      </w:r>
      <w:r>
        <w:fldChar w:fldCharType="separate"/>
      </w:r>
      <w:r>
        <w:rPr>
          <w:noProof/>
        </w:rPr>
        <w:t>30</w:t>
      </w:r>
      <w:r>
        <w:fldChar w:fldCharType="end"/>
      </w:r>
      <w:bookmarkEnd w:id="1434"/>
      <w:r>
        <w:t>.</w:t>
      </w:r>
      <w:r>
        <w:tab/>
      </w:r>
      <w:fldSimple w:instr=" DOCVARIABLE  REFBIB0030 \* MERGEFORMAT ">
        <w:r>
          <w:t>HOE901/AVE0010-Insulin glargine/Lixisenatide Clinical Investigator's Brochure, latest version.</w:t>
        </w:r>
      </w:fldSimple>
    </w:p>
    <w:bookmarkStart w:id="1435" w:name="TARGET_REFBIB0031"/>
    <w:p w:rsidR="00844789" w:rsidRPr="00844789" w:rsidRDefault="005A26F6" w:rsidP="005A26F6">
      <w:pPr>
        <w:pStyle w:val="Bibliography"/>
      </w:pPr>
      <w:r>
        <w:lastRenderedPageBreak/>
        <w:fldChar w:fldCharType="begin"/>
      </w:r>
      <w:r>
        <w:instrText xml:space="preserve"> SEQ Bibliography </w:instrText>
      </w:r>
      <w:r>
        <w:fldChar w:fldCharType="separate"/>
      </w:r>
      <w:r>
        <w:rPr>
          <w:noProof/>
        </w:rPr>
        <w:t>31</w:t>
      </w:r>
      <w:r>
        <w:fldChar w:fldCharType="end"/>
      </w:r>
      <w:bookmarkEnd w:id="1435"/>
      <w:r>
        <w:t>.</w:t>
      </w:r>
      <w:r>
        <w:tab/>
      </w:r>
      <w:fldSimple w:instr=" DOCVARIABLE  REFBIB0031 \* MERGEFORMAT ">
        <w:r>
          <w:t>Guidance for Industry. Collection of race and ethnicity data in clinical trials. FDA/CDER/CBER. Clinical Medical. September 2005:1-18.</w:t>
        </w:r>
      </w:fldSimple>
      <w:bookmarkEnd w:id="1405"/>
      <w:r w:rsidR="00844789" w:rsidRPr="00844789">
        <w:t xml:space="preserve"> </w:t>
      </w:r>
    </w:p>
    <w:p w:rsidR="00844789" w:rsidRPr="00844789" w:rsidRDefault="00844789" w:rsidP="00844789">
      <w:pPr>
        <w:pStyle w:val="Bibliography"/>
      </w:pPr>
    </w:p>
    <w:p w:rsidR="002F41EE" w:rsidRDefault="002F41EE">
      <w:pPr>
        <w:pStyle w:val="Heading1"/>
      </w:pPr>
      <w:bookmarkStart w:id="1436" w:name="_Toc128558717"/>
      <w:bookmarkStart w:id="1437" w:name="_Toc129597804"/>
      <w:bookmarkStart w:id="1438" w:name="_Toc130200254"/>
      <w:bookmarkStart w:id="1439" w:name="_Toc130368835"/>
      <w:bookmarkStart w:id="1440" w:name="_Toc130368965"/>
      <w:bookmarkStart w:id="1441" w:name="_Toc130703473"/>
      <w:bookmarkStart w:id="1442" w:name="_Toc382298181"/>
      <w:bookmarkStart w:id="1443" w:name="_Toc443035976"/>
      <w:r>
        <w:lastRenderedPageBreak/>
        <w:t>Appendices</w:t>
      </w:r>
      <w:bookmarkEnd w:id="1436"/>
      <w:bookmarkEnd w:id="1437"/>
      <w:bookmarkEnd w:id="1438"/>
      <w:bookmarkEnd w:id="1439"/>
      <w:bookmarkEnd w:id="1440"/>
      <w:bookmarkEnd w:id="1441"/>
      <w:bookmarkEnd w:id="1442"/>
      <w:bookmarkEnd w:id="1443"/>
    </w:p>
    <w:p w:rsidR="00D44F43" w:rsidRDefault="00D44F43" w:rsidP="00CC67B4">
      <w:pPr>
        <w:pStyle w:val="AppendixTitle"/>
        <w:pageBreakBefore w:val="0"/>
        <w:numPr>
          <w:ilvl w:val="0"/>
          <w:numId w:val="171"/>
        </w:numPr>
        <w:tabs>
          <w:tab w:val="num" w:pos="3840"/>
        </w:tabs>
        <w:ind w:left="1701" w:hanging="1701"/>
      </w:pPr>
      <w:bookmarkStart w:id="1444" w:name="_Toc128558718"/>
      <w:bookmarkStart w:id="1445" w:name="_Toc129597805"/>
      <w:bookmarkStart w:id="1446" w:name="_Toc130200255"/>
      <w:bookmarkStart w:id="1447" w:name="_Toc130368836"/>
      <w:bookmarkStart w:id="1448" w:name="_Toc130368966"/>
      <w:bookmarkStart w:id="1449" w:name="_Toc130703474"/>
      <w:bookmarkStart w:id="1450" w:name="_Toc382298182"/>
      <w:bookmarkStart w:id="1451" w:name="_Toc425513703"/>
      <w:bookmarkStart w:id="1452" w:name="_Ref435182811"/>
      <w:bookmarkStart w:id="1453" w:name="_Toc443035977"/>
      <w:r>
        <w:t>Guidance on contraceptive methods</w:t>
      </w:r>
      <w:bookmarkEnd w:id="1452"/>
      <w:bookmarkEnd w:id="1453"/>
      <w:r>
        <w:t xml:space="preserve"> </w:t>
      </w:r>
      <w:bookmarkEnd w:id="1444"/>
      <w:bookmarkEnd w:id="1445"/>
      <w:bookmarkEnd w:id="1446"/>
      <w:bookmarkEnd w:id="1447"/>
      <w:bookmarkEnd w:id="1448"/>
      <w:bookmarkEnd w:id="1449"/>
      <w:bookmarkEnd w:id="1450"/>
      <w:bookmarkEnd w:id="1451"/>
    </w:p>
    <w:p w:rsidR="00D44F43" w:rsidRDefault="00D44F43" w:rsidP="00D44F43">
      <w:r>
        <w:t>Highly effective contraceptive method of birth control may be defined according to the local medical practice and regulations</w:t>
      </w:r>
    </w:p>
    <w:p w:rsidR="00D44F43" w:rsidRPr="00F4780A" w:rsidRDefault="00D44F43" w:rsidP="00D44F43">
      <w:pPr>
        <w:rPr>
          <w:b/>
        </w:rPr>
      </w:pPr>
      <w:r w:rsidRPr="00F4780A">
        <w:rPr>
          <w:b/>
        </w:rPr>
        <w:t>For Denmark patients</w:t>
      </w:r>
    </w:p>
    <w:p w:rsidR="00D44F43" w:rsidRDefault="00D44F43" w:rsidP="00D44F43">
      <w:r>
        <w:t>The acceptable methods of contraception for female subjects included in this study in Denmark will include the following:</w:t>
      </w:r>
    </w:p>
    <w:p w:rsidR="00D44F43" w:rsidRDefault="00D44F43" w:rsidP="00CC67B4">
      <w:pPr>
        <w:pStyle w:val="ListBulletLevel1"/>
        <w:numPr>
          <w:ilvl w:val="0"/>
          <w:numId w:val="170"/>
        </w:numPr>
      </w:pPr>
      <w:r>
        <w:t>intra-uterine devices (IUD);</w:t>
      </w:r>
    </w:p>
    <w:p w:rsidR="00D44F43" w:rsidRDefault="00D44F43" w:rsidP="00CC67B4">
      <w:pPr>
        <w:pStyle w:val="ListBulletLevel1"/>
        <w:numPr>
          <w:ilvl w:val="0"/>
          <w:numId w:val="170"/>
        </w:numPr>
      </w:pPr>
      <w:r>
        <w:t>hormonal contraceptives (contraceptive pills, implants, transdermal patches, hormonal vaginal devices or injections with prolonged release);</w:t>
      </w:r>
    </w:p>
    <w:p w:rsidR="00D44F43" w:rsidRDefault="00D44F43" w:rsidP="00CC67B4">
      <w:pPr>
        <w:pStyle w:val="ListBulletLevel1"/>
        <w:numPr>
          <w:ilvl w:val="0"/>
          <w:numId w:val="170"/>
        </w:numPr>
      </w:pPr>
      <w:r>
        <w:t>subjects using a double-barrier contraceptive method (condom used with a diaphragm for example). However, this is limited to exceptional cases or conditions where the patient cannot use other contraceptive methods (ie, hormonal contraceptives or IUD);</w:t>
      </w:r>
    </w:p>
    <w:p w:rsidR="00D44F43" w:rsidRDefault="00D44F43" w:rsidP="00CC67B4">
      <w:pPr>
        <w:pStyle w:val="ListBulletLevel1"/>
        <w:numPr>
          <w:ilvl w:val="0"/>
          <w:numId w:val="170"/>
        </w:numPr>
      </w:pPr>
      <w:r>
        <w:t>subject having a sterilized permanent partner may be allowed to participate in the study.</w:t>
      </w:r>
    </w:p>
    <w:p w:rsidR="00D44F43" w:rsidRDefault="00D44F43" w:rsidP="00D44F43">
      <w:r>
        <w:t>The allowed methods of contraception can be also described in the patient’s information (subject information leaflet).</w:t>
      </w:r>
    </w:p>
    <w:p w:rsidR="00D44F43" w:rsidRDefault="00D44F43" w:rsidP="00D44F43">
      <w:r>
        <w:t>The above methods of contraception must be used in this study by women of childbearing potential throughout the entire trial period and for at least 3 months after the last injection of study medication, covering more than 5 times the terminal half-life of IMP.</w:t>
      </w:r>
    </w:p>
    <w:p w:rsidR="00D44F43" w:rsidRPr="009341B5" w:rsidRDefault="00D44F43" w:rsidP="00D44F43">
      <w:r>
        <w:t>Sterilized or infertile subjects (defined as having undergone surgical sterilization ie, vasectomy/bilateral tubectomy, hysterectomy and bilateral ovariectomy or as being post-menopausal defined as at least 12 months of amenorrhea prior enrolment) will be exempted from the requirements to use contraception in this study.</w:t>
      </w:r>
    </w:p>
    <w:p w:rsidR="00D44F43" w:rsidRDefault="00D44F43" w:rsidP="00D44F43"/>
    <w:p w:rsidR="00D44F43" w:rsidRPr="00D44F43" w:rsidRDefault="00D44F43" w:rsidP="00D44F43"/>
    <w:p w:rsidR="00D44F43" w:rsidRDefault="00D44F43" w:rsidP="00CC67B4">
      <w:pPr>
        <w:pStyle w:val="AppendixTitle"/>
        <w:numPr>
          <w:ilvl w:val="0"/>
          <w:numId w:val="171"/>
        </w:numPr>
        <w:tabs>
          <w:tab w:val="num" w:pos="3840"/>
        </w:tabs>
        <w:ind w:left="1701" w:hanging="1701"/>
      </w:pPr>
      <w:bookmarkStart w:id="1454" w:name="_Ref435181868"/>
      <w:bookmarkStart w:id="1455" w:name="_Toc443035978"/>
      <w:r>
        <w:lastRenderedPageBreak/>
        <w:t>MDRD</w:t>
      </w:r>
      <w:bookmarkEnd w:id="1454"/>
      <w:bookmarkEnd w:id="1455"/>
      <w:r>
        <w:t xml:space="preserve"> </w:t>
      </w:r>
    </w:p>
    <w:p w:rsidR="00A0689E" w:rsidRPr="00A0689E" w:rsidRDefault="00A0689E" w:rsidP="00A0689E"/>
    <w:p w:rsidR="00D44F43" w:rsidRPr="00D44F43" w:rsidRDefault="0043198B" w:rsidP="00D44F43">
      <w:r>
        <w:rPr>
          <w:noProof/>
          <w:lang w:eastAsia="zh-CN"/>
        </w:rPr>
        <w:drawing>
          <wp:inline distT="0" distB="0" distL="0" distR="0">
            <wp:extent cx="5963920" cy="2729865"/>
            <wp:effectExtent l="0" t="0" r="0" b="0"/>
            <wp:docPr id="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63920" cy="2729865"/>
                    </a:xfrm>
                    <a:prstGeom prst="rect">
                      <a:avLst/>
                    </a:prstGeom>
                    <a:noFill/>
                    <a:ln>
                      <a:noFill/>
                    </a:ln>
                  </pic:spPr>
                </pic:pic>
              </a:graphicData>
            </a:graphic>
          </wp:inline>
        </w:drawing>
      </w:r>
    </w:p>
    <w:p w:rsidR="00D44F43" w:rsidRDefault="00D44F43" w:rsidP="00D44F43"/>
    <w:p w:rsidR="00D44F43" w:rsidRPr="00D44F43" w:rsidRDefault="00D44F43" w:rsidP="00D44F43"/>
    <w:p w:rsidR="00D44F43" w:rsidRDefault="00A0689E" w:rsidP="00CC67B4">
      <w:pPr>
        <w:pStyle w:val="AppendixTitle"/>
        <w:numPr>
          <w:ilvl w:val="0"/>
          <w:numId w:val="171"/>
        </w:numPr>
        <w:tabs>
          <w:tab w:val="num" w:pos="3840"/>
        </w:tabs>
        <w:ind w:left="1701" w:hanging="1701"/>
      </w:pPr>
      <w:bookmarkStart w:id="1456" w:name="_Ref435182833"/>
      <w:bookmarkStart w:id="1457" w:name="_Toc443035979"/>
      <w:r>
        <w:lastRenderedPageBreak/>
        <w:t>General Guidance for the follow-up of laboratory abnormalities by Sanofi</w:t>
      </w:r>
      <w:bookmarkEnd w:id="1456"/>
      <w:bookmarkEnd w:id="1457"/>
      <w:r>
        <w:t xml:space="preserve"> </w:t>
      </w:r>
    </w:p>
    <w:p w:rsidR="00A0689E" w:rsidRPr="0024195A" w:rsidRDefault="0043198B" w:rsidP="0024195A">
      <w:pPr>
        <w:jc w:val="center"/>
      </w:pPr>
      <w:r>
        <w:rPr>
          <w:noProof/>
          <w:lang w:eastAsia="zh-CN"/>
        </w:rPr>
        <w:drawing>
          <wp:inline distT="0" distB="0" distL="0" distR="0">
            <wp:extent cx="5008880" cy="68376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b="5829"/>
                    <a:stretch>
                      <a:fillRect/>
                    </a:stretch>
                  </pic:blipFill>
                  <pic:spPr bwMode="auto">
                    <a:xfrm>
                      <a:off x="0" y="0"/>
                      <a:ext cx="5008880" cy="6837680"/>
                    </a:xfrm>
                    <a:prstGeom prst="rect">
                      <a:avLst/>
                    </a:prstGeom>
                    <a:noFill/>
                    <a:ln>
                      <a:noFill/>
                    </a:ln>
                  </pic:spPr>
                </pic:pic>
              </a:graphicData>
            </a:graphic>
          </wp:inline>
        </w:drawing>
      </w:r>
    </w:p>
    <w:p w:rsidR="00A0689E" w:rsidRPr="00A02BAD" w:rsidRDefault="00A0689E" w:rsidP="00A02BAD">
      <w:r w:rsidRPr="00A02BAD">
        <w:t xml:space="preserve">Neutropenia is to be recorded as AE only if at least one of the criteria listed in the General guidelines for reporting adverse events in </w:t>
      </w:r>
      <w:hyperlink w:anchor="_Ref442690362" w:history="1">
        <w:r w:rsidR="00DC79D4" w:rsidRPr="00DC79D4">
          <w:rPr>
            <w:rStyle w:val="Hyperlink"/>
            <w:u w:val="none"/>
          </w:rPr>
          <w:t>Section</w:t>
        </w:r>
      </w:hyperlink>
      <w:r w:rsidR="00DC79D4">
        <w:t xml:space="preserve"> </w:t>
      </w:r>
      <w:r w:rsidR="00DC79D4">
        <w:fldChar w:fldCharType="begin"/>
      </w:r>
      <w:r w:rsidR="00DC79D4">
        <w:instrText xml:space="preserve"> REF _Ref442690362 \r \h </w:instrText>
      </w:r>
      <w:r w:rsidR="00DC79D4">
        <w:fldChar w:fldCharType="separate"/>
      </w:r>
      <w:r w:rsidR="005A26F6">
        <w:t>10.4.2</w:t>
      </w:r>
      <w:r w:rsidR="00DC79D4">
        <w:fldChar w:fldCharType="end"/>
      </w:r>
      <w:r w:rsidRPr="00A02BAD">
        <w:t xml:space="preserve"> </w:t>
      </w:r>
      <w:r w:rsidRPr="00A02BAD">
        <w:t>is met.</w:t>
      </w:r>
    </w:p>
    <w:p w:rsidR="00A0689E" w:rsidRPr="0024195A" w:rsidRDefault="0043198B" w:rsidP="0024195A">
      <w:pPr>
        <w:jc w:val="center"/>
      </w:pPr>
      <w:r>
        <w:rPr>
          <w:noProof/>
          <w:lang w:eastAsia="zh-CN"/>
        </w:rPr>
        <w:lastRenderedPageBreak/>
        <w:drawing>
          <wp:inline distT="0" distB="0" distL="0" distR="0">
            <wp:extent cx="5554345" cy="75609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b="6979"/>
                    <a:stretch>
                      <a:fillRect/>
                    </a:stretch>
                  </pic:blipFill>
                  <pic:spPr bwMode="auto">
                    <a:xfrm>
                      <a:off x="0" y="0"/>
                      <a:ext cx="5554345" cy="7560945"/>
                    </a:xfrm>
                    <a:prstGeom prst="rect">
                      <a:avLst/>
                    </a:prstGeom>
                    <a:noFill/>
                    <a:ln>
                      <a:noFill/>
                    </a:ln>
                  </pic:spPr>
                </pic:pic>
              </a:graphicData>
            </a:graphic>
          </wp:inline>
        </w:drawing>
      </w:r>
    </w:p>
    <w:p w:rsidR="00A0689E" w:rsidRPr="00A02BAD" w:rsidRDefault="00A0689E" w:rsidP="00A02BAD">
      <w:r w:rsidRPr="00A02BAD">
        <w:t xml:space="preserve">Thrombocytopenia is to be recorded as AE only if at least one of the criteria listed in the General guidelines for reporting adverse events in </w:t>
      </w:r>
      <w:hyperlink w:anchor="_Ref442690362" w:history="1">
        <w:r w:rsidR="00DC79D4" w:rsidRPr="00DC79D4">
          <w:rPr>
            <w:rStyle w:val="Hyperlink"/>
            <w:u w:val="none"/>
          </w:rPr>
          <w:t>Section</w:t>
        </w:r>
      </w:hyperlink>
      <w:r w:rsidR="00DC79D4">
        <w:t xml:space="preserve"> </w:t>
      </w:r>
      <w:r w:rsidR="00DC79D4">
        <w:fldChar w:fldCharType="begin"/>
      </w:r>
      <w:r w:rsidR="00DC79D4">
        <w:instrText xml:space="preserve"> REF _Ref442690362 \r \h </w:instrText>
      </w:r>
      <w:r w:rsidR="00DC79D4">
        <w:fldChar w:fldCharType="separate"/>
      </w:r>
      <w:r w:rsidR="005A26F6">
        <w:t>10.4.2</w:t>
      </w:r>
      <w:r w:rsidR="00DC79D4">
        <w:fldChar w:fldCharType="end"/>
      </w:r>
      <w:r w:rsidRPr="00A02BAD">
        <w:t xml:space="preserve"> is met.</w:t>
      </w:r>
    </w:p>
    <w:p w:rsidR="00D9367A" w:rsidRDefault="0043198B" w:rsidP="00D9367A">
      <w:pPr>
        <w:jc w:val="center"/>
      </w:pPr>
      <w:r>
        <w:rPr>
          <w:noProof/>
          <w:lang w:eastAsia="zh-CN"/>
        </w:rPr>
        <w:drawing>
          <wp:anchor distT="0" distB="0" distL="114300" distR="114300" simplePos="0" relativeHeight="251657728" behindDoc="0" locked="0" layoutInCell="1" allowOverlap="1">
            <wp:simplePos x="0" y="0"/>
            <wp:positionH relativeFrom="character">
              <wp:posOffset>-468630</wp:posOffset>
            </wp:positionH>
            <wp:positionV relativeFrom="line">
              <wp:posOffset>15875</wp:posOffset>
            </wp:positionV>
            <wp:extent cx="5799455" cy="6402705"/>
            <wp:effectExtent l="0" t="0" r="0" b="0"/>
            <wp:wrapNone/>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99455" cy="64027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rPr>
        <mc:AlternateContent>
          <mc:Choice Requires="wps">
            <w:drawing>
              <wp:inline distT="0" distB="0" distL="0" distR="0">
                <wp:extent cx="5118100" cy="5936615"/>
                <wp:effectExtent l="0" t="0" r="0" b="0"/>
                <wp:docPr id="1"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118100" cy="593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 o:spid="_x0000_s1026" style="width:403pt;height:46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" filled="f" stroked="f">
                <o:lock v:ext="edit" aspectratio="t"/>
                <w10:anchorlock/>
              </v:rect>
            </w:pict>
          </mc:Fallback>
        </mc:AlternateContent>
      </w:r>
    </w:p>
    <w:p w:rsidR="00263FAB" w:rsidRDefault="00263FAB" w:rsidP="00D9367A">
      <w:pPr>
        <w:rPr>
          <w:sz w:val="16"/>
          <w:szCs w:val="16"/>
        </w:rPr>
      </w:pPr>
    </w:p>
    <w:p w:rsidR="00CB1B3D" w:rsidRPr="0045342C" w:rsidRDefault="00CB1B3D" w:rsidP="00D9367A">
      <w:pPr>
        <w:rPr>
          <w:sz w:val="18"/>
          <w:szCs w:val="18"/>
        </w:rPr>
      </w:pPr>
    </w:p>
    <w:p w:rsidR="006E7FB7" w:rsidRDefault="006E7FB7" w:rsidP="006E7FB7">
      <w:pPr>
        <w:pStyle w:val="TblTextbulletedlist"/>
        <w:numPr>
          <w:ilvl w:val="0"/>
          <w:numId w:val="0"/>
        </w:numPr>
      </w:pPr>
    </w:p>
    <w:p w:rsidR="006E7FB7" w:rsidRPr="006E7FB7" w:rsidRDefault="006E7FB7" w:rsidP="006E7FB7">
      <w:pPr>
        <w:pStyle w:val="TblTextbulletedlist"/>
        <w:numPr>
          <w:ilvl w:val="0"/>
          <w:numId w:val="0"/>
        </w:numPr>
        <w:rPr>
          <w:sz w:val="18"/>
          <w:szCs w:val="18"/>
        </w:rPr>
      </w:pPr>
      <w:r w:rsidRPr="006E7FB7">
        <w:rPr>
          <w:sz w:val="18"/>
          <w:szCs w:val="18"/>
        </w:rPr>
        <w:t xml:space="preserve">*If unable to retest in 72 hours, use original lab results to decide on further reporting/monitoring/discontinuation. </w:t>
      </w:r>
    </w:p>
    <w:p w:rsidR="006E7FB7" w:rsidRPr="006E7FB7" w:rsidRDefault="006E7FB7" w:rsidP="006E7FB7">
      <w:pPr>
        <w:pStyle w:val="TblTextbulletedlist"/>
        <w:numPr>
          <w:ilvl w:val="0"/>
          <w:numId w:val="0"/>
        </w:numPr>
        <w:rPr>
          <w:sz w:val="18"/>
          <w:szCs w:val="18"/>
        </w:rPr>
      </w:pPr>
      <w:r w:rsidRPr="006E7FB7">
        <w:rPr>
          <w:sz w:val="18"/>
          <w:szCs w:val="18"/>
        </w:rPr>
        <w:t>Note:</w:t>
      </w:r>
    </w:p>
    <w:p w:rsidR="006E7FB7" w:rsidRPr="006E7FB7" w:rsidRDefault="006E7FB7" w:rsidP="00CC67B4">
      <w:pPr>
        <w:pStyle w:val="TblTextbulletedlist"/>
        <w:numPr>
          <w:ilvl w:val="0"/>
          <w:numId w:val="181"/>
        </w:numPr>
        <w:ind w:left="216" w:hanging="216"/>
        <w:rPr>
          <w:sz w:val="18"/>
          <w:szCs w:val="18"/>
        </w:rPr>
      </w:pPr>
      <w:r w:rsidRPr="006E7FB7">
        <w:rPr>
          <w:sz w:val="18"/>
          <w:szCs w:val="18"/>
        </w:rPr>
        <w:t>“Baseline” refers to ALT sampled at baseline visit; or if baseline value unavailable, to the latest ALT sampled before the baseline visit. The algorithm does not apply to the instances of increase in ALT during screening.</w:t>
      </w:r>
    </w:p>
    <w:p w:rsidR="006E7FB7" w:rsidRPr="006E7FB7" w:rsidRDefault="006E7FB7" w:rsidP="00CC67B4">
      <w:pPr>
        <w:pStyle w:val="TblTextbulletedlist"/>
        <w:numPr>
          <w:ilvl w:val="0"/>
          <w:numId w:val="181"/>
        </w:numPr>
        <w:ind w:left="216" w:hanging="216"/>
        <w:rPr>
          <w:sz w:val="18"/>
          <w:szCs w:val="18"/>
        </w:rPr>
      </w:pPr>
      <w:r w:rsidRPr="006E7FB7">
        <w:rPr>
          <w:sz w:val="18"/>
          <w:szCs w:val="18"/>
        </w:rPr>
        <w:t xml:space="preserve">See Section </w:t>
      </w:r>
      <w:r w:rsidRPr="006E7FB7">
        <w:rPr>
          <w:sz w:val="18"/>
          <w:szCs w:val="18"/>
        </w:rPr>
        <w:fldChar w:fldCharType="begin"/>
      </w:r>
      <w:r w:rsidRPr="006E7FB7">
        <w:rPr>
          <w:sz w:val="18"/>
          <w:szCs w:val="18"/>
        </w:rPr>
        <w:instrText xml:space="preserve"> REF _Ref304215734 \r \h  \* MERGEFORMAT </w:instrText>
      </w:r>
      <w:r w:rsidRPr="006E7FB7">
        <w:rPr>
          <w:sz w:val="18"/>
          <w:szCs w:val="18"/>
        </w:rPr>
      </w:r>
      <w:r w:rsidRPr="006E7FB7">
        <w:rPr>
          <w:sz w:val="18"/>
          <w:szCs w:val="18"/>
        </w:rPr>
        <w:fldChar w:fldCharType="separate"/>
      </w:r>
      <w:r w:rsidR="005A26F6">
        <w:rPr>
          <w:sz w:val="18"/>
          <w:szCs w:val="18"/>
        </w:rPr>
        <w:t>10.4</w:t>
      </w:r>
      <w:r w:rsidRPr="006E7FB7">
        <w:rPr>
          <w:sz w:val="18"/>
          <w:szCs w:val="18"/>
        </w:rPr>
        <w:fldChar w:fldCharType="end"/>
      </w:r>
      <w:r w:rsidRPr="006E7FB7">
        <w:rPr>
          <w:sz w:val="18"/>
          <w:szCs w:val="18"/>
        </w:rPr>
        <w:t xml:space="preserve"> for guidance on safety reporting.</w:t>
      </w:r>
    </w:p>
    <w:p w:rsidR="006E7FB7" w:rsidRPr="005E7069" w:rsidRDefault="006E7FB7" w:rsidP="00CC67B4">
      <w:pPr>
        <w:pStyle w:val="TblTextbulletedlist"/>
        <w:numPr>
          <w:ilvl w:val="0"/>
          <w:numId w:val="181"/>
        </w:numPr>
        <w:ind w:left="216" w:hanging="216"/>
      </w:pPr>
      <w:r w:rsidRPr="005E7069">
        <w:t>Normaliza</w:t>
      </w:r>
      <w:r w:rsidR="005A26F6">
        <w:t>tion is defined as ≤</w:t>
      </w:r>
      <w:r w:rsidRPr="005E7069">
        <w:t>ULN or baseline value, if baseline value is &gt;ULN.</w:t>
      </w:r>
    </w:p>
    <w:p w:rsidR="00263FAB" w:rsidRPr="00D9367A" w:rsidRDefault="005A26F6" w:rsidP="00D9367A">
      <w:pPr>
        <w:rPr>
          <w:sz w:val="16"/>
          <w:szCs w:val="16"/>
        </w:rPr>
      </w:pPr>
      <w:r>
        <w:rPr>
          <w:sz w:val="20"/>
          <w:szCs w:val="20"/>
        </w:rPr>
        <w:t>Note: ALT &gt;</w:t>
      </w:r>
      <w:r w:rsidR="00CE4033" w:rsidRPr="00856628">
        <w:rPr>
          <w:sz w:val="20"/>
          <w:szCs w:val="20"/>
        </w:rPr>
        <w:t>3 ULN (if baseline ALT &lt;</w:t>
      </w:r>
      <w:r>
        <w:rPr>
          <w:sz w:val="20"/>
          <w:szCs w:val="20"/>
        </w:rPr>
        <w:t>ULN) or ALT &gt;</w:t>
      </w:r>
      <w:r w:rsidR="00CE4033" w:rsidRPr="00856628">
        <w:rPr>
          <w:sz w:val="20"/>
          <w:szCs w:val="20"/>
        </w:rPr>
        <w:t xml:space="preserve">2 times the baseline value (if baseline ALT ≥LN) should be notified within 24 hours to the monitoring team (see </w:t>
      </w:r>
      <w:r w:rsidR="00CE4033" w:rsidRPr="00856628">
        <w:rPr>
          <w:rStyle w:val="BlueReplace"/>
          <w:sz w:val="20"/>
          <w:szCs w:val="20"/>
        </w:rPr>
        <w:t>Sections</w:t>
      </w:r>
      <w:r w:rsidR="00CE4033" w:rsidRPr="00856628">
        <w:rPr>
          <w:sz w:val="20"/>
          <w:szCs w:val="20"/>
        </w:rPr>
        <w:t xml:space="preserve"> </w:t>
      </w:r>
      <w:r w:rsidR="00CE4033" w:rsidRPr="00856628">
        <w:rPr>
          <w:sz w:val="20"/>
          <w:szCs w:val="20"/>
        </w:rPr>
        <w:fldChar w:fldCharType="begin"/>
      </w:r>
      <w:r w:rsidR="00CE4033" w:rsidRPr="00856628">
        <w:rPr>
          <w:sz w:val="20"/>
          <w:szCs w:val="20"/>
        </w:rPr>
        <w:instrText xml:space="preserve"> REF _Ref353553543 \r \h </w:instrText>
      </w:r>
      <w:r w:rsidR="00CE4033" w:rsidRPr="00856628">
        <w:rPr>
          <w:sz w:val="20"/>
          <w:szCs w:val="20"/>
        </w:rPr>
      </w:r>
      <w:r w:rsidR="00CE4033" w:rsidRPr="00856628">
        <w:rPr>
          <w:sz w:val="20"/>
          <w:szCs w:val="20"/>
        </w:rPr>
        <w:instrText xml:space="preserve"> \* MERGEFORMAT </w:instrText>
      </w:r>
      <w:r w:rsidR="00CE4033" w:rsidRPr="00856628">
        <w:rPr>
          <w:sz w:val="20"/>
          <w:szCs w:val="20"/>
        </w:rPr>
        <w:fldChar w:fldCharType="separate"/>
      </w:r>
      <w:r>
        <w:rPr>
          <w:sz w:val="20"/>
          <w:szCs w:val="20"/>
        </w:rPr>
        <w:t>10.4.1.3</w:t>
      </w:r>
      <w:r w:rsidR="00CE4033" w:rsidRPr="00856628">
        <w:rPr>
          <w:sz w:val="20"/>
          <w:szCs w:val="20"/>
        </w:rPr>
        <w:fldChar w:fldCharType="end"/>
      </w:r>
      <w:r w:rsidR="00CE4033" w:rsidRPr="00856628">
        <w:rPr>
          <w:sz w:val="20"/>
          <w:szCs w:val="20"/>
        </w:rPr>
        <w:t xml:space="preserve">, </w:t>
      </w:r>
      <w:r w:rsidR="00CE4033" w:rsidRPr="00856628">
        <w:rPr>
          <w:sz w:val="20"/>
          <w:szCs w:val="20"/>
        </w:rPr>
        <w:fldChar w:fldCharType="begin"/>
      </w:r>
      <w:r w:rsidR="00CE4033" w:rsidRPr="00856628">
        <w:rPr>
          <w:sz w:val="20"/>
          <w:szCs w:val="20"/>
        </w:rPr>
        <w:instrText xml:space="preserve"> REF _Ref353554124 \r \h </w:instrText>
      </w:r>
      <w:r w:rsidR="00CE4033" w:rsidRPr="00856628">
        <w:rPr>
          <w:sz w:val="20"/>
          <w:szCs w:val="20"/>
        </w:rPr>
      </w:r>
      <w:r w:rsidR="00CE4033" w:rsidRPr="00856628">
        <w:rPr>
          <w:sz w:val="20"/>
          <w:szCs w:val="20"/>
        </w:rPr>
        <w:instrText xml:space="preserve"> \* MERGEFORMAT </w:instrText>
      </w:r>
      <w:r w:rsidR="00CE4033" w:rsidRPr="00856628">
        <w:rPr>
          <w:sz w:val="20"/>
          <w:szCs w:val="20"/>
        </w:rPr>
        <w:fldChar w:fldCharType="separate"/>
      </w:r>
      <w:r>
        <w:rPr>
          <w:sz w:val="20"/>
          <w:szCs w:val="20"/>
        </w:rPr>
        <w:t>10.4.4</w:t>
      </w:r>
      <w:r w:rsidR="00CE4033" w:rsidRPr="00856628">
        <w:rPr>
          <w:sz w:val="20"/>
          <w:szCs w:val="20"/>
        </w:rPr>
        <w:fldChar w:fldCharType="end"/>
      </w:r>
      <w:r w:rsidR="00CE4033" w:rsidRPr="00856628">
        <w:rPr>
          <w:sz w:val="20"/>
          <w:szCs w:val="20"/>
        </w:rPr>
        <w:t xml:space="preserve"> and </w:t>
      </w:r>
      <w:r w:rsidR="00CE4033" w:rsidRPr="00856628">
        <w:rPr>
          <w:sz w:val="20"/>
          <w:szCs w:val="20"/>
        </w:rPr>
        <w:fldChar w:fldCharType="begin"/>
      </w:r>
      <w:r w:rsidR="00CE4033" w:rsidRPr="00856628">
        <w:rPr>
          <w:sz w:val="20"/>
          <w:szCs w:val="20"/>
        </w:rPr>
        <w:instrText xml:space="preserve"> REF _Ref442972524 \r \h </w:instrText>
      </w:r>
      <w:r w:rsidR="00CE4033" w:rsidRPr="00856628">
        <w:rPr>
          <w:sz w:val="20"/>
          <w:szCs w:val="20"/>
        </w:rPr>
      </w:r>
      <w:r w:rsidR="00CE4033" w:rsidRPr="00856628">
        <w:rPr>
          <w:sz w:val="20"/>
          <w:szCs w:val="20"/>
        </w:rPr>
        <w:instrText xml:space="preserve"> \* MERGEFORMAT </w:instrText>
      </w:r>
      <w:r w:rsidR="00CE4033" w:rsidRPr="00856628">
        <w:rPr>
          <w:sz w:val="20"/>
          <w:szCs w:val="20"/>
        </w:rPr>
        <w:fldChar w:fldCharType="separate"/>
      </w:r>
      <w:r>
        <w:rPr>
          <w:sz w:val="20"/>
          <w:szCs w:val="20"/>
        </w:rPr>
        <w:t>10.4.5</w:t>
      </w:r>
      <w:r w:rsidR="00CE4033" w:rsidRPr="00856628">
        <w:rPr>
          <w:sz w:val="20"/>
          <w:szCs w:val="20"/>
        </w:rPr>
        <w:fldChar w:fldCharType="end"/>
      </w:r>
      <w:r>
        <w:rPr>
          <w:sz w:val="20"/>
          <w:szCs w:val="20"/>
        </w:rPr>
        <w:t>). in addition, if ALT &lt;</w:t>
      </w:r>
      <w:r w:rsidR="00CE4033" w:rsidRPr="00856628">
        <w:rPr>
          <w:sz w:val="20"/>
          <w:szCs w:val="20"/>
        </w:rPr>
        <w:t>3</w:t>
      </w:r>
      <w:r w:rsidR="00856628" w:rsidRPr="00856628">
        <w:rPr>
          <w:sz w:val="20"/>
          <w:szCs w:val="20"/>
        </w:rPr>
        <w:t> </w:t>
      </w:r>
      <w:r w:rsidR="00CE4033" w:rsidRPr="00856628">
        <w:rPr>
          <w:sz w:val="20"/>
          <w:szCs w:val="20"/>
        </w:rPr>
        <w:t>ULN meets a seriousness criterion, the event should be notified within 24 hours to the monitoring team.</w:t>
      </w:r>
    </w:p>
    <w:p w:rsidR="00A0689E" w:rsidRDefault="0043198B" w:rsidP="00263FAB">
      <w:pPr>
        <w:rPr>
          <w:rFonts w:ascii="(Utiliser une police de caractè" w:hAnsi="(Utiliser une police de caractè"/>
          <w:sz w:val="22"/>
          <w:szCs w:val="22"/>
        </w:rPr>
      </w:pPr>
      <w:r>
        <w:rPr>
          <w:noProof/>
          <w:lang w:eastAsia="zh-CN"/>
        </w:rPr>
        <w:lastRenderedPageBreak/>
        <w:drawing>
          <wp:inline distT="0" distB="0" distL="0" distR="0">
            <wp:extent cx="5281930" cy="75609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b="5769"/>
                    <a:stretch>
                      <a:fillRect/>
                    </a:stretch>
                  </pic:blipFill>
                  <pic:spPr bwMode="auto">
                    <a:xfrm>
                      <a:off x="0" y="0"/>
                      <a:ext cx="5281930" cy="7560945"/>
                    </a:xfrm>
                    <a:prstGeom prst="rect">
                      <a:avLst/>
                    </a:prstGeom>
                    <a:noFill/>
                    <a:ln>
                      <a:noFill/>
                    </a:ln>
                  </pic:spPr>
                </pic:pic>
              </a:graphicData>
            </a:graphic>
          </wp:inline>
        </w:drawing>
      </w:r>
    </w:p>
    <w:p w:rsidR="00A0689E" w:rsidRPr="00A02BAD" w:rsidRDefault="00A0689E" w:rsidP="00A02BAD">
      <w:r w:rsidRPr="00A02BAD">
        <w:t xml:space="preserve">Acute renal failure is to be recorded as AE only if at least one of the criteria listed in the General guidelines for reporting adverse events in </w:t>
      </w:r>
      <w:hyperlink w:anchor="_Ref442690362" w:history="1">
        <w:r w:rsidR="00DC79D4" w:rsidRPr="00DC79D4">
          <w:rPr>
            <w:rStyle w:val="Hyperlink"/>
            <w:u w:val="none"/>
          </w:rPr>
          <w:t>Section</w:t>
        </w:r>
      </w:hyperlink>
      <w:r w:rsidR="00DC79D4">
        <w:t xml:space="preserve"> </w:t>
      </w:r>
      <w:r w:rsidR="00DC79D4">
        <w:fldChar w:fldCharType="begin"/>
      </w:r>
      <w:r w:rsidR="00DC79D4">
        <w:instrText xml:space="preserve"> REF _Ref442690362 \r \h </w:instrText>
      </w:r>
      <w:r w:rsidR="00DC79D4">
        <w:fldChar w:fldCharType="separate"/>
      </w:r>
      <w:r w:rsidR="005A26F6">
        <w:t>10.4.2</w:t>
      </w:r>
      <w:r w:rsidR="00DC79D4">
        <w:fldChar w:fldCharType="end"/>
      </w:r>
      <w:r w:rsidRPr="00A02BAD">
        <w:t xml:space="preserve"> is met.</w:t>
      </w:r>
    </w:p>
    <w:p w:rsidR="00A02BAD" w:rsidRPr="0024195A" w:rsidRDefault="0043198B" w:rsidP="0024195A">
      <w:pPr>
        <w:jc w:val="center"/>
      </w:pPr>
      <w:bookmarkStart w:id="1458" w:name="_Toc435522993"/>
      <w:bookmarkStart w:id="1459" w:name="_Toc436399103"/>
      <w:bookmarkStart w:id="1460" w:name="_Toc436837672"/>
      <w:r>
        <w:rPr>
          <w:noProof/>
          <w:lang w:eastAsia="zh-CN"/>
        </w:rPr>
        <w:lastRenderedPageBreak/>
        <w:drawing>
          <wp:inline distT="0" distB="0" distL="0" distR="0">
            <wp:extent cx="5131435" cy="73425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b="4456"/>
                    <a:stretch>
                      <a:fillRect/>
                    </a:stretch>
                  </pic:blipFill>
                  <pic:spPr bwMode="auto">
                    <a:xfrm>
                      <a:off x="0" y="0"/>
                      <a:ext cx="5131435" cy="7342505"/>
                    </a:xfrm>
                    <a:prstGeom prst="rect">
                      <a:avLst/>
                    </a:prstGeom>
                    <a:noFill/>
                    <a:ln>
                      <a:noFill/>
                    </a:ln>
                  </pic:spPr>
                </pic:pic>
              </a:graphicData>
            </a:graphic>
          </wp:inline>
        </w:drawing>
      </w:r>
      <w:bookmarkEnd w:id="1458"/>
      <w:bookmarkEnd w:id="1459"/>
      <w:bookmarkEnd w:id="1460"/>
    </w:p>
    <w:p w:rsidR="003D20A8" w:rsidRPr="00A02BAD" w:rsidRDefault="00A0689E" w:rsidP="00A02BAD">
      <w:r w:rsidRPr="00A02BAD">
        <w:t xml:space="preserve">Suspicion of rhabdomyolysis is to be recorded as AE only if at least one of the criteria in the General guidelines for reporting adverse events in </w:t>
      </w:r>
      <w:hyperlink w:anchor="_Ref442690362" w:history="1">
        <w:r w:rsidR="00DC79D4" w:rsidRPr="00DC79D4">
          <w:rPr>
            <w:rStyle w:val="Hyperlink"/>
            <w:u w:val="none"/>
          </w:rPr>
          <w:t>Section</w:t>
        </w:r>
      </w:hyperlink>
      <w:r w:rsidR="00DC79D4">
        <w:t xml:space="preserve"> </w:t>
      </w:r>
      <w:r w:rsidR="00DC79D4">
        <w:fldChar w:fldCharType="begin"/>
      </w:r>
      <w:r w:rsidR="00DC79D4">
        <w:instrText xml:space="preserve"> REF _Ref442690362 \r \h </w:instrText>
      </w:r>
      <w:r w:rsidR="00DC79D4">
        <w:fldChar w:fldCharType="separate"/>
      </w:r>
      <w:r w:rsidR="005A26F6">
        <w:t>10.4.2</w:t>
      </w:r>
      <w:r w:rsidR="00DC79D4">
        <w:fldChar w:fldCharType="end"/>
      </w:r>
      <w:r w:rsidRPr="00A02BAD">
        <w:t xml:space="preserve"> is met.</w:t>
      </w:r>
    </w:p>
    <w:p w:rsidR="00D44F43" w:rsidRDefault="00A02BAD" w:rsidP="00CC67B4">
      <w:pPr>
        <w:pStyle w:val="AppendixTitle"/>
        <w:numPr>
          <w:ilvl w:val="0"/>
          <w:numId w:val="171"/>
        </w:numPr>
        <w:tabs>
          <w:tab w:val="num" w:pos="3840"/>
        </w:tabs>
        <w:ind w:left="1701" w:hanging="1701"/>
      </w:pPr>
      <w:bookmarkStart w:id="1461" w:name="_Toc128558719"/>
      <w:bookmarkStart w:id="1462" w:name="_Toc129597806"/>
      <w:bookmarkStart w:id="1463" w:name="_Toc130200256"/>
      <w:bookmarkStart w:id="1464" w:name="_Toc130368837"/>
      <w:bookmarkStart w:id="1465" w:name="_Toc130368967"/>
      <w:bookmarkStart w:id="1466" w:name="_Toc130703475"/>
      <w:bookmarkStart w:id="1467" w:name="_Toc382298183"/>
      <w:bookmarkStart w:id="1468" w:name="_Toc425513704"/>
      <w:bookmarkStart w:id="1469" w:name="_Ref435182880"/>
      <w:bookmarkStart w:id="1470" w:name="_Toc443035980"/>
      <w:r>
        <w:lastRenderedPageBreak/>
        <w:t>Back-up plan for SAE and other Investigator Expedited Events reporting process when the e-CRF system fails</w:t>
      </w:r>
      <w:bookmarkEnd w:id="1461"/>
      <w:bookmarkEnd w:id="1462"/>
      <w:bookmarkEnd w:id="1463"/>
      <w:bookmarkEnd w:id="1464"/>
      <w:bookmarkEnd w:id="1465"/>
      <w:bookmarkEnd w:id="1466"/>
      <w:bookmarkEnd w:id="1467"/>
      <w:bookmarkEnd w:id="1468"/>
      <w:bookmarkEnd w:id="1469"/>
      <w:bookmarkEnd w:id="1470"/>
    </w:p>
    <w:p w:rsidR="003D20A8" w:rsidRPr="003D20A8" w:rsidRDefault="0043198B" w:rsidP="0024195A">
      <w:pPr>
        <w:jc w:val="center"/>
      </w:pPr>
      <w:r>
        <w:rPr>
          <w:noProof/>
          <w:lang w:eastAsia="zh-CN"/>
        </w:rPr>
        <w:drawing>
          <wp:inline distT="0" distB="0" distL="0" distR="0">
            <wp:extent cx="3289300" cy="4612640"/>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9300" cy="4612640"/>
                    </a:xfrm>
                    <a:prstGeom prst="rect">
                      <a:avLst/>
                    </a:prstGeom>
                    <a:noFill/>
                    <a:ln>
                      <a:noFill/>
                    </a:ln>
                  </pic:spPr>
                </pic:pic>
              </a:graphicData>
            </a:graphic>
          </wp:inline>
        </w:drawing>
      </w:r>
      <w:bookmarkEnd w:id="126"/>
    </w:p>
    <w:sectPr w:rsidR="003D20A8" w:rsidRPr="003D20A8" w:rsidSect="00E37F9A">
      <w:headerReference w:type="even" r:id="rId32"/>
      <w:headerReference w:type="default" r:id="rId33"/>
      <w:footerReference w:type="even" r:id="rId34"/>
      <w:footerReference w:type="default" r:id="rId35"/>
      <w:pgSz w:w="11907" w:h="16839" w:code="9"/>
      <w:pgMar w:top="1814" w:right="850" w:bottom="2154" w:left="1587" w:header="1134" w:footer="1587"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7218" w:rsidRDefault="007F7218">
      <w:r>
        <w:separator/>
      </w:r>
    </w:p>
  </w:endnote>
  <w:endnote w:type="continuationSeparator" w:id="0">
    <w:p w:rsidR="007F7218" w:rsidRDefault="007F72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Gras">
    <w:altName w:val="Arial"/>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Utiliser une police de caractè">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Default="00CE403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Default="00CE4033">
    <w:pPr>
      <w:pStyle w:val="xCoverFooter"/>
    </w:pPr>
    <w:r>
      <w:rPr>
        <w:noProof/>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8" type="#_x0000_t136" style="position:absolute;left:0;text-align:left;margin-left:614.65pt;margin-top:153.95pt;width:127.55pt;height:5.95pt;rotation:-90;z-index:251658240" adj=",10800" fillcolor="black" stroked="f">
          <v:shadow color="navy" offset="-5pt,6pt"/>
          <v:textpath style="font-family:&quot;Arial Narrow&quot;;font-size:8pt;font-weight:bold;v-text-kern:t" trim="t" fitpath="t" string="EXH02-WDPR-CL00106-EN-E05 (24-NOV-2004)"/>
        </v:shape>
      </w:pict>
    </w:r>
    <w:r>
      <w:t>Any and all information presented in this document shall be treated as confidential and shall remain the exclusive property of Sanofi (or any of its affiliated companies). The use of such confidential information must be restricted to the recipient for the agreed purpose and must not be disclosed, published or otherwise communicated to any unauthorized persons, for any reason, in any form whatsoever without the prior written consent of Sanofi (or the concerned affiliated company); ‘affiliated company’ means any corporation, partnership or other entity which at the date of communication or afterwards (i) controls directly or indirectly Sanofi, (ii) is directly or indirectly controlled by Sanofi, with ‘control’ meaning direct or indirect ownership of more than 50% of the capital stock or the voting rights in such corporation, partnership or other entity</w:t>
    </w:r>
  </w:p>
  <w:p w:rsidR="00CE4033" w:rsidRDefault="00CE4033"/>
  <w:p w:rsidR="00CE4033" w:rsidRDefault="00CE4033">
    <w:pPr>
      <w:tabs>
        <w:tab w:val="right" w:pos="9480"/>
      </w:tabs>
      <w:rPr>
        <w:rFonts w:ascii="Arial" w:hAnsi="Arial" w:cs="Arial"/>
        <w:sz w:val="18"/>
        <w:szCs w:val="18"/>
      </w:rPr>
    </w:pPr>
    <w:r>
      <w:rPr>
        <w:rStyle w:val="BoldCharacter"/>
        <w:rFonts w:ascii="Arial" w:hAnsi="Arial" w:cs="Arial"/>
        <w:b w:val="0"/>
        <w:sz w:val="18"/>
        <w:szCs w:val="18"/>
      </w:rPr>
      <w:t xml:space="preserve">According to template: </w:t>
    </w:r>
    <w:r>
      <w:rPr>
        <w:rStyle w:val="BoldCharacter"/>
        <w:rFonts w:ascii="Arial" w:hAnsi="Arial" w:cs="Arial"/>
        <w:b w:val="0"/>
        <w:sz w:val="18"/>
        <w:szCs w:val="18"/>
      </w:rPr>
      <w:fldChar w:fldCharType="begin"/>
    </w:r>
    <w:r>
      <w:rPr>
        <w:rStyle w:val="BoldCharacter"/>
        <w:rFonts w:ascii="Arial" w:hAnsi="Arial" w:cs="Arial"/>
        <w:b w:val="0"/>
        <w:sz w:val="18"/>
        <w:szCs w:val="18"/>
      </w:rPr>
      <w:instrText xml:space="preserve"> DOCPROPERTY "Document Reference"  \* MERGEFORMAT </w:instrText>
    </w:r>
    <w:r>
      <w:rPr>
        <w:rStyle w:val="BoldCharacter"/>
        <w:rFonts w:ascii="Arial" w:hAnsi="Arial" w:cs="Arial"/>
        <w:b w:val="0"/>
        <w:sz w:val="18"/>
        <w:szCs w:val="18"/>
      </w:rPr>
      <w:fldChar w:fldCharType="separate"/>
    </w:r>
    <w:r w:rsidR="005A26F6" w:rsidRPr="005A26F6">
      <w:rPr>
        <w:rStyle w:val="BoldCharacter"/>
        <w:rFonts w:ascii="Arial" w:hAnsi="Arial" w:cs="Arial"/>
        <w:b w:val="0"/>
        <w:bCs/>
        <w:sz w:val="18"/>
        <w:szCs w:val="18"/>
      </w:rPr>
      <w:t>QSD-002579 VERSION N°13.0 (17-SEP-2015)</w:t>
    </w:r>
    <w:r>
      <w:rPr>
        <w:rStyle w:val="BoldCharacter"/>
        <w:rFonts w:ascii="Arial" w:hAnsi="Arial" w:cs="Arial"/>
        <w:b w:val="0"/>
        <w:sz w:val="18"/>
        <w:szCs w:val="18"/>
      </w:rPr>
      <w:fldChar w:fldCharType="end"/>
    </w:r>
    <w:r>
      <w:rPr>
        <w:rFonts w:ascii="Arial" w:hAnsi="Arial" w:cs="Arial"/>
        <w:sz w:val="18"/>
        <w:szCs w:val="18"/>
      </w:rPr>
      <w:tab/>
      <w:t xml:space="preserve">Page </w:t>
    </w: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sidR="005A26F6">
      <w:rPr>
        <w:rFonts w:ascii="Arial" w:hAnsi="Arial" w:cs="Arial"/>
        <w:noProof/>
        <w:sz w:val="18"/>
        <w:szCs w:val="18"/>
      </w:rPr>
      <w:t>1</w:t>
    </w:r>
    <w:r>
      <w:rPr>
        <w:rFonts w:ascii="Arial" w:hAnsi="Arial" w:cs="Arial"/>
        <w:sz w:val="18"/>
        <w:szCs w:val="18"/>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Default="00CE4033">
    <w:pPr>
      <w:pStyle w:val="xCoverFooter"/>
    </w:pPr>
    <w:r>
      <w:rPr>
        <w:noProof/>
        <w:sz w:val="20"/>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7" type="#_x0000_t136" style="position:absolute;left:0;text-align:left;margin-left:614.65pt;margin-top:153.95pt;width:127.55pt;height:5.95pt;rotation:-90;z-index:251657216" adj=",10800" fillcolor="black" stroked="f">
          <v:shadow color="navy" offset="-5pt,6pt"/>
          <v:textpath style="font-family:&quot;Arial Narrow&quot;;font-size:8pt;font-weight:bold;v-text-kern:t" trim="t" fitpath="t" string="EXH02-WDPR-CL00106-EN-E05 (24-NOV-2004)"/>
        </v:shape>
      </w:pict>
    </w:r>
    <w:r>
      <w:t>Any and all information presented in this document shall be treated as confidential and shall remain the exclusive property of Sanofi (or any of its affiliated companies). The use of such confidential information must be restricted to the recipient for the agreed purpose and must not be disclosed, published or otherwise communicated to any unauthorized persons, for any reason, in any form whatsoever without the prior written consent of Sanofi (or the concerned affiliated company); ‘affiliated company’ means any corporation, partnership or other entity which at the date of communication or afterwards (i) controls directly or indirectly Sanofi, (ii) is directly or indirectly controlled by Sanofi, with ‘control’ meaning direct or indirect ownership of more than 50% of the capital stock or the voting rights in such corporation, partnership or other entity</w:t>
    </w:r>
  </w:p>
  <w:p w:rsidR="00CE4033" w:rsidRDefault="00CE4033"/>
  <w:p w:rsidR="00CE4033" w:rsidRDefault="00CE4033">
    <w:pPr>
      <w:tabs>
        <w:tab w:val="right" w:pos="9480"/>
      </w:tabs>
      <w:rPr>
        <w:rFonts w:ascii="Arial" w:hAnsi="Arial" w:cs="Arial"/>
        <w:sz w:val="18"/>
        <w:szCs w:val="18"/>
      </w:rPr>
    </w:pPr>
    <w:r>
      <w:rPr>
        <w:rStyle w:val="BoldCharacter"/>
        <w:rFonts w:ascii="Arial" w:hAnsi="Arial" w:cs="Arial"/>
        <w:b w:val="0"/>
        <w:sz w:val="18"/>
        <w:szCs w:val="18"/>
      </w:rPr>
      <w:t xml:space="preserve">According to template: </w:t>
    </w:r>
    <w:r>
      <w:rPr>
        <w:rStyle w:val="BoldCharacter"/>
        <w:rFonts w:ascii="Arial" w:hAnsi="Arial" w:cs="Arial"/>
        <w:b w:val="0"/>
        <w:sz w:val="18"/>
        <w:szCs w:val="18"/>
      </w:rPr>
      <w:fldChar w:fldCharType="begin"/>
    </w:r>
    <w:r>
      <w:rPr>
        <w:rStyle w:val="BoldCharacter"/>
        <w:rFonts w:ascii="Arial" w:hAnsi="Arial" w:cs="Arial"/>
        <w:b w:val="0"/>
        <w:sz w:val="18"/>
        <w:szCs w:val="18"/>
      </w:rPr>
      <w:instrText xml:space="preserve"> DOCPROPERTY "Document Reference"  \* MERGEFORMAT </w:instrText>
    </w:r>
    <w:r>
      <w:rPr>
        <w:rStyle w:val="BoldCharacter"/>
        <w:rFonts w:ascii="Arial" w:hAnsi="Arial" w:cs="Arial"/>
        <w:b w:val="0"/>
        <w:sz w:val="18"/>
        <w:szCs w:val="18"/>
      </w:rPr>
      <w:fldChar w:fldCharType="separate"/>
    </w:r>
    <w:r w:rsidR="005A26F6" w:rsidRPr="005A26F6">
      <w:rPr>
        <w:rStyle w:val="BoldCharacter"/>
        <w:rFonts w:ascii="Arial" w:hAnsi="Arial" w:cs="Arial"/>
        <w:b w:val="0"/>
        <w:bCs/>
        <w:sz w:val="18"/>
        <w:szCs w:val="18"/>
      </w:rPr>
      <w:t>QSD-002579 VERSION N°13.0 (17-SEP-2015)</w:t>
    </w:r>
    <w:r>
      <w:rPr>
        <w:rStyle w:val="BoldCharacter"/>
        <w:rFonts w:ascii="Arial" w:hAnsi="Arial" w:cs="Arial"/>
        <w:b w:val="0"/>
        <w:sz w:val="18"/>
        <w:szCs w:val="18"/>
      </w:rPr>
      <w:fldChar w:fldCharType="end"/>
    </w:r>
    <w:r>
      <w:rPr>
        <w:rFonts w:ascii="Arial" w:hAnsi="Arial" w:cs="Arial"/>
        <w:sz w:val="18"/>
        <w:szCs w:val="18"/>
      </w:rPr>
      <w:tab/>
      <w:t xml:space="preserve">Page </w:t>
    </w: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sidR="0043198B">
      <w:rPr>
        <w:rFonts w:ascii="Arial" w:hAnsi="Arial" w:cs="Arial"/>
        <w:noProof/>
        <w:sz w:val="18"/>
        <w:szCs w:val="18"/>
      </w:rPr>
      <w:t>1</w:t>
    </w:r>
    <w:r>
      <w:rPr>
        <w:rFonts w:ascii="Arial" w:hAnsi="Arial" w:cs="Arial"/>
        <w:sz w:val="18"/>
        <w:szCs w:val="18"/>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Default="00CE4033">
    <w:pPr>
      <w:tabs>
        <w:tab w:val="right" w:pos="9469"/>
      </w:tabs>
      <w:spacing w:before="0"/>
      <w:rPr>
        <w:rFonts w:ascii="Arial" w:hAnsi="Arial" w:cs="Arial"/>
        <w:sz w:val="18"/>
        <w:szCs w:val="18"/>
      </w:rPr>
    </w:pPr>
    <w:r>
      <w:rPr>
        <w:rFonts w:ascii="Arial" w:hAnsi="Arial" w:cs="Arial"/>
        <w:sz w:val="18"/>
        <w:szCs w:val="18"/>
      </w:rPr>
      <w:t>Property of the Sanofi Group - strictly confidential</w:t>
    </w:r>
    <w:r>
      <w:rPr>
        <w:rFonts w:ascii="Arial" w:hAnsi="Arial" w:cs="Arial"/>
        <w:sz w:val="18"/>
        <w:szCs w:val="18"/>
      </w:rPr>
      <w:tab/>
      <w:t xml:space="preserve">Page </w:t>
    </w:r>
    <w:r>
      <w:rPr>
        <w:rFonts w:ascii="Arial" w:hAnsi="Arial" w:cs="Arial"/>
        <w:sz w:val="18"/>
        <w:szCs w:val="18"/>
      </w:rPr>
      <w:fldChar w:fldCharType="begin"/>
    </w:r>
    <w:r>
      <w:rPr>
        <w:rFonts w:ascii="Arial" w:hAnsi="Arial" w:cs="Arial"/>
        <w:sz w:val="18"/>
        <w:szCs w:val="18"/>
      </w:rPr>
      <w:instrText xml:space="preserve"> PAGE  \* MERGEFORMAT </w:instrText>
    </w:r>
    <w:r>
      <w:rPr>
        <w:rFonts w:ascii="Arial" w:hAnsi="Arial" w:cs="Arial"/>
        <w:sz w:val="18"/>
        <w:szCs w:val="18"/>
      </w:rPr>
      <w:fldChar w:fldCharType="separate"/>
    </w:r>
    <w:r w:rsidR="0043198B">
      <w:rPr>
        <w:rFonts w:ascii="Arial" w:hAnsi="Arial" w:cs="Arial"/>
        <w:noProof/>
        <w:sz w:val="18"/>
        <w:szCs w:val="18"/>
      </w:rPr>
      <w:t>2</w:t>
    </w:r>
    <w:r>
      <w:rPr>
        <w:rFonts w:ascii="Arial" w:hAnsi="Arial" w:cs="Arial"/>
        <w:sz w:val="18"/>
        <w:szCs w:val="18"/>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Default="00CE4033">
    <w:pPr>
      <w:pStyle w:val="FooterLandscape"/>
    </w:pPr>
    <w:r>
      <w:t>Property of the Sanofi Group - strictly confidential</w:t>
    </w:r>
    <w:r>
      <w:tab/>
      <w:t xml:space="preserve">Page </w:t>
    </w:r>
    <w:r>
      <w:fldChar w:fldCharType="begin"/>
    </w:r>
    <w:r>
      <w:instrText xml:space="preserve"> PAGE  \* MERGEFORMAT </w:instrText>
    </w:r>
    <w:r>
      <w:fldChar w:fldCharType="separate"/>
    </w:r>
    <w:r w:rsidR="0043198B">
      <w:rPr>
        <w:noProof/>
      </w:rPr>
      <w:t>18</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Default="00CE4033">
    <w:pPr>
      <w:tabs>
        <w:tab w:val="right" w:pos="8930"/>
      </w:tabs>
      <w:rPr>
        <w:color w:val="800080"/>
      </w:rPr>
    </w:pPr>
    <w:r>
      <w:rPr>
        <w:color w:val="800080"/>
      </w:rPr>
      <w:fldChar w:fldCharType="begin"/>
    </w:r>
    <w:r>
      <w:rPr>
        <w:color w:val="800080"/>
      </w:rPr>
      <w:instrText xml:space="preserve"> PAGE </w:instrText>
    </w:r>
    <w:r>
      <w:rPr>
        <w:color w:val="800080"/>
      </w:rPr>
      <w:fldChar w:fldCharType="separate"/>
    </w:r>
    <w:r w:rsidR="005A26F6">
      <w:rPr>
        <w:noProof/>
        <w:color w:val="800080"/>
      </w:rPr>
      <w:t>126</w:t>
    </w:r>
    <w:r>
      <w:rPr>
        <w:color w:val="80008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Pr="00E36685" w:rsidRDefault="00CE4033" w:rsidP="00E36685">
    <w:pPr>
      <w:tabs>
        <w:tab w:val="right" w:pos="9469"/>
      </w:tabs>
      <w:spacing w:before="0"/>
      <w:rPr>
        <w:rFonts w:ascii="Arial" w:hAnsi="Arial" w:cs="Arial"/>
        <w:sz w:val="18"/>
        <w:szCs w:val="18"/>
      </w:rPr>
    </w:pPr>
    <w:r w:rsidRPr="00E36685">
      <w:rPr>
        <w:rFonts w:ascii="Arial" w:hAnsi="Arial" w:cs="Arial"/>
        <w:sz w:val="18"/>
        <w:szCs w:val="18"/>
      </w:rPr>
      <w:t>Property of the Sanofi Group - strictly confidential</w:t>
    </w:r>
    <w:r w:rsidRPr="00E36685">
      <w:rPr>
        <w:rFonts w:ascii="Arial" w:hAnsi="Arial" w:cs="Arial"/>
        <w:sz w:val="18"/>
        <w:szCs w:val="18"/>
      </w:rPr>
      <w:tab/>
      <w:t xml:space="preserve">Page </w:t>
    </w:r>
    <w:r w:rsidRPr="00E36685">
      <w:rPr>
        <w:rFonts w:ascii="Arial" w:hAnsi="Arial" w:cs="Arial"/>
        <w:sz w:val="18"/>
        <w:szCs w:val="18"/>
      </w:rPr>
      <w:fldChar w:fldCharType="begin"/>
    </w:r>
    <w:r w:rsidRPr="00E36685">
      <w:rPr>
        <w:rFonts w:ascii="Arial" w:hAnsi="Arial" w:cs="Arial"/>
        <w:sz w:val="18"/>
        <w:szCs w:val="18"/>
      </w:rPr>
      <w:instrText xml:space="preserve"> PAGE  \* MERGEFORMAT </w:instrText>
    </w:r>
    <w:r w:rsidRPr="00E36685">
      <w:rPr>
        <w:rFonts w:ascii="Arial" w:hAnsi="Arial" w:cs="Arial"/>
        <w:sz w:val="18"/>
        <w:szCs w:val="18"/>
      </w:rPr>
      <w:fldChar w:fldCharType="separate"/>
    </w:r>
    <w:r w:rsidR="0043198B">
      <w:rPr>
        <w:rFonts w:ascii="Arial" w:hAnsi="Arial" w:cs="Arial"/>
        <w:noProof/>
        <w:sz w:val="18"/>
        <w:szCs w:val="18"/>
      </w:rPr>
      <w:t>126</w:t>
    </w:r>
    <w:r w:rsidRPr="00E36685">
      <w:rPr>
        <w:rFonts w:ascii="Arial" w:hAnsi="Arial" w:cs="Arial"/>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7218" w:rsidRDefault="007F7218">
      <w:r>
        <w:separator/>
      </w:r>
    </w:p>
  </w:footnote>
  <w:footnote w:type="continuationSeparator" w:id="0">
    <w:p w:rsidR="007F7218" w:rsidRDefault="007F72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Default="00CE403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10" w:type="dxa"/>
      <w:tblLayout w:type="fixed"/>
      <w:tblCellMar>
        <w:left w:w="71" w:type="dxa"/>
        <w:right w:w="71" w:type="dxa"/>
      </w:tblCellMar>
      <w:tblLook w:val="0000" w:firstRow="0" w:lastRow="0" w:firstColumn="0" w:lastColumn="0" w:noHBand="0" w:noVBand="0"/>
    </w:tblPr>
    <w:tblGrid>
      <w:gridCol w:w="6804"/>
      <w:gridCol w:w="2806"/>
    </w:tblGrid>
    <w:tr w:rsidR="00CE4033">
      <w:tblPrEx>
        <w:tblCellMar>
          <w:top w:w="0" w:type="dxa"/>
          <w:bottom w:w="0" w:type="dxa"/>
        </w:tblCellMar>
      </w:tblPrEx>
      <w:trPr>
        <w:trHeight w:hRule="exact" w:val="1100"/>
      </w:trPr>
      <w:tc>
        <w:tcPr>
          <w:tcW w:w="6804" w:type="dxa"/>
        </w:tcPr>
        <w:p w:rsidR="00CE4033" w:rsidRDefault="00CE4033">
          <w:pPr>
            <w:pStyle w:val="Header"/>
          </w:pPr>
        </w:p>
      </w:tc>
      <w:tc>
        <w:tcPr>
          <w:tcW w:w="2806" w:type="dxa"/>
        </w:tcPr>
        <w:p w:rsidR="00CE4033" w:rsidRDefault="0043198B">
          <w:pPr>
            <w:pStyle w:val="Header"/>
            <w:jc w:val="right"/>
          </w:pPr>
          <w:r>
            <w:rPr>
              <w:noProof/>
              <w:lang w:eastAsia="zh-CN"/>
            </w:rPr>
            <w:drawing>
              <wp:inline distT="0" distB="0" distL="0" distR="0">
                <wp:extent cx="1269365" cy="66865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668655"/>
                        </a:xfrm>
                        <a:prstGeom prst="rect">
                          <a:avLst/>
                        </a:prstGeom>
                        <a:noFill/>
                        <a:ln>
                          <a:noFill/>
                        </a:ln>
                      </pic:spPr>
                    </pic:pic>
                  </a:graphicData>
                </a:graphic>
              </wp:inline>
            </w:drawing>
          </w:r>
        </w:p>
      </w:tc>
    </w:tr>
  </w:tbl>
  <w:p w:rsidR="00CE4033" w:rsidRDefault="00CE403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71" w:type="dxa"/>
        <w:right w:w="71" w:type="dxa"/>
      </w:tblCellMar>
      <w:tblLook w:val="0000" w:firstRow="0" w:lastRow="0" w:firstColumn="0" w:lastColumn="0" w:noHBand="0" w:noVBand="0"/>
    </w:tblPr>
    <w:tblGrid>
      <w:gridCol w:w="6804"/>
      <w:gridCol w:w="2806"/>
    </w:tblGrid>
    <w:tr w:rsidR="00CE4033">
      <w:tblPrEx>
        <w:tblCellMar>
          <w:top w:w="0" w:type="dxa"/>
          <w:bottom w:w="0" w:type="dxa"/>
        </w:tblCellMar>
      </w:tblPrEx>
      <w:trPr>
        <w:trHeight w:hRule="exact" w:val="1100"/>
      </w:trPr>
      <w:tc>
        <w:tcPr>
          <w:tcW w:w="6804" w:type="dxa"/>
        </w:tcPr>
        <w:p w:rsidR="00CE4033" w:rsidRDefault="00CE4033">
          <w:pPr>
            <w:pStyle w:val="Header"/>
          </w:pPr>
        </w:p>
      </w:tc>
      <w:tc>
        <w:tcPr>
          <w:tcW w:w="2806" w:type="dxa"/>
        </w:tcPr>
        <w:p w:rsidR="00CE4033" w:rsidRDefault="0043198B">
          <w:pPr>
            <w:pStyle w:val="Header"/>
            <w:jc w:val="right"/>
          </w:pPr>
          <w:r>
            <w:rPr>
              <w:noProof/>
              <w:lang w:eastAsia="zh-CN"/>
            </w:rPr>
            <w:drawing>
              <wp:inline distT="0" distB="0" distL="0" distR="0">
                <wp:extent cx="1269365" cy="66865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668655"/>
                        </a:xfrm>
                        <a:prstGeom prst="rect">
                          <a:avLst/>
                        </a:prstGeom>
                        <a:noFill/>
                        <a:ln>
                          <a:noFill/>
                        </a:ln>
                      </pic:spPr>
                    </pic:pic>
                  </a:graphicData>
                </a:graphic>
              </wp:inline>
            </w:drawing>
          </w:r>
        </w:p>
      </w:tc>
    </w:tr>
  </w:tbl>
  <w:p w:rsidR="00CE4033" w:rsidRDefault="00CE4033">
    <w:pPr>
      <w:pStyle w:val="Header"/>
      <w:rPr>
        <w:sz w:val="4"/>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Pr="00E75505" w:rsidRDefault="00CE4033">
    <w:pPr>
      <w:pStyle w:val="Header"/>
      <w:tabs>
        <w:tab w:val="clear" w:pos="4536"/>
        <w:tab w:val="left" w:pos="4560"/>
      </w:tabs>
    </w:pPr>
    <w:r>
      <w:fldChar w:fldCharType="begin"/>
    </w:r>
    <w:r w:rsidRPr="00E75505">
      <w:instrText xml:space="preserve"> DOCPROPERTY "Document Type"  \* MERGEFORMAT </w:instrText>
    </w:r>
    <w:r>
      <w:fldChar w:fldCharType="separate"/>
    </w:r>
    <w:r w:rsidR="005A26F6">
      <w:t>Clinical Trial Protocol</w:t>
    </w:r>
    <w:r>
      <w:fldChar w:fldCharType="end"/>
    </w:r>
    <w:r w:rsidRPr="00E75505">
      <w:t xml:space="preserve"> </w:t>
    </w:r>
    <w:r w:rsidRPr="00E75505">
      <w:tab/>
    </w:r>
    <w:r>
      <w:fldChar w:fldCharType="begin"/>
    </w:r>
    <w:r w:rsidRPr="00EB7462">
      <w:instrText xml:space="preserve"> DOCPROPERTY "Date"  \* MERGEFORMAT </w:instrText>
    </w:r>
    <w:r>
      <w:fldChar w:fldCharType="separate"/>
    </w:r>
    <w:r w:rsidR="005A26F6">
      <w:t>11-Feb-2016</w:t>
    </w:r>
    <w:r>
      <w:fldChar w:fldCharType="end"/>
    </w:r>
  </w:p>
  <w:p w:rsidR="00CE4033" w:rsidRDefault="00CE4033">
    <w:pPr>
      <w:pStyle w:val="Header"/>
      <w:tabs>
        <w:tab w:val="clear" w:pos="4536"/>
        <w:tab w:val="left" w:pos="4560"/>
      </w:tabs>
    </w:pPr>
    <w:fldSimple w:instr=" DOCPROPERTY &quot;Product Code&quot;  \* MERGEFORMAT ">
      <w:r w:rsidR="005A26F6">
        <w:t>EFC13794</w:t>
      </w:r>
    </w:fldSimple>
    <w:r>
      <w:t xml:space="preserve"> - </w:t>
    </w:r>
    <w:fldSimple w:instr=" DOCPROPERTY &quot;INN&quot;  \* MERGEFORMAT ">
      <w:r w:rsidR="005A26F6">
        <w:t>insulin glargine-lixisenatide</w:t>
      </w:r>
    </w:fldSimple>
    <w:r>
      <w:tab/>
      <w:t xml:space="preserve">Version number: </w:t>
    </w:r>
    <w:fldSimple w:instr=" DOCPROPERTY  &quot;Document Status&quot;  \* MERGEFORMAT ">
      <w:r w:rsidR="005A26F6">
        <w:t>1</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Default="00CE403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Pr="00E75505" w:rsidRDefault="00CE4033">
    <w:pPr>
      <w:pStyle w:val="HeaderLandscape"/>
      <w:tabs>
        <w:tab w:val="left" w:pos="6840"/>
      </w:tabs>
    </w:pPr>
    <w:r>
      <w:fldChar w:fldCharType="begin"/>
    </w:r>
    <w:r w:rsidRPr="00EB7462">
      <w:instrText xml:space="preserve"> DOCPROPERTY "Document Type"  \* MERGEFORMAT </w:instrText>
    </w:r>
    <w:r>
      <w:fldChar w:fldCharType="separate"/>
    </w:r>
    <w:r w:rsidR="005A26F6">
      <w:t>Clinical Trial Protocol</w:t>
    </w:r>
    <w:r>
      <w:fldChar w:fldCharType="end"/>
    </w:r>
    <w:r w:rsidRPr="00E75505">
      <w:t xml:space="preserve"> </w:t>
    </w:r>
    <w:r w:rsidRPr="00E75505">
      <w:tab/>
    </w:r>
    <w:r>
      <w:fldChar w:fldCharType="begin"/>
    </w:r>
    <w:r w:rsidRPr="00EB7462">
      <w:instrText xml:space="preserve"> DOCPROPERTY "Date"  \* MERGEFORMAT </w:instrText>
    </w:r>
    <w:r>
      <w:fldChar w:fldCharType="separate"/>
    </w:r>
    <w:r w:rsidR="005A26F6">
      <w:t>11-Feb-2016</w:t>
    </w:r>
    <w:r>
      <w:fldChar w:fldCharType="end"/>
    </w:r>
  </w:p>
  <w:p w:rsidR="00CE4033" w:rsidRDefault="00CE4033">
    <w:pPr>
      <w:pStyle w:val="HeaderLandscape"/>
      <w:tabs>
        <w:tab w:val="left" w:pos="6840"/>
      </w:tabs>
    </w:pPr>
    <w:fldSimple w:instr=" DOCPROPERTY &quot;Product Code&quot;  \* MERGEFORMAT ">
      <w:r w:rsidR="005A26F6">
        <w:t>EFC13794</w:t>
      </w:r>
    </w:fldSimple>
    <w:r>
      <w:t xml:space="preserve"> - </w:t>
    </w:r>
    <w:fldSimple w:instr=" DOCPROPERTY &quot;INN&quot;  \* MERGEFORMAT ">
      <w:r w:rsidR="005A26F6">
        <w:t>insulin glargine-lixisenatide</w:t>
      </w:r>
    </w:fldSimple>
    <w:r>
      <w:tab/>
      <w:t xml:space="preserve">Version number: </w:t>
    </w:r>
    <w:fldSimple w:instr=" DOCPROPERTY  &quot;Document Status&quot;  \* MERGEFORMAT ">
      <w:r w:rsidR="005A26F6" w:rsidRPr="005A26F6">
        <w:rPr>
          <w:bCs/>
        </w:rPr>
        <w:t>1</w:t>
      </w:r>
    </w:fldSimple>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Default="00CE4033">
    <w:pPr>
      <w:pStyle w:val="Header"/>
      <w:rPr>
        <w:sz w:val="22"/>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4033" w:rsidRPr="00E75505" w:rsidRDefault="00CE4033" w:rsidP="00E36685">
    <w:pPr>
      <w:pStyle w:val="Header"/>
    </w:pPr>
    <w:r>
      <w:fldChar w:fldCharType="begin"/>
    </w:r>
    <w:r w:rsidRPr="00EB7462">
      <w:instrText xml:space="preserve"> DOCPROPERTY "Document Type"  \* MERGEFORMAT </w:instrText>
    </w:r>
    <w:r>
      <w:fldChar w:fldCharType="separate"/>
    </w:r>
    <w:r w:rsidR="005A26F6">
      <w:t>Clinical Trial Protocol</w:t>
    </w:r>
    <w:r>
      <w:fldChar w:fldCharType="end"/>
    </w:r>
    <w:r w:rsidRPr="00E75505">
      <w:t xml:space="preserve"> </w:t>
    </w:r>
    <w:r w:rsidRPr="00E75505">
      <w:tab/>
    </w:r>
    <w:r>
      <w:fldChar w:fldCharType="begin"/>
    </w:r>
    <w:r w:rsidRPr="00EB7462">
      <w:instrText xml:space="preserve"> DOCPROPERTY "Date"  \* MERGEFORMAT </w:instrText>
    </w:r>
    <w:r>
      <w:fldChar w:fldCharType="separate"/>
    </w:r>
    <w:r w:rsidR="005A26F6">
      <w:t>11-Feb-2016</w:t>
    </w:r>
    <w:r>
      <w:fldChar w:fldCharType="end"/>
    </w:r>
  </w:p>
  <w:p w:rsidR="00CE4033" w:rsidRDefault="00CE4033" w:rsidP="00E36685">
    <w:pPr>
      <w:pStyle w:val="Header"/>
    </w:pPr>
    <w:fldSimple w:instr=" DOCPROPERTY &quot;Product Code&quot;  \* MERGEFORMAT ">
      <w:r w:rsidR="005A26F6">
        <w:t>EFC13794</w:t>
      </w:r>
    </w:fldSimple>
    <w:r>
      <w:t xml:space="preserve"> - </w:t>
    </w:r>
    <w:fldSimple w:instr=" DOCPROPERTY &quot;INN&quot;  \* MERGEFORMAT ">
      <w:r w:rsidR="005A26F6">
        <w:t>insulin glargine-lixisenatide</w:t>
      </w:r>
    </w:fldSimple>
    <w:r>
      <w:tab/>
      <w:t xml:space="preserve">Version number: </w:t>
    </w:r>
    <w:fldSimple w:instr=" DOCPROPERTY  &quot;Document Status&quot;  \* MERGEFORMAT ">
      <w:r w:rsidR="005A26F6">
        <w:t>1</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77721"/>
    <w:multiLevelType w:val="hybridMultilevel"/>
    <w:tmpl w:val="C666CC70"/>
    <w:lvl w:ilvl="0" w:tplc="FFFFFFFF">
      <w:start w:val="1"/>
      <w:numFmt w:val="upperLetter"/>
      <w:pStyle w:val="AppendixTitle"/>
      <w:lvlText w:val="Appendix %1"/>
      <w:lvlJc w:val="left"/>
      <w:pPr>
        <w:tabs>
          <w:tab w:val="num" w:pos="2185"/>
        </w:tabs>
        <w:ind w:left="952" w:hanging="567"/>
      </w:pPr>
      <w:rPr>
        <w:rFonts w:hint="default"/>
      </w:rPr>
    </w:lvl>
    <w:lvl w:ilvl="1" w:tplc="FFFFFFFF">
      <w:start w:val="1"/>
      <w:numFmt w:val="lowerLetter"/>
      <w:lvlRestart w:val="0"/>
      <w:lvlText w:val="%2"/>
      <w:lvlJc w:val="left"/>
      <w:pPr>
        <w:tabs>
          <w:tab w:val="num" w:pos="244"/>
        </w:tabs>
        <w:ind w:left="244" w:hanging="244"/>
      </w:pPr>
      <w:rPr>
        <w:rFonts w:ascii="Arial Narrow" w:hAnsi="Arial Narrow" w:hint="default"/>
        <w:b w:val="0"/>
        <w:i/>
        <w:caps w:val="0"/>
        <w:strike w:val="0"/>
        <w:dstrike w:val="0"/>
        <w:vanish w:val="0"/>
        <w:color w:val="000000"/>
        <w:sz w:val="1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lowerRoman"/>
      <w:lvlText w:val="%3."/>
      <w:lvlJc w:val="right"/>
      <w:pPr>
        <w:tabs>
          <w:tab w:val="num" w:pos="4200"/>
        </w:tabs>
        <w:ind w:left="4200" w:hanging="180"/>
      </w:pPr>
    </w:lvl>
    <w:lvl w:ilvl="3" w:tplc="FFFFFFFF" w:tentative="1">
      <w:start w:val="1"/>
      <w:numFmt w:val="decimal"/>
      <w:lvlText w:val="%4."/>
      <w:lvlJc w:val="left"/>
      <w:pPr>
        <w:tabs>
          <w:tab w:val="num" w:pos="4920"/>
        </w:tabs>
        <w:ind w:left="4920" w:hanging="360"/>
      </w:pPr>
    </w:lvl>
    <w:lvl w:ilvl="4" w:tplc="FFFFFFFF" w:tentative="1">
      <w:start w:val="1"/>
      <w:numFmt w:val="lowerLetter"/>
      <w:lvlText w:val="%5."/>
      <w:lvlJc w:val="left"/>
      <w:pPr>
        <w:tabs>
          <w:tab w:val="num" w:pos="5640"/>
        </w:tabs>
        <w:ind w:left="5640" w:hanging="360"/>
      </w:pPr>
    </w:lvl>
    <w:lvl w:ilvl="5" w:tplc="FFFFFFFF" w:tentative="1">
      <w:start w:val="1"/>
      <w:numFmt w:val="lowerRoman"/>
      <w:lvlText w:val="%6."/>
      <w:lvlJc w:val="right"/>
      <w:pPr>
        <w:tabs>
          <w:tab w:val="num" w:pos="6360"/>
        </w:tabs>
        <w:ind w:left="6360" w:hanging="180"/>
      </w:pPr>
    </w:lvl>
    <w:lvl w:ilvl="6" w:tplc="FFFFFFFF" w:tentative="1">
      <w:start w:val="1"/>
      <w:numFmt w:val="decimal"/>
      <w:lvlText w:val="%7."/>
      <w:lvlJc w:val="left"/>
      <w:pPr>
        <w:tabs>
          <w:tab w:val="num" w:pos="7080"/>
        </w:tabs>
        <w:ind w:left="7080" w:hanging="360"/>
      </w:pPr>
    </w:lvl>
    <w:lvl w:ilvl="7" w:tplc="FFFFFFFF" w:tentative="1">
      <w:start w:val="1"/>
      <w:numFmt w:val="lowerLetter"/>
      <w:lvlText w:val="%8."/>
      <w:lvlJc w:val="left"/>
      <w:pPr>
        <w:tabs>
          <w:tab w:val="num" w:pos="7800"/>
        </w:tabs>
        <w:ind w:left="7800" w:hanging="360"/>
      </w:pPr>
    </w:lvl>
    <w:lvl w:ilvl="8" w:tplc="FFFFFFFF" w:tentative="1">
      <w:start w:val="1"/>
      <w:numFmt w:val="lowerRoman"/>
      <w:lvlText w:val="%9."/>
      <w:lvlJc w:val="right"/>
      <w:pPr>
        <w:tabs>
          <w:tab w:val="num" w:pos="8520"/>
        </w:tabs>
        <w:ind w:left="8520" w:hanging="180"/>
      </w:pPr>
    </w:lvl>
  </w:abstractNum>
  <w:abstractNum w:abstractNumId="1">
    <w:nsid w:val="04222BF5"/>
    <w:multiLevelType w:val="multilevel"/>
    <w:tmpl w:val="FC526054"/>
    <w:name w:val="List Bullet Level 1"/>
    <w:lvl w:ilvl="0">
      <w:start w:val="1"/>
      <w:numFmt w:val="bullet"/>
      <w:lvlRestart w:val="0"/>
      <w:lvlText w:val=""/>
      <w:lvlJc w:val="left"/>
      <w:pPr>
        <w:tabs>
          <w:tab w:val="num" w:pos="720"/>
        </w:tabs>
        <w:ind w:left="720" w:hanging="357"/>
      </w:pPr>
      <w:rPr>
        <w:rFonts w:ascii="Symbol" w:hAnsi="Symbol" w:hint="default"/>
      </w:rPr>
    </w:lvl>
    <w:lvl w:ilvl="1">
      <w:start w:val="1"/>
      <w:numFmt w:val="bullet"/>
      <w:lvlText w:val=""/>
      <w:lvlJc w:val="left"/>
      <w:pPr>
        <w:tabs>
          <w:tab w:val="num" w:pos="1083"/>
        </w:tabs>
        <w:ind w:left="1083" w:hanging="363"/>
      </w:pPr>
      <w:rPr>
        <w:rFonts w:ascii="Symbol" w:hAnsi="Symbol" w:hint="default"/>
      </w:rPr>
    </w:lvl>
    <w:lvl w:ilvl="2">
      <w:start w:val="1"/>
      <w:numFmt w:val="bullet"/>
      <w:lvlText w:val=""/>
      <w:lvlJc w:val="left"/>
      <w:pPr>
        <w:tabs>
          <w:tab w:val="num" w:pos="1440"/>
        </w:tabs>
        <w:ind w:left="1440" w:hanging="357"/>
      </w:pPr>
      <w:rPr>
        <w:rFonts w:ascii="Symbol" w:hAnsi="Symbol" w:hint="default"/>
      </w:rPr>
    </w:lvl>
    <w:lvl w:ilvl="3">
      <w:start w:val="1"/>
      <w:numFmt w:val="bullet"/>
      <w:lvlText w:val=""/>
      <w:lvlJc w:val="left"/>
      <w:pPr>
        <w:tabs>
          <w:tab w:val="num" w:pos="1803"/>
        </w:tabs>
        <w:ind w:left="1803" w:hanging="363"/>
      </w:pPr>
      <w:rPr>
        <w:rFonts w:ascii="Symbol" w:hAnsi="Symbol" w:hint="default"/>
      </w:rPr>
    </w:lvl>
    <w:lvl w:ilvl="4">
      <w:start w:val="1"/>
      <w:numFmt w:val="bullet"/>
      <w:lvlText w:val=""/>
      <w:lvlJc w:val="left"/>
      <w:pPr>
        <w:tabs>
          <w:tab w:val="num" w:pos="2160"/>
        </w:tabs>
        <w:ind w:left="2160" w:hanging="357"/>
      </w:pPr>
      <w:rPr>
        <w:rFonts w:ascii="Symbol" w:hAnsi="Symbol" w:hint="default"/>
      </w:rPr>
    </w:lvl>
    <w:lvl w:ilvl="5">
      <w:start w:val="1"/>
      <w:numFmt w:val="bullet"/>
      <w:lvlText w:val=""/>
      <w:lvlJc w:val="left"/>
      <w:pPr>
        <w:tabs>
          <w:tab w:val="num" w:pos="2523"/>
        </w:tabs>
        <w:ind w:left="2523" w:hanging="363"/>
      </w:pPr>
      <w:rPr>
        <w:rFonts w:ascii="Symbol" w:hAnsi="Symbol" w:hint="default"/>
      </w:rPr>
    </w:lvl>
    <w:lvl w:ilvl="6">
      <w:start w:val="1"/>
      <w:numFmt w:val="bullet"/>
      <w:lvlText w:val=""/>
      <w:lvlJc w:val="left"/>
      <w:pPr>
        <w:tabs>
          <w:tab w:val="num" w:pos="2880"/>
        </w:tabs>
        <w:ind w:left="2880" w:hanging="357"/>
      </w:pPr>
      <w:rPr>
        <w:rFonts w:ascii="Symbol" w:hAnsi="Symbol" w:hint="default"/>
      </w:rPr>
    </w:lvl>
    <w:lvl w:ilvl="7">
      <w:start w:val="1"/>
      <w:numFmt w:val="bullet"/>
      <w:lvlText w:val=""/>
      <w:lvlJc w:val="left"/>
      <w:pPr>
        <w:tabs>
          <w:tab w:val="num" w:pos="3243"/>
        </w:tabs>
        <w:ind w:left="3243" w:hanging="363"/>
      </w:pPr>
      <w:rPr>
        <w:rFonts w:ascii="Symbol" w:hAnsi="Symbol" w:hint="default"/>
      </w:rPr>
    </w:lvl>
    <w:lvl w:ilvl="8">
      <w:start w:val="1"/>
      <w:numFmt w:val="bullet"/>
      <w:lvlText w:val=""/>
      <w:lvlJc w:val="left"/>
      <w:pPr>
        <w:tabs>
          <w:tab w:val="num" w:pos="3600"/>
        </w:tabs>
        <w:ind w:left="3600" w:hanging="357"/>
      </w:pPr>
      <w:rPr>
        <w:rFonts w:ascii="Symbol" w:hAnsi="Symbol" w:hint="default"/>
      </w:rPr>
    </w:lvl>
  </w:abstractNum>
  <w:abstractNum w:abstractNumId="2">
    <w:nsid w:val="0C012C49"/>
    <w:multiLevelType w:val="multilevel"/>
    <w:tmpl w:val="4496C3E0"/>
    <w:lvl w:ilvl="0">
      <w:start w:val="1"/>
      <w:numFmt w:val="lowerLetter"/>
      <w:lvlRestart w:val="0"/>
      <w:pStyle w:val="ListAlphabeticalLevel2Synospis"/>
      <w:lvlText w:val="%1)"/>
      <w:lvlJc w:val="left"/>
      <w:pPr>
        <w:tabs>
          <w:tab w:val="num" w:pos="1083"/>
        </w:tabs>
        <w:ind w:left="1083" w:hanging="363"/>
      </w:pPr>
      <w:rPr>
        <w:rFonts w:ascii="Arial Narrow" w:hAnsi="Arial Narrow" w:cs="Times New Roman" w:hint="default"/>
        <w:sz w:val="20"/>
      </w:rPr>
    </w:lvl>
    <w:lvl w:ilvl="1">
      <w:start w:val="1"/>
      <w:numFmt w:val="lowerLetter"/>
      <w:lvlText w:val="%2)"/>
      <w:lvlJc w:val="left"/>
      <w:pPr>
        <w:tabs>
          <w:tab w:val="num" w:pos="1440"/>
        </w:tabs>
        <w:ind w:left="1440" w:hanging="357"/>
      </w:pPr>
      <w:rPr>
        <w:rFonts w:ascii="Arial Narrow" w:hAnsi="Arial Narrow" w:cs="Times New Roman" w:hint="default"/>
        <w:sz w:val="14"/>
      </w:rPr>
    </w:lvl>
    <w:lvl w:ilvl="2">
      <w:start w:val="1"/>
      <w:numFmt w:val="lowerLetter"/>
      <w:lvlText w:val="%3)"/>
      <w:lvlJc w:val="left"/>
      <w:pPr>
        <w:tabs>
          <w:tab w:val="num" w:pos="1803"/>
        </w:tabs>
        <w:ind w:left="1803" w:hanging="363"/>
      </w:pPr>
      <w:rPr>
        <w:rFonts w:ascii="Arial Narrow" w:hAnsi="Arial Narrow" w:cs="Times New Roman" w:hint="default"/>
        <w:sz w:val="14"/>
      </w:rPr>
    </w:lvl>
    <w:lvl w:ilvl="3">
      <w:start w:val="1"/>
      <w:numFmt w:val="lowerLetter"/>
      <w:lvlText w:val="%4)"/>
      <w:lvlJc w:val="left"/>
      <w:pPr>
        <w:tabs>
          <w:tab w:val="num" w:pos="2160"/>
        </w:tabs>
        <w:ind w:left="2160" w:hanging="357"/>
      </w:pPr>
      <w:rPr>
        <w:rFonts w:ascii="Arial Narrow" w:hAnsi="Arial Narrow" w:cs="Times New Roman" w:hint="default"/>
        <w:sz w:val="14"/>
      </w:rPr>
    </w:lvl>
    <w:lvl w:ilvl="4">
      <w:start w:val="1"/>
      <w:numFmt w:val="lowerLetter"/>
      <w:lvlText w:val="%5)"/>
      <w:lvlJc w:val="left"/>
      <w:pPr>
        <w:tabs>
          <w:tab w:val="num" w:pos="2523"/>
        </w:tabs>
        <w:ind w:left="2523" w:hanging="363"/>
      </w:pPr>
      <w:rPr>
        <w:rFonts w:ascii="Arial Narrow" w:hAnsi="Arial Narrow" w:cs="Times New Roman" w:hint="default"/>
        <w:sz w:val="14"/>
      </w:rPr>
    </w:lvl>
    <w:lvl w:ilvl="5">
      <w:start w:val="1"/>
      <w:numFmt w:val="lowerLetter"/>
      <w:lvlText w:val="%6)"/>
      <w:lvlJc w:val="left"/>
      <w:pPr>
        <w:tabs>
          <w:tab w:val="num" w:pos="2880"/>
        </w:tabs>
        <w:ind w:left="2880" w:hanging="357"/>
      </w:pPr>
      <w:rPr>
        <w:rFonts w:ascii="Arial Narrow" w:hAnsi="Arial Narrow" w:cs="Times New Roman" w:hint="default"/>
        <w:sz w:val="14"/>
      </w:rPr>
    </w:lvl>
    <w:lvl w:ilvl="6">
      <w:start w:val="1"/>
      <w:numFmt w:val="lowerLetter"/>
      <w:lvlText w:val="%7)"/>
      <w:lvlJc w:val="left"/>
      <w:pPr>
        <w:tabs>
          <w:tab w:val="num" w:pos="3243"/>
        </w:tabs>
        <w:ind w:left="3243" w:hanging="363"/>
      </w:pPr>
      <w:rPr>
        <w:rFonts w:ascii="Arial Narrow" w:hAnsi="Arial Narrow" w:cs="Times New Roman" w:hint="default"/>
        <w:sz w:val="14"/>
      </w:rPr>
    </w:lvl>
    <w:lvl w:ilvl="7">
      <w:start w:val="1"/>
      <w:numFmt w:val="lowerLetter"/>
      <w:lvlText w:val="%8)"/>
      <w:lvlJc w:val="left"/>
      <w:pPr>
        <w:tabs>
          <w:tab w:val="num" w:pos="3600"/>
        </w:tabs>
        <w:ind w:left="3600" w:hanging="357"/>
      </w:pPr>
      <w:rPr>
        <w:rFonts w:ascii="Arial Narrow" w:hAnsi="Arial Narrow" w:cs="Times New Roman" w:hint="default"/>
        <w:sz w:val="14"/>
      </w:rPr>
    </w:lvl>
    <w:lvl w:ilvl="8">
      <w:start w:val="1"/>
      <w:numFmt w:val="lowerLetter"/>
      <w:lvlText w:val="%9)"/>
      <w:lvlJc w:val="left"/>
      <w:pPr>
        <w:tabs>
          <w:tab w:val="num" w:pos="3957"/>
        </w:tabs>
        <w:ind w:left="3957" w:hanging="357"/>
      </w:pPr>
      <w:rPr>
        <w:rFonts w:ascii="Arial Narrow" w:hAnsi="Arial Narrow" w:cs="Times New Roman" w:hint="default"/>
        <w:sz w:val="14"/>
      </w:rPr>
    </w:lvl>
  </w:abstractNum>
  <w:abstractNum w:abstractNumId="3">
    <w:nsid w:val="13CF1C02"/>
    <w:multiLevelType w:val="multilevel"/>
    <w:tmpl w:val="EC448D7A"/>
    <w:name w:val="LT_Bullet List 1"/>
    <w:lvl w:ilvl="0">
      <w:start w:val="1"/>
      <w:numFmt w:val="none"/>
      <w:lvlText w:val=""/>
      <w:lvlJc w:val="left"/>
      <w:pPr>
        <w:tabs>
          <w:tab w:val="num" w:pos="0"/>
        </w:tabs>
        <w:ind w:left="0" w:firstLine="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16B258E1"/>
    <w:multiLevelType w:val="multilevel"/>
    <w:tmpl w:val="1A92CED2"/>
    <w:lvl w:ilvl="0">
      <w:start w:val="1"/>
      <w:numFmt w:val="decimalZero"/>
      <w:lvlRestart w:val="0"/>
      <w:pStyle w:val="NumberListExclusion"/>
      <w:lvlText w:val="E %1."/>
      <w:lvlJc w:val="left"/>
      <w:pPr>
        <w:tabs>
          <w:tab w:val="num" w:pos="691"/>
        </w:tabs>
        <w:ind w:left="691" w:hanging="691"/>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
    <w:nsid w:val="18675423"/>
    <w:multiLevelType w:val="multilevel"/>
    <w:tmpl w:val="1BDE7CA0"/>
    <w:lvl w:ilvl="0">
      <w:start w:val="1"/>
      <w:numFmt w:val="decimalZero"/>
      <w:lvlRestart w:val="0"/>
      <w:pStyle w:val="NumberListInclusion"/>
      <w:lvlText w:val="I %1."/>
      <w:lvlJc w:val="left"/>
      <w:pPr>
        <w:tabs>
          <w:tab w:val="num" w:pos="691"/>
        </w:tabs>
        <w:ind w:left="691" w:hanging="691"/>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195C21E6"/>
    <w:multiLevelType w:val="hybridMultilevel"/>
    <w:tmpl w:val="7AF4769A"/>
    <w:name w:val="List_Table_Figure_Footnote22"/>
    <w:lvl w:ilvl="0" w:tplc="AA62F3D4">
      <w:start w:val="1"/>
      <w:numFmt w:val="bullet"/>
      <w:lvlText w:val=""/>
      <w:lvlJc w:val="left"/>
      <w:pPr>
        <w:tabs>
          <w:tab w:val="num" w:pos="720"/>
        </w:tabs>
        <w:ind w:left="720" w:hanging="360"/>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nsid w:val="19FA47B7"/>
    <w:multiLevelType w:val="multilevel"/>
    <w:tmpl w:val="AD66934E"/>
    <w:name w:val="LT_Number List Exclusion_1"/>
    <w:lvl w:ilvl="0">
      <w:start w:val="1"/>
      <w:numFmt w:val="decimalZero"/>
      <w:lvlRestart w:val="0"/>
      <w:lvlText w:val="E %1."/>
      <w:lvlJc w:val="left"/>
      <w:pPr>
        <w:tabs>
          <w:tab w:val="num" w:pos="691"/>
        </w:tabs>
        <w:ind w:left="691" w:hanging="691"/>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1A6D6E74"/>
    <w:multiLevelType w:val="multilevel"/>
    <w:tmpl w:val="A7BA2016"/>
    <w:lvl w:ilvl="0">
      <w:start w:val="1"/>
      <w:numFmt w:val="decimalZero"/>
      <w:lvlRestart w:val="0"/>
      <w:pStyle w:val="NumberListInclusionSynospis"/>
      <w:lvlText w:val="I %1."/>
      <w:lvlJc w:val="left"/>
      <w:pPr>
        <w:tabs>
          <w:tab w:val="num" w:pos="691"/>
        </w:tabs>
        <w:ind w:left="691" w:hanging="691"/>
      </w:pPr>
      <w:rPr>
        <w:rFonts w:ascii="Arial Narrow" w:hAnsi="Arial Narrow" w:hint="default"/>
        <w:sz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9">
    <w:nsid w:val="1CAB7D9A"/>
    <w:multiLevelType w:val="multilevel"/>
    <w:tmpl w:val="DCF8BF12"/>
    <w:name w:val="LT_Number List Inclusion_1"/>
    <w:lvl w:ilvl="0">
      <w:start w:val="1"/>
      <w:numFmt w:val="decimalZero"/>
      <w:lvlRestart w:val="0"/>
      <w:lvlText w:val="I %1."/>
      <w:lvlJc w:val="left"/>
      <w:pPr>
        <w:tabs>
          <w:tab w:val="num" w:pos="691"/>
        </w:tabs>
        <w:ind w:left="691" w:hanging="691"/>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0">
    <w:nsid w:val="1DC41614"/>
    <w:multiLevelType w:val="multilevel"/>
    <w:tmpl w:val="C6D6A992"/>
    <w:name w:val="LT_Heading"/>
    <w:lvl w:ilvl="0">
      <w:start w:val="1"/>
      <w:numFmt w:val="decimal"/>
      <w:lvlRestart w:val="0"/>
      <w:pStyle w:val="Heading1"/>
      <w:lvlText w:val="%1"/>
      <w:lvlJc w:val="left"/>
      <w:pPr>
        <w:tabs>
          <w:tab w:val="num" w:pos="680"/>
        </w:tabs>
        <w:ind w:left="680" w:hanging="680"/>
      </w:pPr>
    </w:lvl>
    <w:lvl w:ilvl="1">
      <w:start w:val="1"/>
      <w:numFmt w:val="decimal"/>
      <w:pStyle w:val="Heading2"/>
      <w:lvlText w:val="%1.%2"/>
      <w:lvlJc w:val="left"/>
      <w:pPr>
        <w:tabs>
          <w:tab w:val="num" w:pos="680"/>
        </w:tabs>
        <w:ind w:left="680" w:hanging="680"/>
      </w:pPr>
    </w:lvl>
    <w:lvl w:ilvl="2">
      <w:start w:val="1"/>
      <w:numFmt w:val="decimal"/>
      <w:pStyle w:val="Heading3"/>
      <w:lvlText w:val="%1.%2.%3"/>
      <w:lvlJc w:val="left"/>
      <w:pPr>
        <w:tabs>
          <w:tab w:val="num" w:pos="680"/>
        </w:tabs>
        <w:ind w:left="680" w:hanging="680"/>
      </w:pPr>
    </w:lvl>
    <w:lvl w:ilvl="3">
      <w:start w:val="1"/>
      <w:numFmt w:val="decimal"/>
      <w:pStyle w:val="Heading4"/>
      <w:lvlText w:val="%1.%2.%3.%4"/>
      <w:lvlJc w:val="left"/>
      <w:pPr>
        <w:tabs>
          <w:tab w:val="num" w:pos="862"/>
        </w:tabs>
        <w:ind w:left="862" w:hanging="862"/>
      </w:pPr>
    </w:lvl>
    <w:lvl w:ilvl="4">
      <w:start w:val="1"/>
      <w:numFmt w:val="decimal"/>
      <w:pStyle w:val="Heading5"/>
      <w:lvlText w:val="%1.%2.%3.%4.%5"/>
      <w:lvlJc w:val="left"/>
      <w:pPr>
        <w:tabs>
          <w:tab w:val="num" w:pos="1009"/>
        </w:tabs>
        <w:ind w:left="1009" w:hanging="1009"/>
      </w:pPr>
    </w:lvl>
    <w:lvl w:ilvl="5">
      <w:start w:val="1"/>
      <w:numFmt w:val="decimal"/>
      <w:pStyle w:val="Heading6"/>
      <w:lvlText w:val="%1.%2.%3.%4.%5.%6"/>
      <w:lvlJc w:val="left"/>
      <w:pPr>
        <w:tabs>
          <w:tab w:val="num" w:pos="1151"/>
        </w:tabs>
        <w:ind w:left="1151" w:hanging="1151"/>
      </w:pPr>
    </w:lvl>
    <w:lvl w:ilvl="6">
      <w:start w:val="1"/>
      <w:numFmt w:val="decimal"/>
      <w:pStyle w:val="Heading7"/>
      <w:lvlText w:val="%1.%2.%3.%4.%5.%6.%7"/>
      <w:lvlJc w:val="left"/>
      <w:pPr>
        <w:tabs>
          <w:tab w:val="num" w:pos="1298"/>
        </w:tabs>
        <w:ind w:left="1298" w:hanging="1298"/>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2"/>
        </w:tabs>
        <w:ind w:left="1582" w:hanging="1582"/>
      </w:pPr>
    </w:lvl>
  </w:abstractNum>
  <w:abstractNum w:abstractNumId="11">
    <w:nsid w:val="1E404481"/>
    <w:multiLevelType w:val="multilevel"/>
    <w:tmpl w:val="69F69B8E"/>
    <w:lvl w:ilvl="0">
      <w:start w:val="1"/>
      <w:numFmt w:val="upperLetter"/>
      <w:lvlRestart w:val="0"/>
      <w:pStyle w:val="ListAlphabeticalLevel1Synospis"/>
      <w:lvlText w:val="%1)"/>
      <w:lvlJc w:val="left"/>
      <w:pPr>
        <w:tabs>
          <w:tab w:val="num" w:pos="720"/>
        </w:tabs>
        <w:ind w:left="720" w:hanging="357"/>
      </w:pPr>
      <w:rPr>
        <w:rFonts w:ascii="Arial Narrow" w:hAnsi="Arial Narrow" w:cs="Times New Roman" w:hint="default"/>
        <w:sz w:val="20"/>
        <w:effect w:val="none"/>
      </w:rPr>
    </w:lvl>
    <w:lvl w:ilvl="1">
      <w:start w:val="1"/>
      <w:numFmt w:val="upperLetter"/>
      <w:lvlText w:val="%2)"/>
      <w:lvlJc w:val="left"/>
      <w:pPr>
        <w:tabs>
          <w:tab w:val="num" w:pos="1083"/>
        </w:tabs>
        <w:ind w:left="1083" w:hanging="363"/>
      </w:pPr>
      <w:rPr>
        <w:rFonts w:ascii="Arial Narrow" w:hAnsi="Arial Narrow" w:cs="Times New Roman" w:hint="default"/>
        <w:sz w:val="20"/>
      </w:rPr>
    </w:lvl>
    <w:lvl w:ilvl="2">
      <w:start w:val="1"/>
      <w:numFmt w:val="upperLetter"/>
      <w:lvlText w:val="%3)"/>
      <w:lvlJc w:val="left"/>
      <w:pPr>
        <w:tabs>
          <w:tab w:val="num" w:pos="1440"/>
        </w:tabs>
        <w:ind w:left="1440" w:hanging="357"/>
      </w:pPr>
      <w:rPr>
        <w:rFonts w:ascii="Arial Narrow" w:hAnsi="Arial Narrow" w:cs="Times New Roman" w:hint="default"/>
        <w:sz w:val="20"/>
      </w:rPr>
    </w:lvl>
    <w:lvl w:ilvl="3">
      <w:start w:val="1"/>
      <w:numFmt w:val="upperLetter"/>
      <w:lvlText w:val="%4)"/>
      <w:lvlJc w:val="left"/>
      <w:pPr>
        <w:tabs>
          <w:tab w:val="num" w:pos="1803"/>
        </w:tabs>
        <w:ind w:left="1803" w:hanging="363"/>
      </w:pPr>
      <w:rPr>
        <w:rFonts w:ascii="Arial Narrow" w:hAnsi="Arial Narrow" w:cs="Times New Roman" w:hint="default"/>
        <w:sz w:val="20"/>
      </w:rPr>
    </w:lvl>
    <w:lvl w:ilvl="4">
      <w:start w:val="1"/>
      <w:numFmt w:val="upperLetter"/>
      <w:lvlText w:val="%5)"/>
      <w:lvlJc w:val="left"/>
      <w:pPr>
        <w:tabs>
          <w:tab w:val="num" w:pos="2160"/>
        </w:tabs>
        <w:ind w:left="2160" w:hanging="357"/>
      </w:pPr>
      <w:rPr>
        <w:rFonts w:ascii="Arial Narrow" w:hAnsi="Arial Narrow" w:cs="Times New Roman" w:hint="default"/>
        <w:sz w:val="20"/>
      </w:rPr>
    </w:lvl>
    <w:lvl w:ilvl="5">
      <w:start w:val="1"/>
      <w:numFmt w:val="upperLetter"/>
      <w:lvlText w:val="%6)"/>
      <w:lvlJc w:val="left"/>
      <w:pPr>
        <w:tabs>
          <w:tab w:val="num" w:pos="2523"/>
        </w:tabs>
        <w:ind w:left="2523" w:hanging="363"/>
      </w:pPr>
      <w:rPr>
        <w:rFonts w:ascii="Arial Narrow" w:hAnsi="Arial Narrow" w:cs="Times New Roman" w:hint="default"/>
        <w:sz w:val="20"/>
      </w:rPr>
    </w:lvl>
    <w:lvl w:ilvl="6">
      <w:start w:val="1"/>
      <w:numFmt w:val="upperLetter"/>
      <w:lvlText w:val="%7)"/>
      <w:lvlJc w:val="left"/>
      <w:pPr>
        <w:tabs>
          <w:tab w:val="num" w:pos="2880"/>
        </w:tabs>
        <w:ind w:left="2880" w:hanging="357"/>
      </w:pPr>
      <w:rPr>
        <w:rFonts w:ascii="Arial Narrow" w:hAnsi="Arial Narrow" w:cs="Times New Roman" w:hint="default"/>
        <w:sz w:val="20"/>
      </w:rPr>
    </w:lvl>
    <w:lvl w:ilvl="7">
      <w:start w:val="1"/>
      <w:numFmt w:val="upperLetter"/>
      <w:lvlText w:val="%8)"/>
      <w:lvlJc w:val="left"/>
      <w:pPr>
        <w:tabs>
          <w:tab w:val="num" w:pos="3243"/>
        </w:tabs>
        <w:ind w:left="3243" w:hanging="363"/>
      </w:pPr>
      <w:rPr>
        <w:rFonts w:ascii="Arial Narrow" w:hAnsi="Arial Narrow" w:cs="Times New Roman" w:hint="default"/>
        <w:sz w:val="20"/>
      </w:rPr>
    </w:lvl>
    <w:lvl w:ilvl="8">
      <w:start w:val="1"/>
      <w:numFmt w:val="upperLetter"/>
      <w:lvlText w:val="%8)"/>
      <w:lvlJc w:val="left"/>
      <w:pPr>
        <w:tabs>
          <w:tab w:val="num" w:pos="3600"/>
        </w:tabs>
        <w:ind w:left="3600" w:hanging="357"/>
      </w:pPr>
      <w:rPr>
        <w:rFonts w:ascii="Arial Narrow" w:hAnsi="Arial Narrow" w:cs="Times New Roman" w:hint="default"/>
        <w:sz w:val="20"/>
      </w:rPr>
    </w:lvl>
  </w:abstractNum>
  <w:abstractNum w:abstractNumId="12">
    <w:nsid w:val="211C57DA"/>
    <w:multiLevelType w:val="multilevel"/>
    <w:tmpl w:val="C68A3438"/>
    <w:name w:val="LT_Number List Exclusion_100"/>
    <w:lvl w:ilvl="0">
      <w:start w:val="1"/>
      <w:numFmt w:val="decimalZero"/>
      <w:lvlRestart w:val="0"/>
      <w:lvlText w:val="E %1."/>
      <w:lvlJc w:val="left"/>
      <w:pPr>
        <w:tabs>
          <w:tab w:val="num" w:pos="691"/>
        </w:tabs>
        <w:ind w:left="691" w:hanging="691"/>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21A200F0"/>
    <w:multiLevelType w:val="multilevel"/>
    <w:tmpl w:val="42F8755A"/>
    <w:name w:val="LT_Heading"/>
    <w:lvl w:ilvl="0">
      <w:start w:val="1"/>
      <w:numFmt w:val="decimal"/>
      <w:lvlRestart w:val="0"/>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ascii="Arial Gras" w:hAnsi="Arial Gras" w:hint="default"/>
        <w:strike w:val="0"/>
      </w:rPr>
    </w:lvl>
    <w:lvl w:ilvl="3">
      <w:start w:val="1"/>
      <w:numFmt w:val="decimal"/>
      <w:lvlText w:val="%1.%2.%3.%4"/>
      <w:lvlJc w:val="left"/>
      <w:pPr>
        <w:tabs>
          <w:tab w:val="num" w:pos="862"/>
        </w:tabs>
        <w:ind w:left="862" w:hanging="862"/>
      </w:pPr>
      <w:rPr>
        <w:rFonts w:ascii="Arial Gras" w:hAnsi="Arial Gras" w:hint="default"/>
        <w:strike w:val="0"/>
      </w:rPr>
    </w:lvl>
    <w:lvl w:ilvl="4">
      <w:start w:val="1"/>
      <w:numFmt w:val="decimal"/>
      <w:lvlText w:val="%1.%2.%3.%4.%5"/>
      <w:lvlJc w:val="left"/>
      <w:pPr>
        <w:tabs>
          <w:tab w:val="num" w:pos="1009"/>
        </w:tabs>
        <w:ind w:left="1009" w:hanging="1009"/>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8"/>
        </w:tabs>
        <w:ind w:left="1298" w:hanging="1298"/>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2"/>
        </w:tabs>
        <w:ind w:left="1582" w:hanging="1582"/>
      </w:pPr>
      <w:rPr>
        <w:rFonts w:hint="default"/>
      </w:rPr>
    </w:lvl>
  </w:abstractNum>
  <w:abstractNum w:abstractNumId="14">
    <w:nsid w:val="223465A1"/>
    <w:multiLevelType w:val="hybridMultilevel"/>
    <w:tmpl w:val="327657CA"/>
    <w:name w:val="LT_Heading3"/>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2F7216E"/>
    <w:multiLevelType w:val="hybridMultilevel"/>
    <w:tmpl w:val="9BBC2274"/>
    <w:name w:val="List_Alphabetical_Level_23"/>
    <w:lvl w:ilvl="0">
      <w:start w:val="1"/>
      <w:numFmt w:val="bullet"/>
      <w:lvlText w:val=""/>
      <w:lvlJc w:val="left"/>
      <w:pPr>
        <w:tabs>
          <w:tab w:val="num" w:pos="363"/>
        </w:tabs>
        <w:ind w:left="363" w:hanging="360"/>
      </w:pPr>
      <w:rPr>
        <w:rFonts w:ascii="Symbol" w:hAnsi="Symbol" w:hint="default"/>
      </w:rPr>
    </w:lvl>
    <w:lvl w:ilvl="1">
      <w:start w:val="1"/>
      <w:numFmt w:val="bullet"/>
      <w:lvlText w:val="o"/>
      <w:lvlJc w:val="left"/>
      <w:pPr>
        <w:tabs>
          <w:tab w:val="num" w:pos="1083"/>
        </w:tabs>
        <w:ind w:left="1083" w:hanging="360"/>
      </w:pPr>
      <w:rPr>
        <w:rFonts w:ascii="Courier New" w:hAnsi="Courier New" w:cs="Courier New" w:hint="default"/>
      </w:rPr>
    </w:lvl>
    <w:lvl w:ilvl="2">
      <w:numFmt w:val="bullet"/>
      <w:lvlText w:val="-"/>
      <w:lvlJc w:val="left"/>
      <w:pPr>
        <w:tabs>
          <w:tab w:val="num" w:pos="1803"/>
        </w:tabs>
        <w:ind w:left="1803" w:hanging="360"/>
      </w:pPr>
      <w:rPr>
        <w:rFonts w:ascii="Times New Roman" w:eastAsia="MS Mincho" w:hAnsi="Times New Roman" w:cs="Times New Roman" w:hint="default"/>
      </w:rPr>
    </w:lvl>
    <w:lvl w:ilvl="3" w:tentative="1">
      <w:start w:val="1"/>
      <w:numFmt w:val="bullet"/>
      <w:lvlText w:val=""/>
      <w:lvlJc w:val="left"/>
      <w:pPr>
        <w:tabs>
          <w:tab w:val="num" w:pos="2523"/>
        </w:tabs>
        <w:ind w:left="2523" w:hanging="360"/>
      </w:pPr>
      <w:rPr>
        <w:rFonts w:ascii="Symbol" w:hAnsi="Symbol" w:hint="default"/>
      </w:rPr>
    </w:lvl>
    <w:lvl w:ilvl="4" w:tentative="1">
      <w:start w:val="1"/>
      <w:numFmt w:val="bullet"/>
      <w:lvlText w:val="o"/>
      <w:lvlJc w:val="left"/>
      <w:pPr>
        <w:tabs>
          <w:tab w:val="num" w:pos="3243"/>
        </w:tabs>
        <w:ind w:left="3243" w:hanging="360"/>
      </w:pPr>
      <w:rPr>
        <w:rFonts w:ascii="Courier New" w:hAnsi="Courier New" w:cs="Courier New" w:hint="default"/>
      </w:rPr>
    </w:lvl>
    <w:lvl w:ilvl="5" w:tentative="1">
      <w:start w:val="1"/>
      <w:numFmt w:val="bullet"/>
      <w:lvlText w:val=""/>
      <w:lvlJc w:val="left"/>
      <w:pPr>
        <w:tabs>
          <w:tab w:val="num" w:pos="3963"/>
        </w:tabs>
        <w:ind w:left="3963" w:hanging="360"/>
      </w:pPr>
      <w:rPr>
        <w:rFonts w:ascii="Wingdings" w:hAnsi="Wingdings" w:hint="default"/>
      </w:rPr>
    </w:lvl>
    <w:lvl w:ilvl="6" w:tentative="1">
      <w:start w:val="1"/>
      <w:numFmt w:val="bullet"/>
      <w:lvlText w:val=""/>
      <w:lvlJc w:val="left"/>
      <w:pPr>
        <w:tabs>
          <w:tab w:val="num" w:pos="4683"/>
        </w:tabs>
        <w:ind w:left="4683" w:hanging="360"/>
      </w:pPr>
      <w:rPr>
        <w:rFonts w:ascii="Symbol" w:hAnsi="Symbol" w:hint="default"/>
      </w:rPr>
    </w:lvl>
    <w:lvl w:ilvl="7" w:tentative="1">
      <w:start w:val="1"/>
      <w:numFmt w:val="bullet"/>
      <w:lvlText w:val="o"/>
      <w:lvlJc w:val="left"/>
      <w:pPr>
        <w:tabs>
          <w:tab w:val="num" w:pos="5403"/>
        </w:tabs>
        <w:ind w:left="5403" w:hanging="360"/>
      </w:pPr>
      <w:rPr>
        <w:rFonts w:ascii="Courier New" w:hAnsi="Courier New" w:cs="Courier New" w:hint="default"/>
      </w:rPr>
    </w:lvl>
    <w:lvl w:ilvl="8" w:tentative="1">
      <w:start w:val="1"/>
      <w:numFmt w:val="bullet"/>
      <w:lvlText w:val=""/>
      <w:lvlJc w:val="left"/>
      <w:pPr>
        <w:tabs>
          <w:tab w:val="num" w:pos="6123"/>
        </w:tabs>
        <w:ind w:left="6123" w:hanging="360"/>
      </w:pPr>
      <w:rPr>
        <w:rFonts w:ascii="Wingdings" w:hAnsi="Wingdings" w:hint="default"/>
      </w:rPr>
    </w:lvl>
  </w:abstractNum>
  <w:abstractNum w:abstractNumId="16">
    <w:nsid w:val="23F52DC2"/>
    <w:multiLevelType w:val="multilevel"/>
    <w:tmpl w:val="0409000F"/>
    <w:name w:val="LT_Number List Inclusion Synospis"/>
    <w:lvl w:ilvl="0">
      <w:start w:val="1"/>
      <w:numFmt w:val="decimal"/>
      <w:lvlText w:val="%1."/>
      <w:lvlJc w:val="left"/>
      <w:pPr>
        <w:ind w:left="72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42567C3"/>
    <w:multiLevelType w:val="hybridMultilevel"/>
    <w:tmpl w:val="FFF60CBE"/>
    <w:name w:val="LT_Heading42"/>
    <w:lvl w:ilvl="0" w:tplc="040C0003">
      <w:start w:val="1"/>
      <w:numFmt w:val="bullet"/>
      <w:lvlText w:val="o"/>
      <w:lvlJc w:val="left"/>
      <w:pPr>
        <w:ind w:left="936" w:hanging="360"/>
      </w:pPr>
      <w:rPr>
        <w:rFonts w:ascii="Courier New" w:hAnsi="Courier New" w:cs="Courier New"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18">
    <w:nsid w:val="29514E07"/>
    <w:multiLevelType w:val="multilevel"/>
    <w:tmpl w:val="95707B22"/>
    <w:name w:val="List Bullet Level 13"/>
    <w:lvl w:ilvl="0">
      <w:start w:val="1"/>
      <w:numFmt w:val="bullet"/>
      <w:lvlRestart w:val="0"/>
      <w:lvlText w:val=""/>
      <w:lvlJc w:val="left"/>
      <w:pPr>
        <w:tabs>
          <w:tab w:val="num" w:pos="720"/>
        </w:tabs>
        <w:ind w:left="720" w:hanging="357"/>
      </w:pPr>
      <w:rPr>
        <w:rFonts w:ascii="Symbol" w:hAnsi="Symbol" w:hint="default"/>
      </w:rPr>
    </w:lvl>
    <w:lvl w:ilvl="1">
      <w:start w:val="1"/>
      <w:numFmt w:val="bullet"/>
      <w:lvlText w:val=""/>
      <w:lvlJc w:val="left"/>
      <w:pPr>
        <w:tabs>
          <w:tab w:val="num" w:pos="1083"/>
        </w:tabs>
        <w:ind w:left="1083" w:hanging="363"/>
      </w:pPr>
      <w:rPr>
        <w:rFonts w:ascii="Symbol" w:hAnsi="Symbol" w:hint="default"/>
      </w:rPr>
    </w:lvl>
    <w:lvl w:ilvl="2">
      <w:start w:val="1"/>
      <w:numFmt w:val="bullet"/>
      <w:lvlText w:val=""/>
      <w:lvlJc w:val="left"/>
      <w:pPr>
        <w:tabs>
          <w:tab w:val="num" w:pos="1440"/>
        </w:tabs>
        <w:ind w:left="1440" w:hanging="357"/>
      </w:pPr>
      <w:rPr>
        <w:rFonts w:ascii="Symbol" w:hAnsi="Symbol" w:hint="default"/>
      </w:rPr>
    </w:lvl>
    <w:lvl w:ilvl="3">
      <w:start w:val="1"/>
      <w:numFmt w:val="bullet"/>
      <w:lvlText w:val=""/>
      <w:lvlJc w:val="left"/>
      <w:pPr>
        <w:tabs>
          <w:tab w:val="num" w:pos="1803"/>
        </w:tabs>
        <w:ind w:left="1803" w:hanging="363"/>
      </w:pPr>
      <w:rPr>
        <w:rFonts w:ascii="Symbol" w:hAnsi="Symbol" w:hint="default"/>
      </w:rPr>
    </w:lvl>
    <w:lvl w:ilvl="4">
      <w:start w:val="1"/>
      <w:numFmt w:val="bullet"/>
      <w:lvlText w:val=""/>
      <w:lvlJc w:val="left"/>
      <w:pPr>
        <w:tabs>
          <w:tab w:val="num" w:pos="2160"/>
        </w:tabs>
        <w:ind w:left="2160" w:hanging="357"/>
      </w:pPr>
      <w:rPr>
        <w:rFonts w:ascii="Symbol" w:hAnsi="Symbol" w:hint="default"/>
      </w:rPr>
    </w:lvl>
    <w:lvl w:ilvl="5">
      <w:start w:val="1"/>
      <w:numFmt w:val="bullet"/>
      <w:lvlText w:val=""/>
      <w:lvlJc w:val="left"/>
      <w:pPr>
        <w:tabs>
          <w:tab w:val="num" w:pos="2523"/>
        </w:tabs>
        <w:ind w:left="2523" w:hanging="363"/>
      </w:pPr>
      <w:rPr>
        <w:rFonts w:ascii="Symbol" w:hAnsi="Symbol" w:hint="default"/>
      </w:rPr>
    </w:lvl>
    <w:lvl w:ilvl="6">
      <w:start w:val="1"/>
      <w:numFmt w:val="bullet"/>
      <w:lvlText w:val=""/>
      <w:lvlJc w:val="left"/>
      <w:pPr>
        <w:tabs>
          <w:tab w:val="num" w:pos="2880"/>
        </w:tabs>
        <w:ind w:left="2880" w:hanging="357"/>
      </w:pPr>
      <w:rPr>
        <w:rFonts w:ascii="Symbol" w:hAnsi="Symbol" w:hint="default"/>
      </w:rPr>
    </w:lvl>
    <w:lvl w:ilvl="7">
      <w:start w:val="1"/>
      <w:numFmt w:val="bullet"/>
      <w:lvlText w:val=""/>
      <w:lvlJc w:val="left"/>
      <w:pPr>
        <w:tabs>
          <w:tab w:val="num" w:pos="3243"/>
        </w:tabs>
        <w:ind w:left="3243" w:hanging="363"/>
      </w:pPr>
      <w:rPr>
        <w:rFonts w:ascii="Symbol" w:hAnsi="Symbol" w:hint="default"/>
      </w:rPr>
    </w:lvl>
    <w:lvl w:ilvl="8">
      <w:start w:val="1"/>
      <w:numFmt w:val="bullet"/>
      <w:lvlText w:val=""/>
      <w:lvlJc w:val="left"/>
      <w:pPr>
        <w:tabs>
          <w:tab w:val="num" w:pos="3600"/>
        </w:tabs>
        <w:ind w:left="3600" w:hanging="357"/>
      </w:pPr>
      <w:rPr>
        <w:rFonts w:ascii="Symbol" w:hAnsi="Symbol" w:hint="default"/>
      </w:rPr>
    </w:lvl>
  </w:abstractNum>
  <w:abstractNum w:abstractNumId="19">
    <w:nsid w:val="2DA67FC9"/>
    <w:multiLevelType w:val="multilevel"/>
    <w:tmpl w:val="9022FB84"/>
    <w:lvl w:ilvl="0">
      <w:start w:val="1"/>
      <w:numFmt w:val="decimalZero"/>
      <w:lvlRestart w:val="0"/>
      <w:pStyle w:val="NumberListExclusionSynospis"/>
      <w:lvlText w:val="E %1."/>
      <w:lvlJc w:val="left"/>
      <w:pPr>
        <w:tabs>
          <w:tab w:val="num" w:pos="691"/>
        </w:tabs>
        <w:ind w:left="691" w:hanging="691"/>
      </w:pPr>
      <w:rPr>
        <w:rFonts w:ascii="Arial Narrow" w:hAnsi="Arial Narrow" w:hint="default"/>
        <w:sz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nsid w:val="2FB61D16"/>
    <w:multiLevelType w:val="multilevel"/>
    <w:tmpl w:val="26E0D45E"/>
    <w:lvl w:ilvl="0">
      <w:start w:val="1"/>
      <w:numFmt w:val="decimal"/>
      <w:lvlRestart w:val="0"/>
      <w:pStyle w:val="ListNumbered"/>
      <w:lvlText w:val="%1."/>
      <w:lvlJc w:val="left"/>
      <w:pPr>
        <w:tabs>
          <w:tab w:val="num" w:pos="720"/>
        </w:tabs>
        <w:ind w:left="720" w:hanging="357"/>
      </w:pPr>
      <w:rPr>
        <w:rFonts w:ascii="Times New Roman" w:hAnsi="Times New Roman" w:cs="Times New Roman" w:hint="default"/>
        <w:sz w:val="24"/>
      </w:rPr>
    </w:lvl>
    <w:lvl w:ilvl="1">
      <w:start w:val="1"/>
      <w:numFmt w:val="decimal"/>
      <w:lvlText w:val="%2."/>
      <w:lvlJc w:val="left"/>
      <w:pPr>
        <w:tabs>
          <w:tab w:val="num" w:pos="1083"/>
        </w:tabs>
        <w:ind w:left="1083" w:hanging="363"/>
      </w:pPr>
      <w:rPr>
        <w:rFonts w:ascii="Times New Roman" w:hAnsi="Times New Roman" w:cs="Times New Roman" w:hint="default"/>
        <w:sz w:val="24"/>
      </w:rPr>
    </w:lvl>
    <w:lvl w:ilvl="2">
      <w:start w:val="1"/>
      <w:numFmt w:val="decimal"/>
      <w:lvlText w:val="%3."/>
      <w:lvlJc w:val="left"/>
      <w:pPr>
        <w:tabs>
          <w:tab w:val="num" w:pos="1440"/>
        </w:tabs>
        <w:ind w:left="1440" w:hanging="357"/>
      </w:pPr>
      <w:rPr>
        <w:rFonts w:ascii="Times New Roman" w:hAnsi="Times New Roman" w:cs="Times New Roman" w:hint="default"/>
        <w:sz w:val="24"/>
      </w:rPr>
    </w:lvl>
    <w:lvl w:ilvl="3">
      <w:start w:val="1"/>
      <w:numFmt w:val="decimal"/>
      <w:lvlText w:val="%4."/>
      <w:lvlJc w:val="left"/>
      <w:pPr>
        <w:tabs>
          <w:tab w:val="num" w:pos="1803"/>
        </w:tabs>
        <w:ind w:left="1803" w:hanging="363"/>
      </w:pPr>
      <w:rPr>
        <w:rFonts w:ascii="Times New Roman" w:hAnsi="Times New Roman" w:cs="Times New Roman" w:hint="default"/>
        <w:sz w:val="24"/>
      </w:rPr>
    </w:lvl>
    <w:lvl w:ilvl="4">
      <w:start w:val="1"/>
      <w:numFmt w:val="decimal"/>
      <w:lvlText w:val="%5."/>
      <w:lvlJc w:val="left"/>
      <w:pPr>
        <w:tabs>
          <w:tab w:val="num" w:pos="2160"/>
        </w:tabs>
        <w:ind w:left="2160" w:hanging="357"/>
      </w:pPr>
      <w:rPr>
        <w:rFonts w:ascii="Times New Roman" w:hAnsi="Times New Roman" w:cs="Times New Roman" w:hint="default"/>
        <w:sz w:val="24"/>
      </w:rPr>
    </w:lvl>
    <w:lvl w:ilvl="5">
      <w:start w:val="1"/>
      <w:numFmt w:val="decimal"/>
      <w:lvlText w:val="%6."/>
      <w:lvlJc w:val="left"/>
      <w:pPr>
        <w:tabs>
          <w:tab w:val="num" w:pos="2523"/>
        </w:tabs>
        <w:ind w:left="2523" w:hanging="363"/>
      </w:pPr>
      <w:rPr>
        <w:rFonts w:ascii="Times New Roman" w:hAnsi="Times New Roman" w:cs="Times New Roman" w:hint="default"/>
        <w:sz w:val="24"/>
      </w:rPr>
    </w:lvl>
    <w:lvl w:ilvl="6">
      <w:start w:val="1"/>
      <w:numFmt w:val="decimal"/>
      <w:lvlText w:val="%7."/>
      <w:lvlJc w:val="left"/>
      <w:pPr>
        <w:tabs>
          <w:tab w:val="num" w:pos="2880"/>
        </w:tabs>
        <w:ind w:left="2880" w:hanging="357"/>
      </w:pPr>
      <w:rPr>
        <w:rFonts w:ascii="Times New Roman" w:hAnsi="Times New Roman" w:cs="Times New Roman" w:hint="default"/>
        <w:sz w:val="24"/>
      </w:rPr>
    </w:lvl>
    <w:lvl w:ilvl="7">
      <w:start w:val="1"/>
      <w:numFmt w:val="decimal"/>
      <w:lvlText w:val="%8."/>
      <w:lvlJc w:val="left"/>
      <w:pPr>
        <w:tabs>
          <w:tab w:val="num" w:pos="3243"/>
        </w:tabs>
        <w:ind w:left="3243" w:hanging="363"/>
      </w:pPr>
      <w:rPr>
        <w:rFonts w:ascii="Times New Roman" w:hAnsi="Times New Roman" w:cs="Times New Roman" w:hint="default"/>
        <w:sz w:val="24"/>
      </w:rPr>
    </w:lvl>
    <w:lvl w:ilvl="8">
      <w:start w:val="1"/>
      <w:numFmt w:val="decimal"/>
      <w:lvlText w:val="%9."/>
      <w:lvlJc w:val="left"/>
      <w:pPr>
        <w:tabs>
          <w:tab w:val="num" w:pos="3600"/>
        </w:tabs>
        <w:ind w:left="3600" w:hanging="357"/>
      </w:pPr>
      <w:rPr>
        <w:rFonts w:ascii="Times New Roman" w:hAnsi="Times New Roman" w:cs="Times New Roman" w:hint="default"/>
        <w:sz w:val="24"/>
      </w:rPr>
    </w:lvl>
  </w:abstractNum>
  <w:abstractNum w:abstractNumId="21">
    <w:nsid w:val="33853A84"/>
    <w:multiLevelType w:val="hybridMultilevel"/>
    <w:tmpl w:val="2EBE9166"/>
    <w:name w:val="LT_Heading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3EC1369"/>
    <w:multiLevelType w:val="multilevel"/>
    <w:tmpl w:val="8530F7D0"/>
    <w:name w:val="List_numbered"/>
    <w:lvl w:ilvl="0">
      <w:start w:val="1"/>
      <w:numFmt w:val="decimal"/>
      <w:lvlRestart w:val="0"/>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862"/>
        </w:tabs>
        <w:ind w:left="862" w:hanging="862"/>
      </w:pPr>
      <w:rPr>
        <w:rFonts w:hint="default"/>
      </w:rPr>
    </w:lvl>
    <w:lvl w:ilvl="4">
      <w:start w:val="1"/>
      <w:numFmt w:val="decimal"/>
      <w:lvlText w:val="%1.%2.%3.%4.%5"/>
      <w:lvlJc w:val="left"/>
      <w:pPr>
        <w:tabs>
          <w:tab w:val="num" w:pos="1009"/>
        </w:tabs>
        <w:ind w:left="1009" w:hanging="1009"/>
      </w:pPr>
      <w:rPr>
        <w:rFonts w:hint="default"/>
      </w:rPr>
    </w:lvl>
    <w:lvl w:ilvl="5">
      <w:start w:val="1"/>
      <w:numFmt w:val="decimal"/>
      <w:lvlText w:val="%1.%2.%3.%4.%5.%6"/>
      <w:lvlJc w:val="left"/>
      <w:pPr>
        <w:tabs>
          <w:tab w:val="num" w:pos="1151"/>
        </w:tabs>
        <w:ind w:left="1151" w:hanging="1151"/>
      </w:pPr>
      <w:rPr>
        <w:rFonts w:hint="default"/>
      </w:rPr>
    </w:lvl>
    <w:lvl w:ilvl="6">
      <w:start w:val="1"/>
      <w:numFmt w:val="decimal"/>
      <w:lvlText w:val="%1.%2.%3.%4.%5.%6.%7"/>
      <w:lvlJc w:val="left"/>
      <w:pPr>
        <w:tabs>
          <w:tab w:val="num" w:pos="1298"/>
        </w:tabs>
        <w:ind w:left="1298" w:hanging="1298"/>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2"/>
        </w:tabs>
        <w:ind w:left="1582" w:hanging="1582"/>
      </w:pPr>
      <w:rPr>
        <w:rFonts w:hint="default"/>
      </w:rPr>
    </w:lvl>
  </w:abstractNum>
  <w:abstractNum w:abstractNumId="23">
    <w:nsid w:val="36896153"/>
    <w:multiLevelType w:val="singleLevel"/>
    <w:tmpl w:val="D466E476"/>
    <w:name w:val="LT_Heading2"/>
    <w:lvl w:ilvl="0">
      <w:start w:val="1"/>
      <w:numFmt w:val="lowerLetter"/>
      <w:lvlRestart w:val="0"/>
      <w:lvlText w:val="%1"/>
      <w:lvlJc w:val="left"/>
      <w:pPr>
        <w:tabs>
          <w:tab w:val="num" w:pos="244"/>
        </w:tabs>
        <w:ind w:left="244" w:hanging="244"/>
      </w:pPr>
      <w:rPr>
        <w:rFonts w:ascii="Arial Narrow" w:hAnsi="Arial Narrow"/>
        <w:b w:val="0"/>
        <w:i/>
        <w:caps w:val="0"/>
        <w:strike w:val="0"/>
        <w:dstrike w:val="0"/>
        <w:vanish w:val="0"/>
        <w:color w:val="000000"/>
        <w:sz w:val="18"/>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nsid w:val="3AE5327F"/>
    <w:multiLevelType w:val="multilevel"/>
    <w:tmpl w:val="8AEE692E"/>
    <w:lvl w:ilvl="0">
      <w:start w:val="1"/>
      <w:numFmt w:val="lowerLetter"/>
      <w:lvlRestart w:val="0"/>
      <w:pStyle w:val="ListAlphabeticalLevel2"/>
      <w:lvlText w:val="%1)"/>
      <w:lvlJc w:val="left"/>
      <w:pPr>
        <w:tabs>
          <w:tab w:val="num" w:pos="1083"/>
        </w:tabs>
        <w:ind w:left="1083" w:hanging="363"/>
      </w:pPr>
      <w:rPr>
        <w:rFonts w:ascii="Arial Narrow" w:hAnsi="Arial Narrow" w:cs="Times New Roman" w:hint="default"/>
        <w:sz w:val="20"/>
      </w:rPr>
    </w:lvl>
    <w:lvl w:ilvl="1">
      <w:start w:val="1"/>
      <w:numFmt w:val="lowerLetter"/>
      <w:lvlText w:val="%2)"/>
      <w:lvlJc w:val="left"/>
      <w:pPr>
        <w:tabs>
          <w:tab w:val="num" w:pos="1440"/>
        </w:tabs>
        <w:ind w:left="1440" w:hanging="357"/>
      </w:pPr>
      <w:rPr>
        <w:rFonts w:ascii="Arial Narrow" w:hAnsi="Arial Narrow" w:cs="Times New Roman" w:hint="default"/>
        <w:sz w:val="14"/>
      </w:rPr>
    </w:lvl>
    <w:lvl w:ilvl="2">
      <w:start w:val="1"/>
      <w:numFmt w:val="lowerLetter"/>
      <w:lvlText w:val="%3)"/>
      <w:lvlJc w:val="left"/>
      <w:pPr>
        <w:tabs>
          <w:tab w:val="num" w:pos="1803"/>
        </w:tabs>
        <w:ind w:left="1803" w:hanging="363"/>
      </w:pPr>
      <w:rPr>
        <w:rFonts w:ascii="Arial Narrow" w:hAnsi="Arial Narrow" w:cs="Times New Roman" w:hint="default"/>
        <w:sz w:val="14"/>
      </w:rPr>
    </w:lvl>
    <w:lvl w:ilvl="3">
      <w:start w:val="1"/>
      <w:numFmt w:val="lowerLetter"/>
      <w:lvlText w:val="%4)"/>
      <w:lvlJc w:val="left"/>
      <w:pPr>
        <w:tabs>
          <w:tab w:val="num" w:pos="2160"/>
        </w:tabs>
        <w:ind w:left="2160" w:hanging="357"/>
      </w:pPr>
      <w:rPr>
        <w:rFonts w:ascii="Arial Narrow" w:hAnsi="Arial Narrow" w:cs="Times New Roman" w:hint="default"/>
        <w:sz w:val="14"/>
      </w:rPr>
    </w:lvl>
    <w:lvl w:ilvl="4">
      <w:start w:val="1"/>
      <w:numFmt w:val="lowerLetter"/>
      <w:lvlText w:val="%5)"/>
      <w:lvlJc w:val="left"/>
      <w:pPr>
        <w:tabs>
          <w:tab w:val="num" w:pos="2523"/>
        </w:tabs>
        <w:ind w:left="2523" w:hanging="363"/>
      </w:pPr>
      <w:rPr>
        <w:rFonts w:ascii="Arial Narrow" w:hAnsi="Arial Narrow" w:cs="Times New Roman" w:hint="default"/>
        <w:sz w:val="14"/>
      </w:rPr>
    </w:lvl>
    <w:lvl w:ilvl="5">
      <w:start w:val="1"/>
      <w:numFmt w:val="lowerLetter"/>
      <w:lvlText w:val="%6)"/>
      <w:lvlJc w:val="left"/>
      <w:pPr>
        <w:tabs>
          <w:tab w:val="num" w:pos="2880"/>
        </w:tabs>
        <w:ind w:left="2880" w:hanging="357"/>
      </w:pPr>
      <w:rPr>
        <w:rFonts w:ascii="Arial Narrow" w:hAnsi="Arial Narrow" w:cs="Times New Roman" w:hint="default"/>
        <w:sz w:val="14"/>
      </w:rPr>
    </w:lvl>
    <w:lvl w:ilvl="6">
      <w:start w:val="1"/>
      <w:numFmt w:val="lowerLetter"/>
      <w:lvlText w:val="%7)"/>
      <w:lvlJc w:val="left"/>
      <w:pPr>
        <w:tabs>
          <w:tab w:val="num" w:pos="3243"/>
        </w:tabs>
        <w:ind w:left="3243" w:hanging="363"/>
      </w:pPr>
      <w:rPr>
        <w:rFonts w:ascii="Arial Narrow" w:hAnsi="Arial Narrow" w:cs="Times New Roman" w:hint="default"/>
        <w:sz w:val="14"/>
      </w:rPr>
    </w:lvl>
    <w:lvl w:ilvl="7">
      <w:start w:val="1"/>
      <w:numFmt w:val="lowerLetter"/>
      <w:lvlText w:val="%8)"/>
      <w:lvlJc w:val="left"/>
      <w:pPr>
        <w:tabs>
          <w:tab w:val="num" w:pos="3600"/>
        </w:tabs>
        <w:ind w:left="3600" w:hanging="357"/>
      </w:pPr>
      <w:rPr>
        <w:rFonts w:ascii="Arial Narrow" w:hAnsi="Arial Narrow" w:cs="Times New Roman" w:hint="default"/>
        <w:sz w:val="14"/>
      </w:rPr>
    </w:lvl>
    <w:lvl w:ilvl="8">
      <w:start w:val="1"/>
      <w:numFmt w:val="lowerLetter"/>
      <w:lvlText w:val="%9)"/>
      <w:lvlJc w:val="left"/>
      <w:pPr>
        <w:tabs>
          <w:tab w:val="num" w:pos="3957"/>
        </w:tabs>
        <w:ind w:left="3957" w:hanging="357"/>
      </w:pPr>
      <w:rPr>
        <w:rFonts w:ascii="Arial Narrow" w:hAnsi="Arial Narrow" w:cs="Times New Roman" w:hint="default"/>
        <w:sz w:val="14"/>
      </w:rPr>
    </w:lvl>
  </w:abstractNum>
  <w:abstractNum w:abstractNumId="25">
    <w:nsid w:val="3E016571"/>
    <w:multiLevelType w:val="hybridMultilevel"/>
    <w:tmpl w:val="57F6FBB8"/>
    <w:name w:val="List_Table_Figure_Footnote"/>
    <w:lvl w:ilvl="0">
      <w:start w:val="1"/>
      <w:numFmt w:val="bullet"/>
      <w:pStyle w:val="ActionItems"/>
      <w:lvlText w:val=""/>
      <w:lvlJc w:val="left"/>
      <w:pPr>
        <w:tabs>
          <w:tab w:val="num" w:pos="360"/>
        </w:tabs>
        <w:ind w:left="360" w:hanging="360"/>
      </w:pPr>
      <w:rPr>
        <w:rFonts w:ascii="Wingdings" w:hAnsi="Wingding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3E6449F8"/>
    <w:multiLevelType w:val="multilevel"/>
    <w:tmpl w:val="E962163A"/>
    <w:name w:val="LT_Heading"/>
    <w:lvl w:ilvl="0">
      <w:start w:val="1"/>
      <w:numFmt w:val="decimal"/>
      <w:lvlRestart w:val="0"/>
      <w:lvlText w:val="%1"/>
      <w:lvlJc w:val="left"/>
      <w:pPr>
        <w:tabs>
          <w:tab w:val="num" w:pos="680"/>
        </w:tabs>
        <w:ind w:left="680" w:hanging="680"/>
      </w:pPr>
    </w:lvl>
    <w:lvl w:ilvl="1">
      <w:start w:val="1"/>
      <w:numFmt w:val="decimal"/>
      <w:lvlText w:val="%1.%2"/>
      <w:lvlJc w:val="left"/>
      <w:pPr>
        <w:tabs>
          <w:tab w:val="num" w:pos="680"/>
        </w:tabs>
        <w:ind w:left="680" w:hanging="680"/>
      </w:pPr>
    </w:lvl>
    <w:lvl w:ilvl="2">
      <w:start w:val="1"/>
      <w:numFmt w:val="decimal"/>
      <w:lvlText w:val="%1.%2.%3"/>
      <w:lvlJc w:val="left"/>
      <w:pPr>
        <w:tabs>
          <w:tab w:val="num" w:pos="680"/>
        </w:tabs>
        <w:ind w:left="680" w:hanging="680"/>
      </w:pPr>
    </w:lvl>
    <w:lvl w:ilvl="3">
      <w:start w:val="1"/>
      <w:numFmt w:val="decimal"/>
      <w:lvlText w:val="%1.%2.%3.%4"/>
      <w:lvlJc w:val="left"/>
      <w:pPr>
        <w:tabs>
          <w:tab w:val="num" w:pos="862"/>
        </w:tabs>
        <w:ind w:left="862" w:hanging="862"/>
      </w:pPr>
    </w:lvl>
    <w:lvl w:ilvl="4">
      <w:start w:val="1"/>
      <w:numFmt w:val="decimal"/>
      <w:lvlText w:val="%1.%2.%3.%4.%5"/>
      <w:lvlJc w:val="left"/>
      <w:pPr>
        <w:tabs>
          <w:tab w:val="num" w:pos="1009"/>
        </w:tabs>
        <w:ind w:left="1009" w:hanging="1009"/>
      </w:pPr>
    </w:lvl>
    <w:lvl w:ilvl="5">
      <w:start w:val="1"/>
      <w:numFmt w:val="decimal"/>
      <w:lvlText w:val="%1.%2.%3.%4.%5.%6"/>
      <w:lvlJc w:val="left"/>
      <w:pPr>
        <w:tabs>
          <w:tab w:val="num" w:pos="1151"/>
        </w:tabs>
        <w:ind w:left="1151" w:hanging="1151"/>
      </w:pPr>
    </w:lvl>
    <w:lvl w:ilvl="6">
      <w:start w:val="1"/>
      <w:numFmt w:val="decimal"/>
      <w:lvlText w:val="%1.%2.%3.%4.%5.%6.%7"/>
      <w:lvlJc w:val="left"/>
      <w:pPr>
        <w:tabs>
          <w:tab w:val="num" w:pos="1298"/>
        </w:tabs>
        <w:ind w:left="1298" w:hanging="1298"/>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2"/>
        </w:tabs>
        <w:ind w:left="1582" w:hanging="1582"/>
      </w:pPr>
    </w:lvl>
  </w:abstractNum>
  <w:abstractNum w:abstractNumId="27">
    <w:nsid w:val="3FD221DD"/>
    <w:multiLevelType w:val="multilevel"/>
    <w:tmpl w:val="0409000F"/>
    <w:name w:val="LT_Number List Exclusion Synospis"/>
    <w:lvl w:ilvl="0">
      <w:start w:val="1"/>
      <w:numFmt w:val="decimal"/>
      <w:lvlText w:val="%1."/>
      <w:lvlJc w:val="left"/>
      <w:pPr>
        <w:ind w:left="72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413A2276"/>
    <w:multiLevelType w:val="multilevel"/>
    <w:tmpl w:val="558E978E"/>
    <w:lvl w:ilvl="0">
      <w:start w:val="1"/>
      <w:numFmt w:val="upperLetter"/>
      <w:lvlRestart w:val="0"/>
      <w:pStyle w:val="ListAlphabeticalLevel1"/>
      <w:lvlText w:val="%1)"/>
      <w:lvlJc w:val="left"/>
      <w:pPr>
        <w:tabs>
          <w:tab w:val="num" w:pos="720"/>
        </w:tabs>
        <w:ind w:left="720" w:hanging="357"/>
      </w:pPr>
      <w:rPr>
        <w:rFonts w:ascii="Times New Roman" w:hAnsi="Times New Roman" w:cs="Times New Roman" w:hint="default"/>
        <w:sz w:val="24"/>
        <w:effect w:val="none"/>
      </w:rPr>
    </w:lvl>
    <w:lvl w:ilvl="1">
      <w:start w:val="1"/>
      <w:numFmt w:val="upperLetter"/>
      <w:lvlText w:val="%2)"/>
      <w:lvlJc w:val="left"/>
      <w:pPr>
        <w:tabs>
          <w:tab w:val="num" w:pos="1083"/>
        </w:tabs>
        <w:ind w:left="1083" w:hanging="363"/>
      </w:pPr>
      <w:rPr>
        <w:rFonts w:ascii="Times New Roman" w:hAnsi="Times New Roman" w:cs="Times New Roman" w:hint="default"/>
        <w:sz w:val="24"/>
      </w:rPr>
    </w:lvl>
    <w:lvl w:ilvl="2">
      <w:start w:val="1"/>
      <w:numFmt w:val="upperLetter"/>
      <w:lvlText w:val="%3)"/>
      <w:lvlJc w:val="left"/>
      <w:pPr>
        <w:tabs>
          <w:tab w:val="num" w:pos="1440"/>
        </w:tabs>
        <w:ind w:left="1440" w:hanging="357"/>
      </w:pPr>
      <w:rPr>
        <w:rFonts w:ascii="Times New Roman" w:hAnsi="Times New Roman" w:cs="Times New Roman" w:hint="default"/>
        <w:sz w:val="24"/>
      </w:rPr>
    </w:lvl>
    <w:lvl w:ilvl="3">
      <w:start w:val="1"/>
      <w:numFmt w:val="upperLetter"/>
      <w:lvlText w:val="%4)"/>
      <w:lvlJc w:val="left"/>
      <w:pPr>
        <w:tabs>
          <w:tab w:val="num" w:pos="1803"/>
        </w:tabs>
        <w:ind w:left="1803" w:hanging="363"/>
      </w:pPr>
      <w:rPr>
        <w:rFonts w:ascii="Times New Roman" w:hAnsi="Times New Roman" w:cs="Times New Roman" w:hint="default"/>
        <w:sz w:val="24"/>
      </w:rPr>
    </w:lvl>
    <w:lvl w:ilvl="4">
      <w:start w:val="1"/>
      <w:numFmt w:val="upperLetter"/>
      <w:lvlText w:val="%5)"/>
      <w:lvlJc w:val="left"/>
      <w:pPr>
        <w:tabs>
          <w:tab w:val="num" w:pos="2160"/>
        </w:tabs>
        <w:ind w:left="2160" w:hanging="357"/>
      </w:pPr>
      <w:rPr>
        <w:rFonts w:ascii="Times New Roman" w:hAnsi="Times New Roman" w:cs="Times New Roman" w:hint="default"/>
        <w:sz w:val="24"/>
      </w:rPr>
    </w:lvl>
    <w:lvl w:ilvl="5">
      <w:start w:val="1"/>
      <w:numFmt w:val="upperLetter"/>
      <w:lvlText w:val="%6)"/>
      <w:lvlJc w:val="left"/>
      <w:pPr>
        <w:tabs>
          <w:tab w:val="num" w:pos="2523"/>
        </w:tabs>
        <w:ind w:left="2523" w:hanging="363"/>
      </w:pPr>
      <w:rPr>
        <w:rFonts w:ascii="Times New Roman" w:hAnsi="Times New Roman" w:cs="Times New Roman" w:hint="default"/>
        <w:sz w:val="24"/>
      </w:rPr>
    </w:lvl>
    <w:lvl w:ilvl="6">
      <w:start w:val="1"/>
      <w:numFmt w:val="upperLetter"/>
      <w:lvlText w:val="%7)"/>
      <w:lvlJc w:val="left"/>
      <w:pPr>
        <w:tabs>
          <w:tab w:val="num" w:pos="2880"/>
        </w:tabs>
        <w:ind w:left="2880" w:hanging="357"/>
      </w:pPr>
      <w:rPr>
        <w:rFonts w:ascii="Times New Roman" w:hAnsi="Times New Roman" w:cs="Times New Roman" w:hint="default"/>
        <w:sz w:val="24"/>
      </w:rPr>
    </w:lvl>
    <w:lvl w:ilvl="7">
      <w:start w:val="1"/>
      <w:numFmt w:val="upperLetter"/>
      <w:lvlText w:val="%8)"/>
      <w:lvlJc w:val="left"/>
      <w:pPr>
        <w:tabs>
          <w:tab w:val="num" w:pos="3243"/>
        </w:tabs>
        <w:ind w:left="3243" w:hanging="363"/>
      </w:pPr>
      <w:rPr>
        <w:rFonts w:ascii="Times New Roman" w:hAnsi="Times New Roman" w:cs="Times New Roman" w:hint="default"/>
        <w:sz w:val="24"/>
      </w:rPr>
    </w:lvl>
    <w:lvl w:ilvl="8">
      <w:start w:val="1"/>
      <w:numFmt w:val="upperLetter"/>
      <w:lvlText w:val="%8)"/>
      <w:lvlJc w:val="left"/>
      <w:pPr>
        <w:tabs>
          <w:tab w:val="num" w:pos="3600"/>
        </w:tabs>
        <w:ind w:left="3600" w:hanging="357"/>
      </w:pPr>
      <w:rPr>
        <w:rFonts w:ascii="Times New Roman" w:hAnsi="Times New Roman" w:cs="Times New Roman" w:hint="default"/>
        <w:sz w:val="24"/>
      </w:rPr>
    </w:lvl>
  </w:abstractNum>
  <w:abstractNum w:abstractNumId="29">
    <w:nsid w:val="468173DD"/>
    <w:multiLevelType w:val="hybridMultilevel"/>
    <w:tmpl w:val="7C683E6C"/>
    <w:lvl w:ilvl="0" w:tplc="FAB6C8DE">
      <w:start w:val="1"/>
      <w:numFmt w:val="bullet"/>
      <w:pStyle w:val="TblTextbulletedlist"/>
      <w:lvlText w:val=""/>
      <w:lvlJc w:val="left"/>
      <w:pPr>
        <w:tabs>
          <w:tab w:val="num" w:pos="357"/>
        </w:tabs>
        <w:ind w:left="357" w:hanging="35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710749D"/>
    <w:multiLevelType w:val="multilevel"/>
    <w:tmpl w:val="D35AD7F0"/>
    <w:lvl w:ilvl="0">
      <w:start w:val="1"/>
      <w:numFmt w:val="bullet"/>
      <w:lvlRestart w:val="0"/>
      <w:pStyle w:val="ListBulletLevel1Synospis"/>
      <w:lvlText w:val=""/>
      <w:lvlJc w:val="left"/>
      <w:pPr>
        <w:tabs>
          <w:tab w:val="num" w:pos="720"/>
        </w:tabs>
        <w:ind w:left="720" w:hanging="357"/>
      </w:pPr>
      <w:rPr>
        <w:rFonts w:ascii="Symbol" w:hAnsi="Symbol" w:hint="default"/>
        <w:sz w:val="20"/>
      </w:rPr>
    </w:lvl>
    <w:lvl w:ilvl="1">
      <w:start w:val="1"/>
      <w:numFmt w:val="bullet"/>
      <w:lvlText w:val=""/>
      <w:lvlJc w:val="left"/>
      <w:pPr>
        <w:tabs>
          <w:tab w:val="num" w:pos="1083"/>
        </w:tabs>
        <w:ind w:left="1083" w:hanging="363"/>
      </w:pPr>
      <w:rPr>
        <w:rFonts w:ascii="Symbol" w:hAnsi="Symbol" w:hint="default"/>
        <w:sz w:val="14"/>
      </w:rPr>
    </w:lvl>
    <w:lvl w:ilvl="2">
      <w:start w:val="1"/>
      <w:numFmt w:val="bullet"/>
      <w:lvlText w:val=""/>
      <w:lvlJc w:val="left"/>
      <w:pPr>
        <w:tabs>
          <w:tab w:val="num" w:pos="1440"/>
        </w:tabs>
        <w:ind w:left="1440" w:hanging="357"/>
      </w:pPr>
      <w:rPr>
        <w:rFonts w:ascii="Symbol" w:hAnsi="Symbol" w:hint="default"/>
        <w:sz w:val="14"/>
      </w:rPr>
    </w:lvl>
    <w:lvl w:ilvl="3">
      <w:start w:val="1"/>
      <w:numFmt w:val="bullet"/>
      <w:lvlText w:val=""/>
      <w:lvlJc w:val="left"/>
      <w:pPr>
        <w:tabs>
          <w:tab w:val="num" w:pos="1803"/>
        </w:tabs>
        <w:ind w:left="1803" w:hanging="363"/>
      </w:pPr>
      <w:rPr>
        <w:rFonts w:ascii="Symbol" w:hAnsi="Symbol" w:hint="default"/>
        <w:sz w:val="14"/>
      </w:rPr>
    </w:lvl>
    <w:lvl w:ilvl="4">
      <w:start w:val="1"/>
      <w:numFmt w:val="bullet"/>
      <w:lvlText w:val=""/>
      <w:lvlJc w:val="left"/>
      <w:pPr>
        <w:tabs>
          <w:tab w:val="num" w:pos="2160"/>
        </w:tabs>
        <w:ind w:left="2160" w:hanging="357"/>
      </w:pPr>
      <w:rPr>
        <w:rFonts w:ascii="Symbol" w:hAnsi="Symbol" w:hint="default"/>
        <w:sz w:val="14"/>
      </w:rPr>
    </w:lvl>
    <w:lvl w:ilvl="5">
      <w:start w:val="1"/>
      <w:numFmt w:val="bullet"/>
      <w:lvlText w:val=""/>
      <w:lvlJc w:val="left"/>
      <w:pPr>
        <w:tabs>
          <w:tab w:val="num" w:pos="2523"/>
        </w:tabs>
        <w:ind w:left="2523" w:hanging="363"/>
      </w:pPr>
      <w:rPr>
        <w:rFonts w:ascii="Symbol" w:hAnsi="Symbol" w:hint="default"/>
        <w:sz w:val="14"/>
      </w:rPr>
    </w:lvl>
    <w:lvl w:ilvl="6">
      <w:start w:val="1"/>
      <w:numFmt w:val="bullet"/>
      <w:lvlText w:val=""/>
      <w:lvlJc w:val="left"/>
      <w:pPr>
        <w:tabs>
          <w:tab w:val="num" w:pos="2880"/>
        </w:tabs>
        <w:ind w:left="2880" w:hanging="357"/>
      </w:pPr>
      <w:rPr>
        <w:rFonts w:ascii="Symbol" w:hAnsi="Symbol" w:hint="default"/>
        <w:sz w:val="14"/>
      </w:rPr>
    </w:lvl>
    <w:lvl w:ilvl="7">
      <w:start w:val="1"/>
      <w:numFmt w:val="bullet"/>
      <w:lvlText w:val=""/>
      <w:lvlJc w:val="left"/>
      <w:pPr>
        <w:tabs>
          <w:tab w:val="num" w:pos="3243"/>
        </w:tabs>
        <w:ind w:left="3243" w:hanging="363"/>
      </w:pPr>
      <w:rPr>
        <w:rFonts w:ascii="Symbol" w:hAnsi="Symbol" w:hint="default"/>
        <w:sz w:val="14"/>
      </w:rPr>
    </w:lvl>
    <w:lvl w:ilvl="8">
      <w:start w:val="1"/>
      <w:numFmt w:val="bullet"/>
      <w:lvlText w:val=""/>
      <w:lvlJc w:val="left"/>
      <w:pPr>
        <w:tabs>
          <w:tab w:val="num" w:pos="3600"/>
        </w:tabs>
        <w:ind w:left="3600" w:hanging="357"/>
      </w:pPr>
      <w:rPr>
        <w:rFonts w:ascii="Symbol" w:hAnsi="Symbol" w:hint="default"/>
        <w:sz w:val="14"/>
      </w:rPr>
    </w:lvl>
  </w:abstractNum>
  <w:abstractNum w:abstractNumId="31">
    <w:nsid w:val="4B9606F2"/>
    <w:multiLevelType w:val="multilevel"/>
    <w:tmpl w:val="6BC4C4FC"/>
    <w:lvl w:ilvl="0">
      <w:start w:val="1"/>
      <w:numFmt w:val="decimal"/>
      <w:lvlRestart w:val="0"/>
      <w:pStyle w:val="ListNumberedSynospis"/>
      <w:lvlText w:val="%1."/>
      <w:lvlJc w:val="left"/>
      <w:pPr>
        <w:tabs>
          <w:tab w:val="num" w:pos="720"/>
        </w:tabs>
        <w:ind w:left="720" w:hanging="357"/>
      </w:pPr>
      <w:rPr>
        <w:rFonts w:ascii="Arial Narrow" w:hAnsi="Arial Narrow" w:cs="Times New Roman" w:hint="default"/>
        <w:sz w:val="20"/>
      </w:rPr>
    </w:lvl>
    <w:lvl w:ilvl="1">
      <w:start w:val="1"/>
      <w:numFmt w:val="decimal"/>
      <w:lvlText w:val="%2."/>
      <w:lvlJc w:val="left"/>
      <w:pPr>
        <w:tabs>
          <w:tab w:val="num" w:pos="1083"/>
        </w:tabs>
        <w:ind w:left="1083" w:hanging="363"/>
      </w:pPr>
      <w:rPr>
        <w:rFonts w:ascii="Arial Narrow" w:hAnsi="Arial Narrow" w:cs="Times New Roman" w:hint="default"/>
        <w:sz w:val="20"/>
      </w:rPr>
    </w:lvl>
    <w:lvl w:ilvl="2">
      <w:start w:val="1"/>
      <w:numFmt w:val="decimal"/>
      <w:lvlText w:val="%3."/>
      <w:lvlJc w:val="left"/>
      <w:pPr>
        <w:tabs>
          <w:tab w:val="num" w:pos="1440"/>
        </w:tabs>
        <w:ind w:left="1440" w:hanging="357"/>
      </w:pPr>
      <w:rPr>
        <w:rFonts w:ascii="Arial Narrow" w:hAnsi="Arial Narrow" w:cs="Times New Roman" w:hint="default"/>
        <w:sz w:val="20"/>
      </w:rPr>
    </w:lvl>
    <w:lvl w:ilvl="3">
      <w:start w:val="1"/>
      <w:numFmt w:val="decimal"/>
      <w:lvlText w:val="%4."/>
      <w:lvlJc w:val="left"/>
      <w:pPr>
        <w:tabs>
          <w:tab w:val="num" w:pos="1803"/>
        </w:tabs>
        <w:ind w:left="1803" w:hanging="363"/>
      </w:pPr>
      <w:rPr>
        <w:rFonts w:ascii="Arial Narrow" w:hAnsi="Arial Narrow" w:cs="Times New Roman" w:hint="default"/>
        <w:sz w:val="20"/>
      </w:rPr>
    </w:lvl>
    <w:lvl w:ilvl="4">
      <w:start w:val="1"/>
      <w:numFmt w:val="decimal"/>
      <w:lvlText w:val="%5."/>
      <w:lvlJc w:val="left"/>
      <w:pPr>
        <w:tabs>
          <w:tab w:val="num" w:pos="2160"/>
        </w:tabs>
        <w:ind w:left="2160" w:hanging="357"/>
      </w:pPr>
      <w:rPr>
        <w:rFonts w:ascii="Arial Narrow" w:hAnsi="Arial Narrow" w:cs="Times New Roman" w:hint="default"/>
        <w:sz w:val="20"/>
      </w:rPr>
    </w:lvl>
    <w:lvl w:ilvl="5">
      <w:start w:val="1"/>
      <w:numFmt w:val="decimal"/>
      <w:lvlText w:val="%6."/>
      <w:lvlJc w:val="left"/>
      <w:pPr>
        <w:tabs>
          <w:tab w:val="num" w:pos="2523"/>
        </w:tabs>
        <w:ind w:left="2523" w:hanging="363"/>
      </w:pPr>
      <w:rPr>
        <w:rFonts w:ascii="Arial Narrow" w:hAnsi="Arial Narrow" w:cs="Times New Roman" w:hint="default"/>
        <w:sz w:val="20"/>
      </w:rPr>
    </w:lvl>
    <w:lvl w:ilvl="6">
      <w:start w:val="1"/>
      <w:numFmt w:val="decimal"/>
      <w:lvlText w:val="%7."/>
      <w:lvlJc w:val="left"/>
      <w:pPr>
        <w:tabs>
          <w:tab w:val="num" w:pos="2880"/>
        </w:tabs>
        <w:ind w:left="2880" w:hanging="357"/>
      </w:pPr>
      <w:rPr>
        <w:rFonts w:ascii="Arial Narrow" w:hAnsi="Arial Narrow" w:cs="Times New Roman" w:hint="default"/>
        <w:sz w:val="20"/>
      </w:rPr>
    </w:lvl>
    <w:lvl w:ilvl="7">
      <w:start w:val="1"/>
      <w:numFmt w:val="decimal"/>
      <w:lvlText w:val="%8."/>
      <w:lvlJc w:val="left"/>
      <w:pPr>
        <w:tabs>
          <w:tab w:val="num" w:pos="3243"/>
        </w:tabs>
        <w:ind w:left="3243" w:hanging="363"/>
      </w:pPr>
      <w:rPr>
        <w:rFonts w:ascii="Arial Narrow" w:hAnsi="Arial Narrow" w:cs="Times New Roman" w:hint="default"/>
        <w:sz w:val="20"/>
      </w:rPr>
    </w:lvl>
    <w:lvl w:ilvl="8">
      <w:start w:val="1"/>
      <w:numFmt w:val="decimal"/>
      <w:lvlText w:val="%9."/>
      <w:lvlJc w:val="left"/>
      <w:pPr>
        <w:tabs>
          <w:tab w:val="num" w:pos="3600"/>
        </w:tabs>
        <w:ind w:left="3600" w:hanging="357"/>
      </w:pPr>
      <w:rPr>
        <w:rFonts w:ascii="Arial Narrow" w:hAnsi="Arial Narrow" w:cs="Times New Roman" w:hint="default"/>
        <w:sz w:val="20"/>
      </w:rPr>
    </w:lvl>
  </w:abstractNum>
  <w:abstractNum w:abstractNumId="32">
    <w:nsid w:val="4E2063AC"/>
    <w:multiLevelType w:val="multilevel"/>
    <w:tmpl w:val="B3C870B8"/>
    <w:name w:val="List_Bulleted_level_122"/>
    <w:lvl w:ilvl="0">
      <w:start w:val="1"/>
      <w:numFmt w:val="bullet"/>
      <w:lvlRestart w:val="0"/>
      <w:lvlText w:val=""/>
      <w:lvlJc w:val="left"/>
      <w:pPr>
        <w:tabs>
          <w:tab w:val="num" w:pos="720"/>
        </w:tabs>
        <w:ind w:left="720" w:hanging="357"/>
      </w:pPr>
      <w:rPr>
        <w:rFonts w:ascii="Symbol" w:hAnsi="Symbol" w:hint="default"/>
        <w:sz w:val="24"/>
      </w:rPr>
    </w:lvl>
    <w:lvl w:ilvl="1">
      <w:start w:val="1"/>
      <w:numFmt w:val="bullet"/>
      <w:lvlText w:val=""/>
      <w:lvlJc w:val="left"/>
      <w:pPr>
        <w:tabs>
          <w:tab w:val="num" w:pos="1083"/>
        </w:tabs>
        <w:ind w:left="1083" w:hanging="363"/>
      </w:pPr>
      <w:rPr>
        <w:rFonts w:ascii="Symbol" w:hAnsi="Symbol" w:hint="default"/>
      </w:rPr>
    </w:lvl>
    <w:lvl w:ilvl="2">
      <w:start w:val="1"/>
      <w:numFmt w:val="bullet"/>
      <w:lvlText w:val=""/>
      <w:lvlJc w:val="left"/>
      <w:pPr>
        <w:tabs>
          <w:tab w:val="num" w:pos="1440"/>
        </w:tabs>
        <w:ind w:left="1440" w:hanging="357"/>
      </w:pPr>
      <w:rPr>
        <w:rFonts w:ascii="Symbol" w:hAnsi="Symbol" w:hint="default"/>
      </w:rPr>
    </w:lvl>
    <w:lvl w:ilvl="3">
      <w:start w:val="1"/>
      <w:numFmt w:val="bullet"/>
      <w:lvlText w:val=""/>
      <w:lvlJc w:val="left"/>
      <w:pPr>
        <w:tabs>
          <w:tab w:val="num" w:pos="1803"/>
        </w:tabs>
        <w:ind w:left="1803" w:hanging="363"/>
      </w:pPr>
      <w:rPr>
        <w:rFonts w:ascii="Symbol" w:hAnsi="Symbol" w:hint="default"/>
      </w:rPr>
    </w:lvl>
    <w:lvl w:ilvl="4">
      <w:start w:val="1"/>
      <w:numFmt w:val="bullet"/>
      <w:lvlText w:val=""/>
      <w:lvlJc w:val="left"/>
      <w:pPr>
        <w:tabs>
          <w:tab w:val="num" w:pos="2160"/>
        </w:tabs>
        <w:ind w:left="2160" w:hanging="357"/>
      </w:pPr>
      <w:rPr>
        <w:rFonts w:ascii="Symbol" w:hAnsi="Symbol" w:hint="default"/>
      </w:rPr>
    </w:lvl>
    <w:lvl w:ilvl="5">
      <w:start w:val="1"/>
      <w:numFmt w:val="bullet"/>
      <w:lvlText w:val=""/>
      <w:lvlJc w:val="left"/>
      <w:pPr>
        <w:tabs>
          <w:tab w:val="num" w:pos="2523"/>
        </w:tabs>
        <w:ind w:left="2523" w:hanging="363"/>
      </w:pPr>
      <w:rPr>
        <w:rFonts w:ascii="Symbol" w:hAnsi="Symbol" w:hint="default"/>
      </w:rPr>
    </w:lvl>
    <w:lvl w:ilvl="6">
      <w:start w:val="1"/>
      <w:numFmt w:val="bullet"/>
      <w:lvlText w:val=""/>
      <w:lvlJc w:val="left"/>
      <w:pPr>
        <w:tabs>
          <w:tab w:val="num" w:pos="2880"/>
        </w:tabs>
        <w:ind w:left="2880" w:hanging="357"/>
      </w:pPr>
      <w:rPr>
        <w:rFonts w:ascii="Symbol" w:hAnsi="Symbol" w:hint="default"/>
      </w:rPr>
    </w:lvl>
    <w:lvl w:ilvl="7">
      <w:start w:val="1"/>
      <w:numFmt w:val="bullet"/>
      <w:lvlText w:val=""/>
      <w:lvlJc w:val="left"/>
      <w:pPr>
        <w:tabs>
          <w:tab w:val="num" w:pos="3243"/>
        </w:tabs>
        <w:ind w:left="3243" w:hanging="363"/>
      </w:pPr>
      <w:rPr>
        <w:rFonts w:ascii="Symbol" w:hAnsi="Symbol" w:hint="default"/>
      </w:rPr>
    </w:lvl>
    <w:lvl w:ilvl="8">
      <w:start w:val="1"/>
      <w:numFmt w:val="bullet"/>
      <w:lvlText w:val=""/>
      <w:lvlJc w:val="left"/>
      <w:pPr>
        <w:tabs>
          <w:tab w:val="num" w:pos="3600"/>
        </w:tabs>
        <w:ind w:left="3600" w:hanging="357"/>
      </w:pPr>
      <w:rPr>
        <w:rFonts w:ascii="Symbol" w:hAnsi="Symbol" w:hint="default"/>
      </w:rPr>
    </w:lvl>
  </w:abstractNum>
  <w:abstractNum w:abstractNumId="33">
    <w:nsid w:val="4F646C38"/>
    <w:multiLevelType w:val="singleLevel"/>
    <w:tmpl w:val="A4D88944"/>
    <w:name w:val="List_Table_Figure_Footnote3"/>
    <w:lvl w:ilvl="0">
      <w:start w:val="1"/>
      <w:numFmt w:val="lowerLetter"/>
      <w:lvlRestart w:val="0"/>
      <w:lvlText w:val="%1"/>
      <w:lvlJc w:val="left"/>
      <w:pPr>
        <w:tabs>
          <w:tab w:val="num" w:pos="244"/>
        </w:tabs>
        <w:ind w:left="244" w:hanging="244"/>
      </w:pPr>
      <w:rPr>
        <w:rFonts w:ascii="Arial Narrow" w:hAnsi="Arial Narrow"/>
        <w:b w:val="0"/>
        <w:i/>
        <w:caps w:val="0"/>
        <w:strike w:val="0"/>
        <w:dstrike w:val="0"/>
        <w:vanish w:val="0"/>
        <w:color w:val="000000"/>
        <w:sz w:val="18"/>
        <w:u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4">
    <w:nsid w:val="542B2FBF"/>
    <w:multiLevelType w:val="multilevel"/>
    <w:tmpl w:val="7D4E9C8C"/>
    <w:name w:val="List_Bulleted_level_22"/>
    <w:lvl w:ilvl="0">
      <w:start w:val="1"/>
      <w:numFmt w:val="decimal"/>
      <w:pStyle w:val="NumberList"/>
      <w:lvlText w:val="%1"/>
      <w:lvlJc w:val="left"/>
      <w:pPr>
        <w:tabs>
          <w:tab w:val="num" w:pos="360"/>
        </w:tabs>
        <w:ind w:left="357" w:hanging="357"/>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nsid w:val="572F63F3"/>
    <w:multiLevelType w:val="multilevel"/>
    <w:tmpl w:val="040C001D"/>
    <w:name w:val="LT_Number List Exclusion Synospis_100"/>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6">
    <w:nsid w:val="59526508"/>
    <w:multiLevelType w:val="multilevel"/>
    <w:tmpl w:val="84DA0F1A"/>
    <w:name w:val="LT_Number List Inclusion_100"/>
    <w:lvl w:ilvl="0">
      <w:start w:val="1"/>
      <w:numFmt w:val="decimalZero"/>
      <w:lvlRestart w:val="0"/>
      <w:lvlText w:val="I %1."/>
      <w:lvlJc w:val="left"/>
      <w:pPr>
        <w:tabs>
          <w:tab w:val="num" w:pos="691"/>
        </w:tabs>
        <w:ind w:left="691" w:hanging="691"/>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59BF500A"/>
    <w:multiLevelType w:val="multilevel"/>
    <w:tmpl w:val="A41A22E8"/>
    <w:lvl w:ilvl="0">
      <w:start w:val="1"/>
      <w:numFmt w:val="bullet"/>
      <w:lvlRestart w:val="0"/>
      <w:pStyle w:val="ListBulletLevel1"/>
      <w:lvlText w:val=""/>
      <w:lvlJc w:val="left"/>
      <w:pPr>
        <w:tabs>
          <w:tab w:val="num" w:pos="720"/>
        </w:tabs>
        <w:ind w:left="720" w:hanging="357"/>
      </w:pPr>
      <w:rPr>
        <w:rFonts w:ascii="Symbol" w:hAnsi="Symbol" w:hint="default"/>
        <w:sz w:val="20"/>
      </w:rPr>
    </w:lvl>
    <w:lvl w:ilvl="1">
      <w:start w:val="1"/>
      <w:numFmt w:val="bullet"/>
      <w:lvlText w:val=""/>
      <w:lvlJc w:val="left"/>
      <w:pPr>
        <w:tabs>
          <w:tab w:val="num" w:pos="1083"/>
        </w:tabs>
        <w:ind w:left="1083" w:hanging="363"/>
      </w:pPr>
      <w:rPr>
        <w:rFonts w:ascii="Symbol" w:hAnsi="Symbol" w:hint="default"/>
        <w:sz w:val="14"/>
      </w:rPr>
    </w:lvl>
    <w:lvl w:ilvl="2">
      <w:start w:val="1"/>
      <w:numFmt w:val="bullet"/>
      <w:lvlText w:val=""/>
      <w:lvlJc w:val="left"/>
      <w:pPr>
        <w:tabs>
          <w:tab w:val="num" w:pos="1440"/>
        </w:tabs>
        <w:ind w:left="1440" w:hanging="357"/>
      </w:pPr>
      <w:rPr>
        <w:rFonts w:ascii="Symbol" w:hAnsi="Symbol" w:hint="default"/>
        <w:sz w:val="14"/>
      </w:rPr>
    </w:lvl>
    <w:lvl w:ilvl="3">
      <w:start w:val="1"/>
      <w:numFmt w:val="bullet"/>
      <w:lvlText w:val=""/>
      <w:lvlJc w:val="left"/>
      <w:pPr>
        <w:tabs>
          <w:tab w:val="num" w:pos="1803"/>
        </w:tabs>
        <w:ind w:left="1803" w:hanging="363"/>
      </w:pPr>
      <w:rPr>
        <w:rFonts w:ascii="Symbol" w:hAnsi="Symbol" w:hint="default"/>
        <w:sz w:val="14"/>
      </w:rPr>
    </w:lvl>
    <w:lvl w:ilvl="4">
      <w:start w:val="1"/>
      <w:numFmt w:val="bullet"/>
      <w:lvlText w:val=""/>
      <w:lvlJc w:val="left"/>
      <w:pPr>
        <w:tabs>
          <w:tab w:val="num" w:pos="2160"/>
        </w:tabs>
        <w:ind w:left="2160" w:hanging="357"/>
      </w:pPr>
      <w:rPr>
        <w:rFonts w:ascii="Symbol" w:hAnsi="Symbol" w:hint="default"/>
        <w:sz w:val="14"/>
      </w:rPr>
    </w:lvl>
    <w:lvl w:ilvl="5">
      <w:start w:val="1"/>
      <w:numFmt w:val="bullet"/>
      <w:lvlText w:val=""/>
      <w:lvlJc w:val="left"/>
      <w:pPr>
        <w:tabs>
          <w:tab w:val="num" w:pos="2523"/>
        </w:tabs>
        <w:ind w:left="2523" w:hanging="363"/>
      </w:pPr>
      <w:rPr>
        <w:rFonts w:ascii="Symbol" w:hAnsi="Symbol" w:hint="default"/>
        <w:sz w:val="14"/>
      </w:rPr>
    </w:lvl>
    <w:lvl w:ilvl="6">
      <w:start w:val="1"/>
      <w:numFmt w:val="bullet"/>
      <w:lvlText w:val=""/>
      <w:lvlJc w:val="left"/>
      <w:pPr>
        <w:tabs>
          <w:tab w:val="num" w:pos="2880"/>
        </w:tabs>
        <w:ind w:left="2880" w:hanging="357"/>
      </w:pPr>
      <w:rPr>
        <w:rFonts w:ascii="Symbol" w:hAnsi="Symbol" w:hint="default"/>
        <w:sz w:val="14"/>
      </w:rPr>
    </w:lvl>
    <w:lvl w:ilvl="7">
      <w:start w:val="1"/>
      <w:numFmt w:val="bullet"/>
      <w:lvlText w:val=""/>
      <w:lvlJc w:val="left"/>
      <w:pPr>
        <w:tabs>
          <w:tab w:val="num" w:pos="3243"/>
        </w:tabs>
        <w:ind w:left="3243" w:hanging="363"/>
      </w:pPr>
      <w:rPr>
        <w:rFonts w:ascii="Symbol" w:hAnsi="Symbol" w:hint="default"/>
        <w:sz w:val="14"/>
      </w:rPr>
    </w:lvl>
    <w:lvl w:ilvl="8">
      <w:start w:val="1"/>
      <w:numFmt w:val="bullet"/>
      <w:lvlText w:val=""/>
      <w:lvlJc w:val="left"/>
      <w:pPr>
        <w:tabs>
          <w:tab w:val="num" w:pos="3600"/>
        </w:tabs>
        <w:ind w:left="3600" w:hanging="357"/>
      </w:pPr>
      <w:rPr>
        <w:rFonts w:ascii="Symbol" w:hAnsi="Symbol" w:hint="default"/>
        <w:sz w:val="14"/>
      </w:rPr>
    </w:lvl>
  </w:abstractNum>
  <w:abstractNum w:abstractNumId="38">
    <w:nsid w:val="5ACD446F"/>
    <w:multiLevelType w:val="hybridMultilevel"/>
    <w:tmpl w:val="57861262"/>
    <w:lvl w:ilvl="0">
      <w:start w:val="1"/>
      <w:numFmt w:val="bullet"/>
      <w:lvlText w:val="-"/>
      <w:lvlJc w:val="left"/>
      <w:pPr>
        <w:tabs>
          <w:tab w:val="num" w:pos="1440"/>
        </w:tabs>
        <w:ind w:left="1440" w:hanging="360"/>
      </w:pPr>
      <w:rPr>
        <w:rFonts w:ascii="Times New Roman" w:hAnsi="Times New Roman" w:cs="Times New Roman" w:hint="default"/>
      </w:rPr>
    </w:lvl>
    <w:lvl w:ilvl="1" w:tentative="1">
      <w:start w:val="1"/>
      <w:numFmt w:val="bullet"/>
      <w:lvlText w:val="o"/>
      <w:lvlJc w:val="left"/>
      <w:pPr>
        <w:tabs>
          <w:tab w:val="num" w:pos="2880"/>
        </w:tabs>
        <w:ind w:left="2880" w:hanging="360"/>
      </w:pPr>
      <w:rPr>
        <w:rFonts w:ascii="Courier New" w:hAnsi="Courier New" w:cs="Courier New" w:hint="default"/>
      </w:rPr>
    </w:lvl>
    <w:lvl w:ilvl="2" w:tentative="1">
      <w:start w:val="1"/>
      <w:numFmt w:val="bullet"/>
      <w:lvlText w:val=""/>
      <w:lvlJc w:val="left"/>
      <w:pPr>
        <w:tabs>
          <w:tab w:val="num" w:pos="3600"/>
        </w:tabs>
        <w:ind w:left="3600" w:hanging="360"/>
      </w:pPr>
      <w:rPr>
        <w:rFonts w:ascii="Wingdings" w:hAnsi="Wingdings" w:hint="default"/>
      </w:rPr>
    </w:lvl>
    <w:lvl w:ilvl="3" w:tentative="1">
      <w:start w:val="1"/>
      <w:numFmt w:val="bullet"/>
      <w:lvlText w:val=""/>
      <w:lvlJc w:val="left"/>
      <w:pPr>
        <w:tabs>
          <w:tab w:val="num" w:pos="4320"/>
        </w:tabs>
        <w:ind w:left="4320" w:hanging="360"/>
      </w:pPr>
      <w:rPr>
        <w:rFonts w:ascii="Symbol" w:hAnsi="Symbol" w:hint="default"/>
      </w:rPr>
    </w:lvl>
    <w:lvl w:ilvl="4" w:tentative="1">
      <w:start w:val="1"/>
      <w:numFmt w:val="bullet"/>
      <w:lvlText w:val="o"/>
      <w:lvlJc w:val="left"/>
      <w:pPr>
        <w:tabs>
          <w:tab w:val="num" w:pos="5040"/>
        </w:tabs>
        <w:ind w:left="5040" w:hanging="360"/>
      </w:pPr>
      <w:rPr>
        <w:rFonts w:ascii="Courier New" w:hAnsi="Courier New" w:cs="Courier New" w:hint="default"/>
      </w:rPr>
    </w:lvl>
    <w:lvl w:ilvl="5" w:tentative="1">
      <w:start w:val="1"/>
      <w:numFmt w:val="bullet"/>
      <w:lvlText w:val=""/>
      <w:lvlJc w:val="left"/>
      <w:pPr>
        <w:tabs>
          <w:tab w:val="num" w:pos="5760"/>
        </w:tabs>
        <w:ind w:left="5760" w:hanging="360"/>
      </w:pPr>
      <w:rPr>
        <w:rFonts w:ascii="Wingdings" w:hAnsi="Wingdings" w:hint="default"/>
      </w:rPr>
    </w:lvl>
    <w:lvl w:ilvl="6" w:tentative="1">
      <w:start w:val="1"/>
      <w:numFmt w:val="bullet"/>
      <w:lvlText w:val=""/>
      <w:lvlJc w:val="left"/>
      <w:pPr>
        <w:tabs>
          <w:tab w:val="num" w:pos="6480"/>
        </w:tabs>
        <w:ind w:left="6480" w:hanging="360"/>
      </w:pPr>
      <w:rPr>
        <w:rFonts w:ascii="Symbol" w:hAnsi="Symbol" w:hint="default"/>
      </w:rPr>
    </w:lvl>
    <w:lvl w:ilvl="7" w:tentative="1">
      <w:start w:val="1"/>
      <w:numFmt w:val="bullet"/>
      <w:lvlText w:val="o"/>
      <w:lvlJc w:val="left"/>
      <w:pPr>
        <w:tabs>
          <w:tab w:val="num" w:pos="7200"/>
        </w:tabs>
        <w:ind w:left="7200" w:hanging="360"/>
      </w:pPr>
      <w:rPr>
        <w:rFonts w:ascii="Courier New" w:hAnsi="Courier New" w:cs="Courier New" w:hint="default"/>
      </w:rPr>
    </w:lvl>
    <w:lvl w:ilvl="8" w:tentative="1">
      <w:start w:val="1"/>
      <w:numFmt w:val="bullet"/>
      <w:lvlText w:val=""/>
      <w:lvlJc w:val="left"/>
      <w:pPr>
        <w:tabs>
          <w:tab w:val="num" w:pos="7920"/>
        </w:tabs>
        <w:ind w:left="7920" w:hanging="360"/>
      </w:pPr>
      <w:rPr>
        <w:rFonts w:ascii="Wingdings" w:hAnsi="Wingdings" w:hint="default"/>
      </w:rPr>
    </w:lvl>
  </w:abstractNum>
  <w:abstractNum w:abstractNumId="39">
    <w:nsid w:val="665B03D0"/>
    <w:multiLevelType w:val="multilevel"/>
    <w:tmpl w:val="0068F094"/>
    <w:lvl w:ilvl="0">
      <w:start w:val="1"/>
      <w:numFmt w:val="bullet"/>
      <w:lvlRestart w:val="0"/>
      <w:lvlText w:val="-"/>
      <w:lvlJc w:val="left"/>
      <w:pPr>
        <w:tabs>
          <w:tab w:val="num" w:pos="1083"/>
        </w:tabs>
        <w:ind w:left="1083" w:hanging="363"/>
      </w:pPr>
      <w:rPr>
        <w:rFonts w:ascii="Times New Roman" w:hAnsi="Times New Roman" w:cs="Times New Roman" w:hint="default"/>
        <w:u w:val="none"/>
      </w:rPr>
    </w:lvl>
    <w:lvl w:ilvl="1">
      <w:start w:val="1"/>
      <w:numFmt w:val="bullet"/>
      <w:lvlText w:val="-"/>
      <w:lvlJc w:val="left"/>
      <w:pPr>
        <w:tabs>
          <w:tab w:val="num" w:pos="1440"/>
        </w:tabs>
        <w:ind w:left="1440" w:hanging="357"/>
      </w:pPr>
      <w:rPr>
        <w:rFonts w:ascii="Times New Roman" w:hAnsi="Times New Roman" w:cs="Times New Roman" w:hint="default"/>
        <w:u w:val="none"/>
      </w:rPr>
    </w:lvl>
    <w:lvl w:ilvl="2">
      <w:start w:val="1"/>
      <w:numFmt w:val="bullet"/>
      <w:lvlText w:val="-"/>
      <w:lvlJc w:val="left"/>
      <w:pPr>
        <w:tabs>
          <w:tab w:val="num" w:pos="1803"/>
        </w:tabs>
        <w:ind w:left="1803" w:hanging="363"/>
      </w:pPr>
      <w:rPr>
        <w:rFonts w:ascii="Times New Roman" w:hAnsi="Times New Roman" w:cs="Times New Roman" w:hint="default"/>
        <w:u w:val="none"/>
      </w:rPr>
    </w:lvl>
    <w:lvl w:ilvl="3">
      <w:start w:val="1"/>
      <w:numFmt w:val="bullet"/>
      <w:lvlText w:val="-"/>
      <w:lvlJc w:val="left"/>
      <w:pPr>
        <w:tabs>
          <w:tab w:val="num" w:pos="2160"/>
        </w:tabs>
        <w:ind w:left="2160" w:hanging="357"/>
      </w:pPr>
      <w:rPr>
        <w:rFonts w:ascii="Times New Roman" w:hAnsi="Times New Roman" w:cs="Times New Roman" w:hint="default"/>
        <w:u w:val="none"/>
      </w:rPr>
    </w:lvl>
    <w:lvl w:ilvl="4">
      <w:start w:val="1"/>
      <w:numFmt w:val="bullet"/>
      <w:lvlText w:val="-"/>
      <w:lvlJc w:val="left"/>
      <w:pPr>
        <w:tabs>
          <w:tab w:val="num" w:pos="2523"/>
        </w:tabs>
        <w:ind w:left="2523" w:hanging="363"/>
      </w:pPr>
      <w:rPr>
        <w:rFonts w:ascii="Times New Roman" w:hAnsi="Times New Roman" w:cs="Times New Roman" w:hint="default"/>
        <w:u w:val="none"/>
      </w:rPr>
    </w:lvl>
    <w:lvl w:ilvl="5">
      <w:start w:val="1"/>
      <w:numFmt w:val="bullet"/>
      <w:lvlText w:val="-"/>
      <w:lvlJc w:val="left"/>
      <w:pPr>
        <w:tabs>
          <w:tab w:val="num" w:pos="2880"/>
        </w:tabs>
        <w:ind w:left="2880" w:hanging="357"/>
      </w:pPr>
      <w:rPr>
        <w:rFonts w:ascii="Times New Roman" w:hAnsi="Times New Roman" w:cs="Times New Roman" w:hint="default"/>
        <w:u w:val="none"/>
      </w:rPr>
    </w:lvl>
    <w:lvl w:ilvl="6">
      <w:start w:val="1"/>
      <w:numFmt w:val="bullet"/>
      <w:lvlText w:val="-"/>
      <w:lvlJc w:val="left"/>
      <w:pPr>
        <w:tabs>
          <w:tab w:val="num" w:pos="3243"/>
        </w:tabs>
        <w:ind w:left="3243" w:hanging="363"/>
      </w:pPr>
      <w:rPr>
        <w:rFonts w:ascii="Times New Roman" w:hAnsi="Times New Roman" w:cs="Times New Roman" w:hint="default"/>
        <w:u w:val="none"/>
      </w:rPr>
    </w:lvl>
    <w:lvl w:ilvl="7">
      <w:start w:val="1"/>
      <w:numFmt w:val="bullet"/>
      <w:lvlText w:val="-"/>
      <w:lvlJc w:val="left"/>
      <w:pPr>
        <w:tabs>
          <w:tab w:val="num" w:pos="3600"/>
        </w:tabs>
        <w:ind w:left="3600" w:hanging="357"/>
      </w:pPr>
      <w:rPr>
        <w:rFonts w:ascii="Times New Roman" w:hAnsi="Times New Roman" w:cs="Times New Roman" w:hint="default"/>
        <w:u w:val="none"/>
      </w:rPr>
    </w:lvl>
    <w:lvl w:ilvl="8">
      <w:start w:val="1"/>
      <w:numFmt w:val="bullet"/>
      <w:lvlText w:val="-"/>
      <w:lvlJc w:val="left"/>
      <w:pPr>
        <w:tabs>
          <w:tab w:val="num" w:pos="3957"/>
        </w:tabs>
        <w:ind w:left="3957" w:hanging="357"/>
      </w:pPr>
      <w:rPr>
        <w:rFonts w:ascii="Times New Roman" w:hAnsi="Times New Roman" w:cs="Times New Roman" w:hint="default"/>
        <w:u w:val="none"/>
      </w:rPr>
    </w:lvl>
  </w:abstractNum>
  <w:abstractNum w:abstractNumId="40">
    <w:nsid w:val="67DE0260"/>
    <w:multiLevelType w:val="multilevel"/>
    <w:tmpl w:val="7ECE2A2E"/>
    <w:lvl w:ilvl="0">
      <w:start w:val="1"/>
      <w:numFmt w:val="bullet"/>
      <w:lvlRestart w:val="0"/>
      <w:pStyle w:val="ListBulletLevel2"/>
      <w:lvlText w:val="-"/>
      <w:lvlJc w:val="left"/>
      <w:pPr>
        <w:tabs>
          <w:tab w:val="num" w:pos="1083"/>
        </w:tabs>
        <w:ind w:left="1083" w:hanging="363"/>
      </w:pPr>
      <w:rPr>
        <w:rFonts w:ascii="Times New Roman" w:hAnsi="Times New Roman" w:cs="Times New Roman" w:hint="default"/>
      </w:rPr>
    </w:lvl>
    <w:lvl w:ilvl="1">
      <w:start w:val="1"/>
      <w:numFmt w:val="bullet"/>
      <w:lvlText w:val="-"/>
      <w:lvlJc w:val="left"/>
      <w:pPr>
        <w:tabs>
          <w:tab w:val="num" w:pos="1440"/>
        </w:tabs>
        <w:ind w:left="1440" w:hanging="357"/>
      </w:pPr>
      <w:rPr>
        <w:rFonts w:ascii="Times New Roman" w:hAnsi="Times New Roman" w:cs="Times New Roman" w:hint="default"/>
      </w:rPr>
    </w:lvl>
    <w:lvl w:ilvl="2">
      <w:start w:val="1"/>
      <w:numFmt w:val="bullet"/>
      <w:lvlText w:val="-"/>
      <w:lvlJc w:val="left"/>
      <w:pPr>
        <w:tabs>
          <w:tab w:val="num" w:pos="1803"/>
        </w:tabs>
        <w:ind w:left="1803" w:hanging="363"/>
      </w:pPr>
      <w:rPr>
        <w:rFonts w:ascii="Times New Roman" w:hAnsi="Times New Roman" w:cs="Times New Roman" w:hint="default"/>
      </w:rPr>
    </w:lvl>
    <w:lvl w:ilvl="3">
      <w:start w:val="1"/>
      <w:numFmt w:val="bullet"/>
      <w:lvlText w:val="-"/>
      <w:lvlJc w:val="left"/>
      <w:pPr>
        <w:tabs>
          <w:tab w:val="num" w:pos="2160"/>
        </w:tabs>
        <w:ind w:left="2160" w:hanging="357"/>
      </w:pPr>
      <w:rPr>
        <w:rFonts w:ascii="Times New Roman" w:hAnsi="Times New Roman" w:cs="Times New Roman" w:hint="default"/>
      </w:rPr>
    </w:lvl>
    <w:lvl w:ilvl="4">
      <w:start w:val="1"/>
      <w:numFmt w:val="bullet"/>
      <w:lvlText w:val="-"/>
      <w:lvlJc w:val="left"/>
      <w:pPr>
        <w:tabs>
          <w:tab w:val="num" w:pos="2523"/>
        </w:tabs>
        <w:ind w:left="2523" w:hanging="363"/>
      </w:pPr>
      <w:rPr>
        <w:rFonts w:ascii="Times New Roman" w:hAnsi="Times New Roman" w:cs="Times New Roman" w:hint="default"/>
      </w:rPr>
    </w:lvl>
    <w:lvl w:ilvl="5">
      <w:start w:val="1"/>
      <w:numFmt w:val="bullet"/>
      <w:lvlText w:val="-"/>
      <w:lvlJc w:val="left"/>
      <w:pPr>
        <w:tabs>
          <w:tab w:val="num" w:pos="2880"/>
        </w:tabs>
        <w:ind w:left="2880" w:hanging="357"/>
      </w:pPr>
      <w:rPr>
        <w:rFonts w:ascii="Times New Roman" w:hAnsi="Times New Roman" w:cs="Times New Roman" w:hint="default"/>
      </w:rPr>
    </w:lvl>
    <w:lvl w:ilvl="6">
      <w:start w:val="1"/>
      <w:numFmt w:val="bullet"/>
      <w:lvlText w:val="-"/>
      <w:lvlJc w:val="left"/>
      <w:pPr>
        <w:tabs>
          <w:tab w:val="num" w:pos="3243"/>
        </w:tabs>
        <w:ind w:left="3243" w:hanging="363"/>
      </w:pPr>
      <w:rPr>
        <w:rFonts w:ascii="Times New Roman" w:hAnsi="Times New Roman" w:cs="Times New Roman" w:hint="default"/>
      </w:rPr>
    </w:lvl>
    <w:lvl w:ilvl="7">
      <w:start w:val="1"/>
      <w:numFmt w:val="bullet"/>
      <w:lvlText w:val="-"/>
      <w:lvlJc w:val="left"/>
      <w:pPr>
        <w:tabs>
          <w:tab w:val="num" w:pos="3600"/>
        </w:tabs>
        <w:ind w:left="3600" w:hanging="357"/>
      </w:pPr>
      <w:rPr>
        <w:rFonts w:ascii="Times New Roman" w:hAnsi="Times New Roman" w:cs="Times New Roman" w:hint="default"/>
      </w:rPr>
    </w:lvl>
    <w:lvl w:ilvl="8">
      <w:start w:val="1"/>
      <w:numFmt w:val="bullet"/>
      <w:lvlText w:val="-"/>
      <w:lvlJc w:val="left"/>
      <w:pPr>
        <w:tabs>
          <w:tab w:val="num" w:pos="3957"/>
        </w:tabs>
        <w:ind w:left="3957" w:hanging="357"/>
      </w:pPr>
      <w:rPr>
        <w:rFonts w:ascii="Times New Roman" w:hAnsi="Times New Roman" w:cs="Times New Roman" w:hint="default"/>
      </w:rPr>
    </w:lvl>
  </w:abstractNum>
  <w:abstractNum w:abstractNumId="41">
    <w:nsid w:val="681C5562"/>
    <w:multiLevelType w:val="hybridMultilevel"/>
    <w:tmpl w:val="A0987C86"/>
    <w:lvl w:ilvl="0" w:tplc="4CCE0FF6">
      <w:start w:val="1"/>
      <w:numFmt w:val="bullet"/>
      <w:pStyle w:val="ListBullet"/>
      <w:lvlText w:val=""/>
      <w:lvlJc w:val="left"/>
      <w:pPr>
        <w:tabs>
          <w:tab w:val="num" w:pos="3"/>
        </w:tabs>
        <w:ind w:left="3" w:firstLine="3"/>
      </w:pPr>
      <w:rPr>
        <w:rFonts w:ascii="Symbol" w:hAnsi="Symbol"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nsid w:val="6F667922"/>
    <w:multiLevelType w:val="multilevel"/>
    <w:tmpl w:val="04E66D7E"/>
    <w:name w:val="List_Bulleted_level_2"/>
    <w:lvl w:ilvl="0">
      <w:start w:val="1"/>
      <w:numFmt w:val="bullet"/>
      <w:lvlRestart w:val="0"/>
      <w:lvlText w:val=""/>
      <w:lvlJc w:val="left"/>
      <w:pPr>
        <w:tabs>
          <w:tab w:val="num" w:pos="720"/>
        </w:tabs>
        <w:ind w:left="720" w:hanging="357"/>
      </w:pPr>
      <w:rPr>
        <w:rFonts w:ascii="Symbol" w:hAnsi="Symbol" w:hint="default"/>
        <w:color w:val="auto"/>
        <w:sz w:val="24"/>
      </w:rPr>
    </w:lvl>
    <w:lvl w:ilvl="1">
      <w:start w:val="1"/>
      <w:numFmt w:val="bullet"/>
      <w:lvlText w:val=""/>
      <w:lvlJc w:val="left"/>
      <w:pPr>
        <w:tabs>
          <w:tab w:val="num" w:pos="1083"/>
        </w:tabs>
        <w:ind w:left="1083" w:hanging="363"/>
      </w:pPr>
      <w:rPr>
        <w:rFonts w:ascii="Symbol" w:hAnsi="Symbol" w:hint="default"/>
      </w:rPr>
    </w:lvl>
    <w:lvl w:ilvl="2">
      <w:start w:val="1"/>
      <w:numFmt w:val="bullet"/>
      <w:lvlText w:val=""/>
      <w:lvlJc w:val="left"/>
      <w:pPr>
        <w:tabs>
          <w:tab w:val="num" w:pos="1440"/>
        </w:tabs>
        <w:ind w:left="1440" w:hanging="357"/>
      </w:pPr>
      <w:rPr>
        <w:rFonts w:ascii="Symbol" w:hAnsi="Symbol" w:hint="default"/>
      </w:rPr>
    </w:lvl>
    <w:lvl w:ilvl="3">
      <w:start w:val="1"/>
      <w:numFmt w:val="bullet"/>
      <w:lvlText w:val=""/>
      <w:lvlJc w:val="left"/>
      <w:pPr>
        <w:tabs>
          <w:tab w:val="num" w:pos="1803"/>
        </w:tabs>
        <w:ind w:left="1803" w:hanging="363"/>
      </w:pPr>
      <w:rPr>
        <w:rFonts w:ascii="Symbol" w:hAnsi="Symbol" w:hint="default"/>
      </w:rPr>
    </w:lvl>
    <w:lvl w:ilvl="4">
      <w:start w:val="1"/>
      <w:numFmt w:val="bullet"/>
      <w:lvlText w:val=""/>
      <w:lvlJc w:val="left"/>
      <w:pPr>
        <w:tabs>
          <w:tab w:val="num" w:pos="2160"/>
        </w:tabs>
        <w:ind w:left="2160" w:hanging="357"/>
      </w:pPr>
      <w:rPr>
        <w:rFonts w:ascii="Symbol" w:hAnsi="Symbol" w:hint="default"/>
      </w:rPr>
    </w:lvl>
    <w:lvl w:ilvl="5">
      <w:start w:val="1"/>
      <w:numFmt w:val="bullet"/>
      <w:lvlText w:val=""/>
      <w:lvlJc w:val="left"/>
      <w:pPr>
        <w:tabs>
          <w:tab w:val="num" w:pos="2523"/>
        </w:tabs>
        <w:ind w:left="2523" w:hanging="363"/>
      </w:pPr>
      <w:rPr>
        <w:rFonts w:ascii="Symbol" w:hAnsi="Symbol" w:hint="default"/>
      </w:rPr>
    </w:lvl>
    <w:lvl w:ilvl="6">
      <w:start w:val="1"/>
      <w:numFmt w:val="bullet"/>
      <w:lvlText w:val=""/>
      <w:lvlJc w:val="left"/>
      <w:pPr>
        <w:tabs>
          <w:tab w:val="num" w:pos="2880"/>
        </w:tabs>
        <w:ind w:left="2880" w:hanging="357"/>
      </w:pPr>
      <w:rPr>
        <w:rFonts w:ascii="Symbol" w:hAnsi="Symbol" w:hint="default"/>
      </w:rPr>
    </w:lvl>
    <w:lvl w:ilvl="7">
      <w:start w:val="1"/>
      <w:numFmt w:val="bullet"/>
      <w:lvlText w:val=""/>
      <w:lvlJc w:val="left"/>
      <w:pPr>
        <w:tabs>
          <w:tab w:val="num" w:pos="3243"/>
        </w:tabs>
        <w:ind w:left="3243" w:hanging="363"/>
      </w:pPr>
      <w:rPr>
        <w:rFonts w:ascii="Symbol" w:hAnsi="Symbol" w:hint="default"/>
      </w:rPr>
    </w:lvl>
    <w:lvl w:ilvl="8">
      <w:start w:val="1"/>
      <w:numFmt w:val="bullet"/>
      <w:lvlText w:val=""/>
      <w:lvlJc w:val="left"/>
      <w:pPr>
        <w:tabs>
          <w:tab w:val="num" w:pos="3600"/>
        </w:tabs>
        <w:ind w:left="3600" w:hanging="357"/>
      </w:pPr>
      <w:rPr>
        <w:rFonts w:ascii="Symbol" w:hAnsi="Symbol" w:hint="default"/>
      </w:rPr>
    </w:lvl>
  </w:abstractNum>
  <w:abstractNum w:abstractNumId="43">
    <w:nsid w:val="71CE414F"/>
    <w:multiLevelType w:val="hybridMultilevel"/>
    <w:tmpl w:val="99F61858"/>
    <w:lvl w:ilvl="0" w:tplc="A14A136A">
      <w:start w:val="1"/>
      <w:numFmt w:val="bullet"/>
      <w:pStyle w:val="TblTextbulletedlis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44">
    <w:nsid w:val="773323B0"/>
    <w:multiLevelType w:val="hybridMultilevel"/>
    <w:tmpl w:val="B23E9260"/>
    <w:name w:val="List_Bulleted_level_12"/>
    <w:lvl w:ilvl="0">
      <w:start w:val="1"/>
      <w:numFmt w:val="bullet"/>
      <w:lvlText w:val=""/>
      <w:lvlJc w:val="left"/>
      <w:pPr>
        <w:tabs>
          <w:tab w:val="num" w:pos="720"/>
        </w:tabs>
        <w:ind w:left="720" w:hanging="300"/>
      </w:pPr>
      <w:rPr>
        <w:rFonts w:ascii="Symbol" w:hAnsi="Symbol" w:hint="default"/>
      </w:rPr>
    </w:lvl>
    <w:lvl w:ilvl="1" w:tentative="1">
      <w:start w:val="1"/>
      <w:numFmt w:val="bullet"/>
      <w:lvlText w:val="o"/>
      <w:lvlJc w:val="left"/>
      <w:pPr>
        <w:tabs>
          <w:tab w:val="num" w:pos="1440"/>
        </w:tabs>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cs="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cs="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45">
    <w:nsid w:val="7B320FED"/>
    <w:multiLevelType w:val="multilevel"/>
    <w:tmpl w:val="6D804D14"/>
    <w:lvl w:ilvl="0">
      <w:start w:val="1"/>
      <w:numFmt w:val="bullet"/>
      <w:lvlRestart w:val="0"/>
      <w:pStyle w:val="ListBulletLevel2Synospis"/>
      <w:lvlText w:val="-"/>
      <w:lvlJc w:val="left"/>
      <w:pPr>
        <w:tabs>
          <w:tab w:val="num" w:pos="1083"/>
        </w:tabs>
        <w:ind w:left="1083" w:hanging="363"/>
      </w:pPr>
      <w:rPr>
        <w:rFonts w:ascii="Times New Roman" w:hAnsi="Times New Roman" w:cs="Times New Roman" w:hint="default"/>
        <w:sz w:val="20"/>
      </w:rPr>
    </w:lvl>
    <w:lvl w:ilvl="1">
      <w:start w:val="1"/>
      <w:numFmt w:val="bullet"/>
      <w:lvlText w:val="-"/>
      <w:lvlJc w:val="left"/>
      <w:pPr>
        <w:tabs>
          <w:tab w:val="num" w:pos="1440"/>
        </w:tabs>
        <w:ind w:left="1440" w:hanging="357"/>
      </w:pPr>
      <w:rPr>
        <w:rFonts w:ascii="Times New Roman" w:hAnsi="Times New Roman" w:cs="Times New Roman" w:hint="default"/>
        <w:sz w:val="14"/>
      </w:rPr>
    </w:lvl>
    <w:lvl w:ilvl="2">
      <w:start w:val="1"/>
      <w:numFmt w:val="bullet"/>
      <w:lvlText w:val="-"/>
      <w:lvlJc w:val="left"/>
      <w:pPr>
        <w:tabs>
          <w:tab w:val="num" w:pos="1803"/>
        </w:tabs>
        <w:ind w:left="1803" w:hanging="363"/>
      </w:pPr>
      <w:rPr>
        <w:rFonts w:ascii="Times New Roman" w:hAnsi="Times New Roman" w:cs="Times New Roman" w:hint="default"/>
        <w:sz w:val="14"/>
      </w:rPr>
    </w:lvl>
    <w:lvl w:ilvl="3">
      <w:start w:val="1"/>
      <w:numFmt w:val="bullet"/>
      <w:lvlText w:val="-"/>
      <w:lvlJc w:val="left"/>
      <w:pPr>
        <w:tabs>
          <w:tab w:val="num" w:pos="2160"/>
        </w:tabs>
        <w:ind w:left="2160" w:hanging="357"/>
      </w:pPr>
      <w:rPr>
        <w:rFonts w:ascii="Times New Roman" w:hAnsi="Times New Roman" w:cs="Times New Roman" w:hint="default"/>
        <w:sz w:val="14"/>
      </w:rPr>
    </w:lvl>
    <w:lvl w:ilvl="4">
      <w:start w:val="1"/>
      <w:numFmt w:val="bullet"/>
      <w:lvlText w:val="-"/>
      <w:lvlJc w:val="left"/>
      <w:pPr>
        <w:tabs>
          <w:tab w:val="num" w:pos="2523"/>
        </w:tabs>
        <w:ind w:left="2523" w:hanging="363"/>
      </w:pPr>
      <w:rPr>
        <w:rFonts w:ascii="Times New Roman" w:hAnsi="Times New Roman" w:cs="Times New Roman" w:hint="default"/>
        <w:sz w:val="14"/>
      </w:rPr>
    </w:lvl>
    <w:lvl w:ilvl="5">
      <w:start w:val="1"/>
      <w:numFmt w:val="bullet"/>
      <w:lvlText w:val="-"/>
      <w:lvlJc w:val="left"/>
      <w:pPr>
        <w:tabs>
          <w:tab w:val="num" w:pos="2880"/>
        </w:tabs>
        <w:ind w:left="2880" w:hanging="357"/>
      </w:pPr>
      <w:rPr>
        <w:rFonts w:ascii="Times New Roman" w:hAnsi="Times New Roman" w:cs="Times New Roman" w:hint="default"/>
        <w:sz w:val="14"/>
      </w:rPr>
    </w:lvl>
    <w:lvl w:ilvl="6">
      <w:start w:val="1"/>
      <w:numFmt w:val="bullet"/>
      <w:lvlText w:val="-"/>
      <w:lvlJc w:val="left"/>
      <w:pPr>
        <w:tabs>
          <w:tab w:val="num" w:pos="3243"/>
        </w:tabs>
        <w:ind w:left="3243" w:hanging="363"/>
      </w:pPr>
      <w:rPr>
        <w:rFonts w:ascii="Times New Roman" w:hAnsi="Times New Roman" w:cs="Times New Roman" w:hint="default"/>
        <w:sz w:val="14"/>
      </w:rPr>
    </w:lvl>
    <w:lvl w:ilvl="7">
      <w:start w:val="1"/>
      <w:numFmt w:val="bullet"/>
      <w:lvlText w:val="-"/>
      <w:lvlJc w:val="left"/>
      <w:pPr>
        <w:tabs>
          <w:tab w:val="num" w:pos="3600"/>
        </w:tabs>
        <w:ind w:left="3600" w:hanging="357"/>
      </w:pPr>
      <w:rPr>
        <w:rFonts w:ascii="Times New Roman" w:hAnsi="Times New Roman" w:cs="Times New Roman" w:hint="default"/>
        <w:sz w:val="14"/>
      </w:rPr>
    </w:lvl>
    <w:lvl w:ilvl="8">
      <w:start w:val="1"/>
      <w:numFmt w:val="bullet"/>
      <w:lvlText w:val="-"/>
      <w:lvlJc w:val="left"/>
      <w:pPr>
        <w:tabs>
          <w:tab w:val="num" w:pos="3957"/>
        </w:tabs>
        <w:ind w:left="3957" w:hanging="357"/>
      </w:pPr>
      <w:rPr>
        <w:rFonts w:ascii="Times New Roman" w:hAnsi="Times New Roman" w:cs="Times New Roman" w:hint="default"/>
        <w:sz w:val="14"/>
      </w:rPr>
    </w:lvl>
  </w:abstractNum>
  <w:num w:numId="1">
    <w:abstractNumId w:val="34"/>
  </w:num>
  <w:num w:numId="2">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8"/>
  </w:num>
  <w:num w:numId="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11"/>
  </w:num>
  <w:num w:numId="9">
    <w:abstractNumId w:val="20"/>
  </w:num>
  <w:num w:numId="10">
    <w:abstractNumId w:val="24"/>
  </w:num>
  <w:num w:numId="11">
    <w:abstractNumId w:val="2"/>
  </w:num>
  <w:num w:numId="12">
    <w:abstractNumId w:val="41"/>
  </w:num>
  <w:num w:numId="13">
    <w:abstractNumId w:val="37"/>
  </w:num>
  <w:num w:numId="14">
    <w:abstractNumId w:val="30"/>
  </w:num>
  <w:num w:numId="15">
    <w:abstractNumId w:val="40"/>
  </w:num>
  <w:num w:numId="16">
    <w:abstractNumId w:val="45"/>
  </w:num>
  <w:num w:numId="17">
    <w:abstractNumId w:val="31"/>
  </w:num>
  <w:num w:numId="18">
    <w:abstractNumId w:val="4"/>
  </w:num>
  <w:num w:numId="19">
    <w:abstractNumId w:val="19"/>
  </w:num>
  <w:num w:numId="20">
    <w:abstractNumId w:val="5"/>
  </w:num>
  <w:num w:numId="21">
    <w:abstractNumId w:val="8"/>
  </w:num>
  <w:num w:numId="22">
    <w:abstractNumId w:val="29"/>
  </w:num>
  <w:num w:numId="2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
  </w:num>
  <w:num w:numId="5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0"/>
  </w:num>
  <w:num w:numId="17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5">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9">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1">
    <w:abstractNumId w:val="43"/>
  </w:num>
  <w:num w:numId="182">
    <w:abstractNumId w:val="6"/>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activeWritingStyle w:appName="MSWord" w:lang="en-US" w:vendorID="64" w:dllVersion="131077" w:nlCheck="1" w:checkStyle="1"/>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hdrShapeDefaults>
    <o:shapedefaults v:ext="edit" spidmax="2059" fill="f" fillcolor="white" stroke="f">
      <v:fill color="white" on="f"/>
      <v:stroke on="f"/>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REFBIB0001" w:val="1"/>
    <w:docVar w:name="BREFBIB0002" w:val="1"/>
    <w:docVar w:name="BREFBIB0003" w:val="1"/>
    <w:docVar w:name="BREFBIB0004" w:val="1"/>
    <w:docVar w:name="BREFBIB0005" w:val="1"/>
    <w:docVar w:name="BREFBIB0006" w:val="1"/>
    <w:docVar w:name="BREFBIB0007" w:val="1"/>
    <w:docVar w:name="BREFBIB0008" w:val="1"/>
    <w:docVar w:name="BREFBIB0009" w:val="1"/>
    <w:docVar w:name="BREFBIB0010" w:val="1"/>
    <w:docVar w:name="BREFBIB0011" w:val="1"/>
    <w:docVar w:name="BREFBIB0012" w:val="1"/>
    <w:docVar w:name="BREFBIB0013" w:val="1"/>
    <w:docVar w:name="BREFBIB0014" w:val="1"/>
    <w:docVar w:name="BREFBIB0015" w:val="1"/>
    <w:docVar w:name="BREFBIB0016" w:val="1"/>
    <w:docVar w:name="BREFBIB0017" w:val="1"/>
    <w:docVar w:name="BREFBIB0018" w:val="1"/>
    <w:docVar w:name="BREFBIB0019" w:val="1"/>
    <w:docVar w:name="BREFBIB0020" w:val="1"/>
    <w:docVar w:name="BREFBIB0021" w:val="1"/>
    <w:docVar w:name="BREFBIB0022" w:val="1"/>
    <w:docVar w:name="BREFBIB0023" w:val="1"/>
    <w:docVar w:name="BREFBIB0024" w:val="1"/>
    <w:docVar w:name="BREFBIB0025" w:val="1"/>
    <w:docVar w:name="BREFBIB0026" w:val="1"/>
    <w:docVar w:name="BREFBIB0027" w:val="1"/>
    <w:docVar w:name="BREFBIB0028" w:val="1"/>
    <w:docVar w:name="BREFBIB0029" w:val="1"/>
    <w:docVar w:name="BREFBIB0030" w:val="1"/>
    <w:docVar w:name="BREFBIB0031" w:val="1"/>
    <w:docVar w:name="F_extendedPart" w:val="1"/>
    <w:docVar w:name="FlagShowHiddenText" w:val="1"/>
    <w:docVar w:name="REFBIB0001" w:val="Lixisenatide Investigator's Brochure, Edition number 12 (30 March 2015), Sanofi-aventis, France"/>
    <w:docVar w:name="REFBIB0002" w:val="European Medicines Agency. Lyxumia summary of product characteristics (EMEA/H/C/0002445). Last updated 6 November 2015 [accessed 5 January 2016]. Available from: http://www.ema.europa.eu/ema/index.jsp?curl=pages/medicines/human/medicines/002445/human_med_001615.jsp&amp;mid=WC0b01ac058001d124"/>
    <w:docVar w:name="REFBIB0003" w:val="European Medicines Agency. Lantus summary of product characteristics (EMEA/H/C/000284 -II/0098). Last updated 25 September 2015 [accessed 5 January 2016]. Available from: http://www.ema.europa.eu/ema/index.jsp?curl=pages/medicines/human/medicines/000284/human_med_000882.jsp&amp;mid=WC0b01ac058001d124"/>
    <w:docVar w:name="REFBIB0004" w:val="Lantus U.S. Prescribing Information (NDA no. 021081). Revised Aug 2015 [accessed 26 Jan 2016]. Available from: http://dailymed.nlm.nih.gov/dailymed/lookup.cfm?setid=d5e07a0c-7e14-4756-9152-9fea485d654a"/>
    <w:docVar w:name="REFBIB0005" w:val="European Medicines Agency. Victoza® summary of product characteristics (EMEA/H/C/001026). Last updated 26 June 2014 [accessed 2 February 2016]. Available from: http://www.glucagon.com/pdfs/VictozaPIEU.pdf"/>
    <w:docVar w:name="REFBIB0006" w:val="Victoza® Prescribing Information (NDA no 206321). Revised 9 March 2015 [accessed 2 February 2016]. Available from: http://www.novo-pi.com/victoza.pdf"/>
    <w:docVar w:name="REFBIB0007" w:val="European Medicines Agency. Byetta® summary of product characteristics (EMEA/H/C/000698). Last updated 28 January 2016 [accessed 2 February 2016]. Available from: http://www.ema.europa.eu/ema/index.jsp?curl=pages/medicines/human/medicines/000698/human_med_000682.jsp&amp;mid=WC0b01ac058001d124"/>
    <w:docVar w:name="REFBIB0008" w:val="Byetta® Prescribing Information (NDA no 021919). Revised March 2012. Available from: http://www.ema.europa.eu/ema/index.jsp?curl=pages/medicines/human/medicines/000698/human_med_000682.jsp&amp;mid=WC0b01ac058001d124"/>
    <w:docVar w:name="REFBIB0009" w:val="European Medicines Agency. Bydureon® summary of product characteristics (EMEA/H/C/002020). Last updated November 2011 [accessed 2 February 2016]. Available from: http://www.ema.europa.eu/ema/index.jsp?curl=pages/medicines/human/medicines/002020/human_med_001457.jsp&amp;mid=WC0b01ac058001d124"/>
    <w:docVar w:name="REFBIB0010" w:val="Bydureon® Prescribing Information (NDA no 22200). Revised January 2012 [accessed 2 February 2016). Available from: http://www.accessdata.fda.gov/drugsatfda_docs/label/2012/022200s000lbl.pdf"/>
    <w:docVar w:name="REFBIB0011" w:val="European Medicines Agency. Eperzan® summary of product characteristics (EMEA/H/C/002735) Last updated 11 January 2016 [accessed 2 February 2016]. Available from: http://www.ema.europa.eu/ema/index.jsp?curl=search.jsp&amp;q=eperzan+summary+of+product+characteristics&amp;btnG=Search&amp;mid="/>
    <w:docVar w:name="REFBIB0012" w:val="Tanzeum® Prescribing Information (NDA no 125431). Revised May 2015 [accessed 2 February 2016). Available from: https://www.gsksource.com/pharma/content/dam/GlaxoSmithKline/US/en/Prescribing_Information/Tanzeum/pdf/TANZEUM-PI-MG-IFU-COMBINED.PDF"/>
    <w:docVar w:name="REFBIB0013" w:val="European Medicines Agency. Trulicity® Summary of Product Characteristics (EMEA/H/C/002825). Last updated November 2014 [accessed 2 February 2016]. Available from: http://www.ema.europa.eu/ema/index.jsp?curl=/pages/medicines/human/medicines/002825/human_med_001821.jsp"/>
    <w:docVar w:name="REFBIB0014" w:val="Trulicity® Prescribing Information (BLA no 125469). Revised October 2015 [accessed 2 February 2016). Available from: http://www.drugs.com/search.php?searchterm=trulicity+prescribing+information"/>
    <w:docVar w:name="REFBIB0015" w:val="Inzucchi SE, Bergenstal RM, Buse JB, Diamant M, Ferrannini E, Nauck M, et al.  Management of Hyperglycemia in Type 2 Diabetes: A Patient-Centered Approach. Position Statement of the American Diabetes Association (ADA) and the European Association for the Study of Diabetes (EASD) Diabetes Care. 2012;35(6):1364-79."/>
    <w:docVar w:name="REFBIB0016" w:val="Levin P, Wei W, Wang L, Pan C, Douglas D, Baser O. Combination therapy with insulin glargine and exenatide: real-world outcomes in patients with type 2 diabetes. Current Medical Research &amp; Opinion. 2012;28(3):439-46."/>
    <w:docVar w:name="REFBIB0017" w:val="Holst JJ, Vilsbøll T. Combining GLP-1 receptor agonists with insulin: therapeutic rationales and clinical findings [review article]. Diabetes, Obesity and Metabolism 2012."/>
    <w:docVar w:name="REFBIB0018" w:val="Perfetti R. Combining basal insulin analogs with glucagon-like peptide-1 mimetics. Diabetes Technology &amp; Therapeutics. 2011;13(9):873-81."/>
    <w:docVar w:name="REFBIB0019" w:val="Thong KY, Jose B, Sukumar N, Cull ML, Mills AP, Sathyapalan T, et al. Safety, efficacy and tolerability of exenatide in combination with insulin in the Association of British Clinical Diabetologists nationwide exenatide audit. Diabetes, Obesity and Metabolism. 2011;13(8):703-10."/>
    <w:docVar w:name="REFBIB0020" w:val="Buse JB, Bergenstal RM, Glass LC, Heilmann CR, Lewis MS, Kwan AY, et al. Use of twice-daily exenatide in basal insulin treated patients with type 2 diabetes - a randomized, controlled trial. Annals of Internal Medicine. 2011;154(2):103-12."/>
    <w:docVar w:name="REFBIB0021" w:val="Jendle J, Martin SA, Milicevic Z. Insulin and GLP-1 analog combinations in type 2 diabetes mellitus: a critical review. Expert Opin. Investig. Drugs. 2012;21(10): 1463-74. Posted online on July 16, 2012."/>
    <w:docVar w:name="REFBIB0022" w:val="Berlie H, Hurren KM, Pinelli. Glucagon-like peptide-1 receptor agonists as add-on therapy to basal insulin in patients with type 2 diabetes: a systematic review. Diabetes, Metabolic Syndrome and Obesity. Targets and Therapy. 2012:5;165-74."/>
    <w:docVar w:name="REFBIB0023" w:val="De Vries JH, Bain SC, Rodbard HW, Seufert J, D’Alessio D, Thomsen AB, et al. Sequential intensification of metformin treatment in type 2 diabetes with liraglutide followed by randomized addition of basal insulin prompted by A1C targets. Diabetes Care. 2012;35(7):1446-54."/>
    <w:docVar w:name="REFBIB0024" w:val="Riddle MC, Aronson R, Home P, Marre M, Niemoeller E, Miossec P, et al. Adding once-daily Lixisenatide for Type 2 Diabetes inadequately controlled by established basal insulin. a 24-week, randomized, placebo-controlled comparison (GetGoal-L). Diabetes Care. 2013;36(9):2489-96."/>
    <w:docVar w:name="REFBIB0025" w:val="Seino Y,  Min KW, Niemoeller  E, Takami A.  On behalf of the EFC10887 GETGOAL-L Asia Study Investigators. Randomized, double-blind, placebo-controlled trial of the once-daily GLP-1 receptor agonist lixisenatide in Asian patients with type 2 diabetes insufficiently controlled on basal insulin with or without a sulfonylurea (GetGoal-L-Asia). Diabetes, Obesity and Metabolism. 2012;14(10):910-7."/>
    <w:docVar w:name="REFBIB0026" w:val="Riddle MC, Forst T, Aronson R, Sauque-Reyna L, Souhami E, Silvestre L, et al. Adding once-daily Lixisenatide for Type 2 Diabetes inadequately controlled with newly initiated and continuously titrated basal insulin glargine. A 24-week, randomized, placebo-controlled study (GETGOAL-DUO-1).  Diabetes Care. 2013;36(9):2497–503."/>
    <w:docVar w:name="REFBIB0027" w:val="Vora J, Bain SC, Damci T, Dzida G, Hollander P, Meneghini LF, et al. Incretin-based therapy in combination with basal insulin: a promising tactic for the treatment of type 2 diabetes. Diabetes Metab. 2013;39(1):6-15."/>
    <w:docVar w:name="REFBIB0028" w:val="Rosenstock J, Diamant M, Silvestre L, Souhami E, Zhou T, Fonseca V. Benefits of a fixed-ratio formulation of once-daily insulin glargine/lixisenatide (LixiLan) vs. glargine in type 2 diabetes (T2DM) inadequately controlled on metformin [abstract]. American Diabetes Association, 74th Scientific Sessions, 13-17 June 2014, San Francisco. Oral presentation number 332-OR."/>
    <w:docVar w:name="REFBIB0029" w:val="Rosenstock J, Guerci B, Paranjape S, Berria R, Souhami E, Aroda V. Improved glucose control without increased hypoglycemia risk at any level of HbA1c reduction with insulin glargine/lixisenatide fixed-ratio combination (LixiLan) vs insulin glargine alone both added-on to metformin in type 2 diabetes (T2DM) [abstract]. American Diabetes Association, 75th scientific sessions, 5-9 June 2015, Boston. Oral presentation number 169-OR."/>
    <w:docVar w:name="REFBIB0030" w:val="HOE901/AVE0010-Insulin glargine/Lixisenatide Clinical Investigator's Brochure, latest version."/>
    <w:docVar w:name="REFBIB0031" w:val="Guidance for Industry. Collection of race and ethnicity data in clinical trials. FDA/CDER/CBER. Clinical Medical. September 2005:1-18."/>
    <w:docVar w:name="type" w:val="Phase II"/>
  </w:docVars>
  <w:rsids>
    <w:rsidRoot w:val="00D35579"/>
    <w:rsid w:val="00000376"/>
    <w:rsid w:val="00000F3F"/>
    <w:rsid w:val="000019B6"/>
    <w:rsid w:val="000038C5"/>
    <w:rsid w:val="00004191"/>
    <w:rsid w:val="00004D17"/>
    <w:rsid w:val="00005D77"/>
    <w:rsid w:val="000124B5"/>
    <w:rsid w:val="000158D9"/>
    <w:rsid w:val="000201CD"/>
    <w:rsid w:val="00020254"/>
    <w:rsid w:val="00020867"/>
    <w:rsid w:val="00021594"/>
    <w:rsid w:val="00024014"/>
    <w:rsid w:val="00024716"/>
    <w:rsid w:val="00026DED"/>
    <w:rsid w:val="00030373"/>
    <w:rsid w:val="000310F2"/>
    <w:rsid w:val="00031558"/>
    <w:rsid w:val="000320FB"/>
    <w:rsid w:val="00034012"/>
    <w:rsid w:val="00036641"/>
    <w:rsid w:val="00036B77"/>
    <w:rsid w:val="0003799A"/>
    <w:rsid w:val="00041627"/>
    <w:rsid w:val="00043F86"/>
    <w:rsid w:val="00051601"/>
    <w:rsid w:val="000528E2"/>
    <w:rsid w:val="000542C2"/>
    <w:rsid w:val="0005688E"/>
    <w:rsid w:val="0005751C"/>
    <w:rsid w:val="00060FAB"/>
    <w:rsid w:val="0006246E"/>
    <w:rsid w:val="000650AD"/>
    <w:rsid w:val="000664B6"/>
    <w:rsid w:val="00066A3A"/>
    <w:rsid w:val="00067579"/>
    <w:rsid w:val="00070174"/>
    <w:rsid w:val="0007161F"/>
    <w:rsid w:val="00071DFB"/>
    <w:rsid w:val="000720F6"/>
    <w:rsid w:val="00075613"/>
    <w:rsid w:val="0007682C"/>
    <w:rsid w:val="0007746F"/>
    <w:rsid w:val="00077E2F"/>
    <w:rsid w:val="00080226"/>
    <w:rsid w:val="00080E76"/>
    <w:rsid w:val="0008107B"/>
    <w:rsid w:val="00084AA2"/>
    <w:rsid w:val="00084E2D"/>
    <w:rsid w:val="000874C7"/>
    <w:rsid w:val="0009034C"/>
    <w:rsid w:val="000906A0"/>
    <w:rsid w:val="00090922"/>
    <w:rsid w:val="00090EAA"/>
    <w:rsid w:val="000923C1"/>
    <w:rsid w:val="00094A34"/>
    <w:rsid w:val="00095A9B"/>
    <w:rsid w:val="000A1619"/>
    <w:rsid w:val="000A396C"/>
    <w:rsid w:val="000B09F0"/>
    <w:rsid w:val="000B2DDB"/>
    <w:rsid w:val="000B3BE4"/>
    <w:rsid w:val="000B5264"/>
    <w:rsid w:val="000B5632"/>
    <w:rsid w:val="000B7A08"/>
    <w:rsid w:val="000C0423"/>
    <w:rsid w:val="000C2D66"/>
    <w:rsid w:val="000C2F29"/>
    <w:rsid w:val="000C7779"/>
    <w:rsid w:val="000C7FBD"/>
    <w:rsid w:val="000D2553"/>
    <w:rsid w:val="000D3D2B"/>
    <w:rsid w:val="000D3E0A"/>
    <w:rsid w:val="000D5B73"/>
    <w:rsid w:val="000D6E68"/>
    <w:rsid w:val="000E246D"/>
    <w:rsid w:val="000E456F"/>
    <w:rsid w:val="000E57F9"/>
    <w:rsid w:val="000E5BAE"/>
    <w:rsid w:val="000E7E9B"/>
    <w:rsid w:val="000F21C0"/>
    <w:rsid w:val="000F5247"/>
    <w:rsid w:val="000F5581"/>
    <w:rsid w:val="000F607F"/>
    <w:rsid w:val="000F6546"/>
    <w:rsid w:val="000F6FC4"/>
    <w:rsid w:val="00102FDD"/>
    <w:rsid w:val="00104167"/>
    <w:rsid w:val="0010422B"/>
    <w:rsid w:val="0010426F"/>
    <w:rsid w:val="00110B37"/>
    <w:rsid w:val="00110C57"/>
    <w:rsid w:val="0011118B"/>
    <w:rsid w:val="001149BA"/>
    <w:rsid w:val="001149BE"/>
    <w:rsid w:val="001153D4"/>
    <w:rsid w:val="001168EE"/>
    <w:rsid w:val="0012165D"/>
    <w:rsid w:val="00122966"/>
    <w:rsid w:val="00122DAB"/>
    <w:rsid w:val="001270D5"/>
    <w:rsid w:val="00133EDD"/>
    <w:rsid w:val="001342EC"/>
    <w:rsid w:val="001375EE"/>
    <w:rsid w:val="00140AFA"/>
    <w:rsid w:val="001410D4"/>
    <w:rsid w:val="00141269"/>
    <w:rsid w:val="00143A63"/>
    <w:rsid w:val="0014777E"/>
    <w:rsid w:val="00151594"/>
    <w:rsid w:val="001528C4"/>
    <w:rsid w:val="001534FA"/>
    <w:rsid w:val="0015369F"/>
    <w:rsid w:val="00157131"/>
    <w:rsid w:val="00157448"/>
    <w:rsid w:val="0016125B"/>
    <w:rsid w:val="00161A5C"/>
    <w:rsid w:val="001639B0"/>
    <w:rsid w:val="00164D9E"/>
    <w:rsid w:val="00165AB7"/>
    <w:rsid w:val="001663EE"/>
    <w:rsid w:val="001668C3"/>
    <w:rsid w:val="00166D43"/>
    <w:rsid w:val="001674FF"/>
    <w:rsid w:val="00170146"/>
    <w:rsid w:val="0017359F"/>
    <w:rsid w:val="0017369E"/>
    <w:rsid w:val="001756CB"/>
    <w:rsid w:val="00175800"/>
    <w:rsid w:val="00177A44"/>
    <w:rsid w:val="00180115"/>
    <w:rsid w:val="00181A39"/>
    <w:rsid w:val="00181D86"/>
    <w:rsid w:val="001825B7"/>
    <w:rsid w:val="0018297F"/>
    <w:rsid w:val="00183DC3"/>
    <w:rsid w:val="001843DB"/>
    <w:rsid w:val="00185DA7"/>
    <w:rsid w:val="00186520"/>
    <w:rsid w:val="001866DE"/>
    <w:rsid w:val="0019105C"/>
    <w:rsid w:val="001912EA"/>
    <w:rsid w:val="00191E44"/>
    <w:rsid w:val="0019705C"/>
    <w:rsid w:val="0019767C"/>
    <w:rsid w:val="001A1F61"/>
    <w:rsid w:val="001A2F7B"/>
    <w:rsid w:val="001A7027"/>
    <w:rsid w:val="001B38DB"/>
    <w:rsid w:val="001B4D37"/>
    <w:rsid w:val="001B51CD"/>
    <w:rsid w:val="001C2170"/>
    <w:rsid w:val="001C2361"/>
    <w:rsid w:val="001C37E6"/>
    <w:rsid w:val="001D0430"/>
    <w:rsid w:val="001D34A6"/>
    <w:rsid w:val="001E1AC7"/>
    <w:rsid w:val="001E5F67"/>
    <w:rsid w:val="001E794A"/>
    <w:rsid w:val="001F1F78"/>
    <w:rsid w:val="001F2689"/>
    <w:rsid w:val="001F7727"/>
    <w:rsid w:val="00200392"/>
    <w:rsid w:val="0020265D"/>
    <w:rsid w:val="00202DF3"/>
    <w:rsid w:val="00203E0B"/>
    <w:rsid w:val="00205677"/>
    <w:rsid w:val="00206CAB"/>
    <w:rsid w:val="00210130"/>
    <w:rsid w:val="00210901"/>
    <w:rsid w:val="00210AA9"/>
    <w:rsid w:val="00214B68"/>
    <w:rsid w:val="002161D1"/>
    <w:rsid w:val="00217B45"/>
    <w:rsid w:val="00220D6C"/>
    <w:rsid w:val="002232C3"/>
    <w:rsid w:val="002234AA"/>
    <w:rsid w:val="00224956"/>
    <w:rsid w:val="002256E1"/>
    <w:rsid w:val="0022765F"/>
    <w:rsid w:val="00227839"/>
    <w:rsid w:val="00231E77"/>
    <w:rsid w:val="0023220D"/>
    <w:rsid w:val="0023242F"/>
    <w:rsid w:val="00233714"/>
    <w:rsid w:val="00235360"/>
    <w:rsid w:val="00237A55"/>
    <w:rsid w:val="0024195A"/>
    <w:rsid w:val="002420FA"/>
    <w:rsid w:val="00242955"/>
    <w:rsid w:val="002533CC"/>
    <w:rsid w:val="00254AB8"/>
    <w:rsid w:val="00255349"/>
    <w:rsid w:val="002606B2"/>
    <w:rsid w:val="00260841"/>
    <w:rsid w:val="002610FE"/>
    <w:rsid w:val="00263071"/>
    <w:rsid w:val="00263FAB"/>
    <w:rsid w:val="002668F6"/>
    <w:rsid w:val="00270A52"/>
    <w:rsid w:val="00273BC8"/>
    <w:rsid w:val="00276034"/>
    <w:rsid w:val="00284319"/>
    <w:rsid w:val="00284B1C"/>
    <w:rsid w:val="002853B2"/>
    <w:rsid w:val="00287920"/>
    <w:rsid w:val="00290005"/>
    <w:rsid w:val="00290660"/>
    <w:rsid w:val="002909DD"/>
    <w:rsid w:val="002924C8"/>
    <w:rsid w:val="00295496"/>
    <w:rsid w:val="002A0C4F"/>
    <w:rsid w:val="002A18D6"/>
    <w:rsid w:val="002A39AC"/>
    <w:rsid w:val="002A5127"/>
    <w:rsid w:val="002B0677"/>
    <w:rsid w:val="002B1CBC"/>
    <w:rsid w:val="002B222B"/>
    <w:rsid w:val="002B25D7"/>
    <w:rsid w:val="002B482B"/>
    <w:rsid w:val="002B4D03"/>
    <w:rsid w:val="002B6778"/>
    <w:rsid w:val="002B6B5B"/>
    <w:rsid w:val="002C19BF"/>
    <w:rsid w:val="002C488D"/>
    <w:rsid w:val="002C6EE4"/>
    <w:rsid w:val="002C7B99"/>
    <w:rsid w:val="002D2078"/>
    <w:rsid w:val="002D3D7C"/>
    <w:rsid w:val="002D6037"/>
    <w:rsid w:val="002D690E"/>
    <w:rsid w:val="002D6DF1"/>
    <w:rsid w:val="002D6FEA"/>
    <w:rsid w:val="002D7359"/>
    <w:rsid w:val="002E0C86"/>
    <w:rsid w:val="002E1599"/>
    <w:rsid w:val="002E22DF"/>
    <w:rsid w:val="002E40EE"/>
    <w:rsid w:val="002E54DF"/>
    <w:rsid w:val="002E6ACE"/>
    <w:rsid w:val="002E7A10"/>
    <w:rsid w:val="002F00A3"/>
    <w:rsid w:val="002F2AC4"/>
    <w:rsid w:val="002F41EE"/>
    <w:rsid w:val="002F52B6"/>
    <w:rsid w:val="00301A1A"/>
    <w:rsid w:val="00302ED9"/>
    <w:rsid w:val="003038BE"/>
    <w:rsid w:val="003045A7"/>
    <w:rsid w:val="00306627"/>
    <w:rsid w:val="003067F9"/>
    <w:rsid w:val="0031066E"/>
    <w:rsid w:val="00312908"/>
    <w:rsid w:val="003138DE"/>
    <w:rsid w:val="003146EE"/>
    <w:rsid w:val="0031472C"/>
    <w:rsid w:val="00315ACE"/>
    <w:rsid w:val="003168AD"/>
    <w:rsid w:val="00317C8D"/>
    <w:rsid w:val="00321CF5"/>
    <w:rsid w:val="00322CF5"/>
    <w:rsid w:val="003235C2"/>
    <w:rsid w:val="003269B8"/>
    <w:rsid w:val="00326DCB"/>
    <w:rsid w:val="00327A8E"/>
    <w:rsid w:val="00335ADD"/>
    <w:rsid w:val="003366F1"/>
    <w:rsid w:val="00336C19"/>
    <w:rsid w:val="00340FD3"/>
    <w:rsid w:val="00343383"/>
    <w:rsid w:val="003458B0"/>
    <w:rsid w:val="00347326"/>
    <w:rsid w:val="00350D35"/>
    <w:rsid w:val="00351258"/>
    <w:rsid w:val="00351493"/>
    <w:rsid w:val="00352CE5"/>
    <w:rsid w:val="00355B1B"/>
    <w:rsid w:val="00357E3B"/>
    <w:rsid w:val="00364A51"/>
    <w:rsid w:val="003660F2"/>
    <w:rsid w:val="00366F53"/>
    <w:rsid w:val="00371B01"/>
    <w:rsid w:val="00377B65"/>
    <w:rsid w:val="003801AC"/>
    <w:rsid w:val="00380454"/>
    <w:rsid w:val="00382315"/>
    <w:rsid w:val="00382FE0"/>
    <w:rsid w:val="00385F20"/>
    <w:rsid w:val="00387FFC"/>
    <w:rsid w:val="0039026A"/>
    <w:rsid w:val="00392807"/>
    <w:rsid w:val="00395B85"/>
    <w:rsid w:val="00397E5D"/>
    <w:rsid w:val="003A07E7"/>
    <w:rsid w:val="003A0818"/>
    <w:rsid w:val="003A1411"/>
    <w:rsid w:val="003A39B8"/>
    <w:rsid w:val="003A63A0"/>
    <w:rsid w:val="003A7859"/>
    <w:rsid w:val="003B214F"/>
    <w:rsid w:val="003B5170"/>
    <w:rsid w:val="003C0669"/>
    <w:rsid w:val="003C4393"/>
    <w:rsid w:val="003C4E50"/>
    <w:rsid w:val="003C51EB"/>
    <w:rsid w:val="003D1FD0"/>
    <w:rsid w:val="003D20A8"/>
    <w:rsid w:val="003D2BD6"/>
    <w:rsid w:val="003D38CC"/>
    <w:rsid w:val="003D47B8"/>
    <w:rsid w:val="003D63F9"/>
    <w:rsid w:val="003D693D"/>
    <w:rsid w:val="003D69C9"/>
    <w:rsid w:val="003D69E2"/>
    <w:rsid w:val="003E0F42"/>
    <w:rsid w:val="003E358A"/>
    <w:rsid w:val="003F5035"/>
    <w:rsid w:val="003F5296"/>
    <w:rsid w:val="00401852"/>
    <w:rsid w:val="00403610"/>
    <w:rsid w:val="00404199"/>
    <w:rsid w:val="004048EF"/>
    <w:rsid w:val="00404DCB"/>
    <w:rsid w:val="004058DE"/>
    <w:rsid w:val="00411AB7"/>
    <w:rsid w:val="004122DB"/>
    <w:rsid w:val="004125C1"/>
    <w:rsid w:val="0041620D"/>
    <w:rsid w:val="00420E97"/>
    <w:rsid w:val="0042191B"/>
    <w:rsid w:val="00422F50"/>
    <w:rsid w:val="00424B01"/>
    <w:rsid w:val="0042584B"/>
    <w:rsid w:val="004279EC"/>
    <w:rsid w:val="00427EF7"/>
    <w:rsid w:val="0043198B"/>
    <w:rsid w:val="00431BA6"/>
    <w:rsid w:val="00431BF4"/>
    <w:rsid w:val="00433E85"/>
    <w:rsid w:val="00434751"/>
    <w:rsid w:val="0043495A"/>
    <w:rsid w:val="00434EB2"/>
    <w:rsid w:val="00434FF8"/>
    <w:rsid w:val="00435F15"/>
    <w:rsid w:val="004365A5"/>
    <w:rsid w:val="00440108"/>
    <w:rsid w:val="00443D01"/>
    <w:rsid w:val="00443FC4"/>
    <w:rsid w:val="004463A7"/>
    <w:rsid w:val="00446EC7"/>
    <w:rsid w:val="00450657"/>
    <w:rsid w:val="004514B1"/>
    <w:rsid w:val="004523EB"/>
    <w:rsid w:val="00452C40"/>
    <w:rsid w:val="0045342C"/>
    <w:rsid w:val="00453EDB"/>
    <w:rsid w:val="004555E7"/>
    <w:rsid w:val="0045633F"/>
    <w:rsid w:val="0045748B"/>
    <w:rsid w:val="00457772"/>
    <w:rsid w:val="004577FE"/>
    <w:rsid w:val="00457B1D"/>
    <w:rsid w:val="00457BD1"/>
    <w:rsid w:val="00462364"/>
    <w:rsid w:val="004662D9"/>
    <w:rsid w:val="00466BD7"/>
    <w:rsid w:val="00467643"/>
    <w:rsid w:val="0047104C"/>
    <w:rsid w:val="00471251"/>
    <w:rsid w:val="0047253E"/>
    <w:rsid w:val="00472D23"/>
    <w:rsid w:val="004746DF"/>
    <w:rsid w:val="004816E5"/>
    <w:rsid w:val="00481912"/>
    <w:rsid w:val="004860B2"/>
    <w:rsid w:val="0048621C"/>
    <w:rsid w:val="00486BC1"/>
    <w:rsid w:val="004910AD"/>
    <w:rsid w:val="00492992"/>
    <w:rsid w:val="00492F70"/>
    <w:rsid w:val="00497160"/>
    <w:rsid w:val="00497264"/>
    <w:rsid w:val="004A1C52"/>
    <w:rsid w:val="004A4917"/>
    <w:rsid w:val="004A4C2C"/>
    <w:rsid w:val="004A5AF1"/>
    <w:rsid w:val="004B02C0"/>
    <w:rsid w:val="004B1F05"/>
    <w:rsid w:val="004B2345"/>
    <w:rsid w:val="004B4391"/>
    <w:rsid w:val="004B43F0"/>
    <w:rsid w:val="004B491A"/>
    <w:rsid w:val="004B495A"/>
    <w:rsid w:val="004B5AA8"/>
    <w:rsid w:val="004C0C65"/>
    <w:rsid w:val="004C2560"/>
    <w:rsid w:val="004C3856"/>
    <w:rsid w:val="004C4D2E"/>
    <w:rsid w:val="004C704E"/>
    <w:rsid w:val="004C73C8"/>
    <w:rsid w:val="004C7744"/>
    <w:rsid w:val="004C7D90"/>
    <w:rsid w:val="004D1603"/>
    <w:rsid w:val="004D28E7"/>
    <w:rsid w:val="004D326E"/>
    <w:rsid w:val="004D5390"/>
    <w:rsid w:val="004E1242"/>
    <w:rsid w:val="004E1CA1"/>
    <w:rsid w:val="004E1E31"/>
    <w:rsid w:val="004E21A4"/>
    <w:rsid w:val="004E4268"/>
    <w:rsid w:val="004E7414"/>
    <w:rsid w:val="004F0A03"/>
    <w:rsid w:val="004F0BCD"/>
    <w:rsid w:val="004F1D0E"/>
    <w:rsid w:val="004F36FA"/>
    <w:rsid w:val="004F377F"/>
    <w:rsid w:val="004F4E6C"/>
    <w:rsid w:val="004F68D7"/>
    <w:rsid w:val="004F6913"/>
    <w:rsid w:val="004F6ABD"/>
    <w:rsid w:val="004F6AF9"/>
    <w:rsid w:val="00501D16"/>
    <w:rsid w:val="0050708D"/>
    <w:rsid w:val="00507168"/>
    <w:rsid w:val="00510A96"/>
    <w:rsid w:val="00512734"/>
    <w:rsid w:val="0051486F"/>
    <w:rsid w:val="00514F8E"/>
    <w:rsid w:val="0051645D"/>
    <w:rsid w:val="00517DC4"/>
    <w:rsid w:val="00526817"/>
    <w:rsid w:val="00527803"/>
    <w:rsid w:val="005300AC"/>
    <w:rsid w:val="0053275D"/>
    <w:rsid w:val="00532C06"/>
    <w:rsid w:val="00533EF5"/>
    <w:rsid w:val="00536E61"/>
    <w:rsid w:val="00536E7A"/>
    <w:rsid w:val="005408FD"/>
    <w:rsid w:val="005409BA"/>
    <w:rsid w:val="00541489"/>
    <w:rsid w:val="00542AE9"/>
    <w:rsid w:val="00545490"/>
    <w:rsid w:val="00545C4A"/>
    <w:rsid w:val="00546DDD"/>
    <w:rsid w:val="00552292"/>
    <w:rsid w:val="00555E4C"/>
    <w:rsid w:val="00556BCF"/>
    <w:rsid w:val="00557122"/>
    <w:rsid w:val="00557BD4"/>
    <w:rsid w:val="00560CB7"/>
    <w:rsid w:val="00567479"/>
    <w:rsid w:val="005679DF"/>
    <w:rsid w:val="005701C0"/>
    <w:rsid w:val="00573B0B"/>
    <w:rsid w:val="005806E8"/>
    <w:rsid w:val="00580DE2"/>
    <w:rsid w:val="00581844"/>
    <w:rsid w:val="00583E05"/>
    <w:rsid w:val="00584351"/>
    <w:rsid w:val="00584452"/>
    <w:rsid w:val="00584E1D"/>
    <w:rsid w:val="00586BFC"/>
    <w:rsid w:val="00587892"/>
    <w:rsid w:val="00587F9E"/>
    <w:rsid w:val="00592C64"/>
    <w:rsid w:val="005949C9"/>
    <w:rsid w:val="00596921"/>
    <w:rsid w:val="005978A5"/>
    <w:rsid w:val="00597C34"/>
    <w:rsid w:val="005A24A7"/>
    <w:rsid w:val="005A26F6"/>
    <w:rsid w:val="005A37DA"/>
    <w:rsid w:val="005A40AB"/>
    <w:rsid w:val="005A6650"/>
    <w:rsid w:val="005B1784"/>
    <w:rsid w:val="005B4E4A"/>
    <w:rsid w:val="005B72FB"/>
    <w:rsid w:val="005C1372"/>
    <w:rsid w:val="005C2962"/>
    <w:rsid w:val="005C381B"/>
    <w:rsid w:val="005C5DB6"/>
    <w:rsid w:val="005D1502"/>
    <w:rsid w:val="005D478A"/>
    <w:rsid w:val="005D6372"/>
    <w:rsid w:val="005D656A"/>
    <w:rsid w:val="005D69EC"/>
    <w:rsid w:val="005E0974"/>
    <w:rsid w:val="005E259D"/>
    <w:rsid w:val="005E46C8"/>
    <w:rsid w:val="005E5360"/>
    <w:rsid w:val="005E7B68"/>
    <w:rsid w:val="005F277E"/>
    <w:rsid w:val="005F6760"/>
    <w:rsid w:val="005F6BCD"/>
    <w:rsid w:val="005F7E5B"/>
    <w:rsid w:val="00601178"/>
    <w:rsid w:val="00601429"/>
    <w:rsid w:val="00601720"/>
    <w:rsid w:val="00604A8E"/>
    <w:rsid w:val="00606DF0"/>
    <w:rsid w:val="00610C6C"/>
    <w:rsid w:val="006121C9"/>
    <w:rsid w:val="006132E7"/>
    <w:rsid w:val="006150C0"/>
    <w:rsid w:val="0061518E"/>
    <w:rsid w:val="006151FB"/>
    <w:rsid w:val="00615306"/>
    <w:rsid w:val="00616D6B"/>
    <w:rsid w:val="00617832"/>
    <w:rsid w:val="00617DA9"/>
    <w:rsid w:val="00623B44"/>
    <w:rsid w:val="0062417C"/>
    <w:rsid w:val="0062661C"/>
    <w:rsid w:val="00626F6A"/>
    <w:rsid w:val="00630F84"/>
    <w:rsid w:val="00631DED"/>
    <w:rsid w:val="006329EB"/>
    <w:rsid w:val="00632EEF"/>
    <w:rsid w:val="00632F6C"/>
    <w:rsid w:val="00635ADA"/>
    <w:rsid w:val="00636B28"/>
    <w:rsid w:val="006371C9"/>
    <w:rsid w:val="00640DA2"/>
    <w:rsid w:val="00640F44"/>
    <w:rsid w:val="006416F7"/>
    <w:rsid w:val="00641862"/>
    <w:rsid w:val="00641ED0"/>
    <w:rsid w:val="00642EE5"/>
    <w:rsid w:val="006475A0"/>
    <w:rsid w:val="006478EB"/>
    <w:rsid w:val="00647E8F"/>
    <w:rsid w:val="006501BD"/>
    <w:rsid w:val="006503D2"/>
    <w:rsid w:val="00651FB1"/>
    <w:rsid w:val="006537DF"/>
    <w:rsid w:val="00653D53"/>
    <w:rsid w:val="006540A0"/>
    <w:rsid w:val="00662B50"/>
    <w:rsid w:val="00663B80"/>
    <w:rsid w:val="006644EE"/>
    <w:rsid w:val="006666EA"/>
    <w:rsid w:val="0067029F"/>
    <w:rsid w:val="00670411"/>
    <w:rsid w:val="0067548A"/>
    <w:rsid w:val="006771DB"/>
    <w:rsid w:val="00680701"/>
    <w:rsid w:val="00682117"/>
    <w:rsid w:val="00682B9A"/>
    <w:rsid w:val="006837C5"/>
    <w:rsid w:val="00684944"/>
    <w:rsid w:val="006850D9"/>
    <w:rsid w:val="0068517F"/>
    <w:rsid w:val="006902CF"/>
    <w:rsid w:val="00692F10"/>
    <w:rsid w:val="006A1272"/>
    <w:rsid w:val="006A16A4"/>
    <w:rsid w:val="006A2DE9"/>
    <w:rsid w:val="006A3BDF"/>
    <w:rsid w:val="006A5E5F"/>
    <w:rsid w:val="006A7F69"/>
    <w:rsid w:val="006B1742"/>
    <w:rsid w:val="006B1AA8"/>
    <w:rsid w:val="006B364A"/>
    <w:rsid w:val="006B629A"/>
    <w:rsid w:val="006B7B78"/>
    <w:rsid w:val="006C2ACF"/>
    <w:rsid w:val="006C5CB8"/>
    <w:rsid w:val="006D08D0"/>
    <w:rsid w:val="006D130D"/>
    <w:rsid w:val="006D14CC"/>
    <w:rsid w:val="006D2E18"/>
    <w:rsid w:val="006D33B2"/>
    <w:rsid w:val="006D43AD"/>
    <w:rsid w:val="006D4421"/>
    <w:rsid w:val="006D6671"/>
    <w:rsid w:val="006E1706"/>
    <w:rsid w:val="006E4DBA"/>
    <w:rsid w:val="006E6C6E"/>
    <w:rsid w:val="006E7239"/>
    <w:rsid w:val="006E74D7"/>
    <w:rsid w:val="006E7FB7"/>
    <w:rsid w:val="006F0436"/>
    <w:rsid w:val="006F1ABB"/>
    <w:rsid w:val="006F1AF5"/>
    <w:rsid w:val="006F22DE"/>
    <w:rsid w:val="006F5C6F"/>
    <w:rsid w:val="006F6929"/>
    <w:rsid w:val="00705E36"/>
    <w:rsid w:val="00707B46"/>
    <w:rsid w:val="0071432C"/>
    <w:rsid w:val="007155F3"/>
    <w:rsid w:val="00715F4F"/>
    <w:rsid w:val="0071758A"/>
    <w:rsid w:val="0072510F"/>
    <w:rsid w:val="007261A8"/>
    <w:rsid w:val="00731B77"/>
    <w:rsid w:val="00734472"/>
    <w:rsid w:val="00740018"/>
    <w:rsid w:val="00741FFC"/>
    <w:rsid w:val="0074435D"/>
    <w:rsid w:val="00744890"/>
    <w:rsid w:val="00750243"/>
    <w:rsid w:val="007503C3"/>
    <w:rsid w:val="00751949"/>
    <w:rsid w:val="007541F4"/>
    <w:rsid w:val="0075474A"/>
    <w:rsid w:val="00755DA3"/>
    <w:rsid w:val="00755F51"/>
    <w:rsid w:val="00760748"/>
    <w:rsid w:val="00761F83"/>
    <w:rsid w:val="007638FB"/>
    <w:rsid w:val="00764D31"/>
    <w:rsid w:val="007659AA"/>
    <w:rsid w:val="00765BF1"/>
    <w:rsid w:val="00770241"/>
    <w:rsid w:val="00770F4A"/>
    <w:rsid w:val="0077136A"/>
    <w:rsid w:val="00772454"/>
    <w:rsid w:val="0077645A"/>
    <w:rsid w:val="00781368"/>
    <w:rsid w:val="007818E0"/>
    <w:rsid w:val="007847C6"/>
    <w:rsid w:val="007909D8"/>
    <w:rsid w:val="007913F6"/>
    <w:rsid w:val="00791DDA"/>
    <w:rsid w:val="00795EBC"/>
    <w:rsid w:val="007961B7"/>
    <w:rsid w:val="00796380"/>
    <w:rsid w:val="007A025A"/>
    <w:rsid w:val="007A2A00"/>
    <w:rsid w:val="007A35FB"/>
    <w:rsid w:val="007A4FE1"/>
    <w:rsid w:val="007A5FF1"/>
    <w:rsid w:val="007A6D68"/>
    <w:rsid w:val="007B2A82"/>
    <w:rsid w:val="007B465F"/>
    <w:rsid w:val="007B7D3B"/>
    <w:rsid w:val="007C2E77"/>
    <w:rsid w:val="007C3776"/>
    <w:rsid w:val="007C4CEC"/>
    <w:rsid w:val="007C69EF"/>
    <w:rsid w:val="007C6B3D"/>
    <w:rsid w:val="007D1454"/>
    <w:rsid w:val="007D3F7B"/>
    <w:rsid w:val="007D45F2"/>
    <w:rsid w:val="007D534F"/>
    <w:rsid w:val="007D6C5F"/>
    <w:rsid w:val="007E1B54"/>
    <w:rsid w:val="007F00E9"/>
    <w:rsid w:val="007F06BC"/>
    <w:rsid w:val="007F0B0A"/>
    <w:rsid w:val="007F19C7"/>
    <w:rsid w:val="007F1BCF"/>
    <w:rsid w:val="007F5600"/>
    <w:rsid w:val="007F58FD"/>
    <w:rsid w:val="007F7218"/>
    <w:rsid w:val="008021E6"/>
    <w:rsid w:val="00803348"/>
    <w:rsid w:val="00803BEF"/>
    <w:rsid w:val="00803DC1"/>
    <w:rsid w:val="0080450B"/>
    <w:rsid w:val="00805D5D"/>
    <w:rsid w:val="0080731C"/>
    <w:rsid w:val="00812F44"/>
    <w:rsid w:val="00813DC6"/>
    <w:rsid w:val="00815955"/>
    <w:rsid w:val="0081618C"/>
    <w:rsid w:val="00817295"/>
    <w:rsid w:val="00820F1F"/>
    <w:rsid w:val="008254DC"/>
    <w:rsid w:val="00825C32"/>
    <w:rsid w:val="008263EF"/>
    <w:rsid w:val="00826C8F"/>
    <w:rsid w:val="00827825"/>
    <w:rsid w:val="00830A7D"/>
    <w:rsid w:val="00830F2B"/>
    <w:rsid w:val="00832FBA"/>
    <w:rsid w:val="00833D79"/>
    <w:rsid w:val="0083676C"/>
    <w:rsid w:val="008407F4"/>
    <w:rsid w:val="00842FE6"/>
    <w:rsid w:val="00844789"/>
    <w:rsid w:val="00845C88"/>
    <w:rsid w:val="00846C8B"/>
    <w:rsid w:val="008472AB"/>
    <w:rsid w:val="00847C55"/>
    <w:rsid w:val="008512A2"/>
    <w:rsid w:val="00851486"/>
    <w:rsid w:val="008517A7"/>
    <w:rsid w:val="00856628"/>
    <w:rsid w:val="008575FA"/>
    <w:rsid w:val="00860488"/>
    <w:rsid w:val="00860C7D"/>
    <w:rsid w:val="008612AD"/>
    <w:rsid w:val="00862DC3"/>
    <w:rsid w:val="0086515D"/>
    <w:rsid w:val="008656A0"/>
    <w:rsid w:val="00865897"/>
    <w:rsid w:val="00865BD8"/>
    <w:rsid w:val="00871301"/>
    <w:rsid w:val="00872E34"/>
    <w:rsid w:val="0087383A"/>
    <w:rsid w:val="00875FBA"/>
    <w:rsid w:val="008811E4"/>
    <w:rsid w:val="008819A2"/>
    <w:rsid w:val="00882FAA"/>
    <w:rsid w:val="0088403C"/>
    <w:rsid w:val="00884883"/>
    <w:rsid w:val="0088505D"/>
    <w:rsid w:val="00885B2A"/>
    <w:rsid w:val="00885C48"/>
    <w:rsid w:val="0088644F"/>
    <w:rsid w:val="0089125F"/>
    <w:rsid w:val="00893F32"/>
    <w:rsid w:val="0089421C"/>
    <w:rsid w:val="00895505"/>
    <w:rsid w:val="00895DE9"/>
    <w:rsid w:val="00896F46"/>
    <w:rsid w:val="008A071C"/>
    <w:rsid w:val="008A7F9B"/>
    <w:rsid w:val="008B14C2"/>
    <w:rsid w:val="008B45CF"/>
    <w:rsid w:val="008B6D5F"/>
    <w:rsid w:val="008B757E"/>
    <w:rsid w:val="008B7F93"/>
    <w:rsid w:val="008C36F6"/>
    <w:rsid w:val="008C3769"/>
    <w:rsid w:val="008C65C2"/>
    <w:rsid w:val="008C6699"/>
    <w:rsid w:val="008D459C"/>
    <w:rsid w:val="008D5430"/>
    <w:rsid w:val="008D5561"/>
    <w:rsid w:val="008D55CC"/>
    <w:rsid w:val="008D6EBE"/>
    <w:rsid w:val="008E203F"/>
    <w:rsid w:val="008E33E9"/>
    <w:rsid w:val="008E4AD6"/>
    <w:rsid w:val="008F2E14"/>
    <w:rsid w:val="008F322E"/>
    <w:rsid w:val="00902E7E"/>
    <w:rsid w:val="00907FA1"/>
    <w:rsid w:val="00912CC4"/>
    <w:rsid w:val="00914E62"/>
    <w:rsid w:val="009178F5"/>
    <w:rsid w:val="00922175"/>
    <w:rsid w:val="009258AF"/>
    <w:rsid w:val="00926673"/>
    <w:rsid w:val="0093088E"/>
    <w:rsid w:val="00933609"/>
    <w:rsid w:val="009341B5"/>
    <w:rsid w:val="00937397"/>
    <w:rsid w:val="00940EDB"/>
    <w:rsid w:val="00942434"/>
    <w:rsid w:val="00942F60"/>
    <w:rsid w:val="00943A6E"/>
    <w:rsid w:val="00946F48"/>
    <w:rsid w:val="00950106"/>
    <w:rsid w:val="00950DEA"/>
    <w:rsid w:val="009513A1"/>
    <w:rsid w:val="0095174C"/>
    <w:rsid w:val="009525F5"/>
    <w:rsid w:val="00953D79"/>
    <w:rsid w:val="00956F3E"/>
    <w:rsid w:val="00965BFE"/>
    <w:rsid w:val="00965F9E"/>
    <w:rsid w:val="009672AE"/>
    <w:rsid w:val="00972F4C"/>
    <w:rsid w:val="00973D18"/>
    <w:rsid w:val="009753A3"/>
    <w:rsid w:val="00975965"/>
    <w:rsid w:val="00976C6E"/>
    <w:rsid w:val="00981280"/>
    <w:rsid w:val="00983FEB"/>
    <w:rsid w:val="00985214"/>
    <w:rsid w:val="00985C3C"/>
    <w:rsid w:val="009860B6"/>
    <w:rsid w:val="00986F33"/>
    <w:rsid w:val="0098799E"/>
    <w:rsid w:val="00994338"/>
    <w:rsid w:val="00995ED0"/>
    <w:rsid w:val="00996C54"/>
    <w:rsid w:val="009970C0"/>
    <w:rsid w:val="009A0819"/>
    <w:rsid w:val="009A24BA"/>
    <w:rsid w:val="009A24CF"/>
    <w:rsid w:val="009A5C26"/>
    <w:rsid w:val="009A6873"/>
    <w:rsid w:val="009A7F5B"/>
    <w:rsid w:val="009B26E6"/>
    <w:rsid w:val="009B310F"/>
    <w:rsid w:val="009B4C7A"/>
    <w:rsid w:val="009B72B9"/>
    <w:rsid w:val="009B7678"/>
    <w:rsid w:val="009C0BF4"/>
    <w:rsid w:val="009C26A8"/>
    <w:rsid w:val="009C3043"/>
    <w:rsid w:val="009C467D"/>
    <w:rsid w:val="009C4848"/>
    <w:rsid w:val="009C54CF"/>
    <w:rsid w:val="009C640F"/>
    <w:rsid w:val="009D0CB8"/>
    <w:rsid w:val="009D0E21"/>
    <w:rsid w:val="009D2488"/>
    <w:rsid w:val="009D4EF9"/>
    <w:rsid w:val="009D60A4"/>
    <w:rsid w:val="009D733D"/>
    <w:rsid w:val="009E27FC"/>
    <w:rsid w:val="009E2B6A"/>
    <w:rsid w:val="009E4C01"/>
    <w:rsid w:val="009E56D2"/>
    <w:rsid w:val="009E7241"/>
    <w:rsid w:val="009E7B58"/>
    <w:rsid w:val="009F0C16"/>
    <w:rsid w:val="009F28EB"/>
    <w:rsid w:val="009F47A1"/>
    <w:rsid w:val="009F7A89"/>
    <w:rsid w:val="00A027A1"/>
    <w:rsid w:val="00A02BAD"/>
    <w:rsid w:val="00A04416"/>
    <w:rsid w:val="00A047E9"/>
    <w:rsid w:val="00A0689E"/>
    <w:rsid w:val="00A10DBA"/>
    <w:rsid w:val="00A11A20"/>
    <w:rsid w:val="00A12B68"/>
    <w:rsid w:val="00A12E70"/>
    <w:rsid w:val="00A17BD8"/>
    <w:rsid w:val="00A21833"/>
    <w:rsid w:val="00A22334"/>
    <w:rsid w:val="00A22D53"/>
    <w:rsid w:val="00A23E98"/>
    <w:rsid w:val="00A24EA7"/>
    <w:rsid w:val="00A25E51"/>
    <w:rsid w:val="00A27AB4"/>
    <w:rsid w:val="00A27D94"/>
    <w:rsid w:val="00A31C44"/>
    <w:rsid w:val="00A3364F"/>
    <w:rsid w:val="00A34592"/>
    <w:rsid w:val="00A36659"/>
    <w:rsid w:val="00A36FAF"/>
    <w:rsid w:val="00A37382"/>
    <w:rsid w:val="00A42F9F"/>
    <w:rsid w:val="00A46467"/>
    <w:rsid w:val="00A4756D"/>
    <w:rsid w:val="00A478BB"/>
    <w:rsid w:val="00A47FD3"/>
    <w:rsid w:val="00A520E2"/>
    <w:rsid w:val="00A53022"/>
    <w:rsid w:val="00A53192"/>
    <w:rsid w:val="00A5441C"/>
    <w:rsid w:val="00A569CD"/>
    <w:rsid w:val="00A56FD7"/>
    <w:rsid w:val="00A57283"/>
    <w:rsid w:val="00A60C97"/>
    <w:rsid w:val="00A6126D"/>
    <w:rsid w:val="00A62B45"/>
    <w:rsid w:val="00A6563C"/>
    <w:rsid w:val="00A6777B"/>
    <w:rsid w:val="00A73BB8"/>
    <w:rsid w:val="00A75B51"/>
    <w:rsid w:val="00A7609C"/>
    <w:rsid w:val="00A76AE9"/>
    <w:rsid w:val="00A830FF"/>
    <w:rsid w:val="00A83718"/>
    <w:rsid w:val="00A84340"/>
    <w:rsid w:val="00A84BA1"/>
    <w:rsid w:val="00A864CD"/>
    <w:rsid w:val="00A90A61"/>
    <w:rsid w:val="00A92A72"/>
    <w:rsid w:val="00A955D9"/>
    <w:rsid w:val="00A95DD0"/>
    <w:rsid w:val="00A96550"/>
    <w:rsid w:val="00A97211"/>
    <w:rsid w:val="00AA2704"/>
    <w:rsid w:val="00AA309D"/>
    <w:rsid w:val="00AA3F9D"/>
    <w:rsid w:val="00AA419A"/>
    <w:rsid w:val="00AA5763"/>
    <w:rsid w:val="00AB25FC"/>
    <w:rsid w:val="00AB2C4E"/>
    <w:rsid w:val="00AB3773"/>
    <w:rsid w:val="00AB4899"/>
    <w:rsid w:val="00AB53B8"/>
    <w:rsid w:val="00AB678F"/>
    <w:rsid w:val="00AB7213"/>
    <w:rsid w:val="00AC01B7"/>
    <w:rsid w:val="00AC1090"/>
    <w:rsid w:val="00AC1A87"/>
    <w:rsid w:val="00AC342A"/>
    <w:rsid w:val="00AC49EC"/>
    <w:rsid w:val="00AC5ABE"/>
    <w:rsid w:val="00AC5ED2"/>
    <w:rsid w:val="00AC7398"/>
    <w:rsid w:val="00AD1CE9"/>
    <w:rsid w:val="00AD227D"/>
    <w:rsid w:val="00AD306F"/>
    <w:rsid w:val="00AD33D4"/>
    <w:rsid w:val="00AD4497"/>
    <w:rsid w:val="00AD529F"/>
    <w:rsid w:val="00AE2677"/>
    <w:rsid w:val="00AE55B2"/>
    <w:rsid w:val="00AE5CAC"/>
    <w:rsid w:val="00AF0C55"/>
    <w:rsid w:val="00AF2503"/>
    <w:rsid w:val="00AF79EF"/>
    <w:rsid w:val="00B01852"/>
    <w:rsid w:val="00B043BF"/>
    <w:rsid w:val="00B06728"/>
    <w:rsid w:val="00B07C69"/>
    <w:rsid w:val="00B11124"/>
    <w:rsid w:val="00B14747"/>
    <w:rsid w:val="00B20336"/>
    <w:rsid w:val="00B214A0"/>
    <w:rsid w:val="00B249CE"/>
    <w:rsid w:val="00B2506E"/>
    <w:rsid w:val="00B31F7A"/>
    <w:rsid w:val="00B32502"/>
    <w:rsid w:val="00B335C1"/>
    <w:rsid w:val="00B353A3"/>
    <w:rsid w:val="00B3543B"/>
    <w:rsid w:val="00B363BA"/>
    <w:rsid w:val="00B36BA3"/>
    <w:rsid w:val="00B37302"/>
    <w:rsid w:val="00B40DF6"/>
    <w:rsid w:val="00B414C3"/>
    <w:rsid w:val="00B41D5A"/>
    <w:rsid w:val="00B426FC"/>
    <w:rsid w:val="00B44DDC"/>
    <w:rsid w:val="00B450F6"/>
    <w:rsid w:val="00B455A0"/>
    <w:rsid w:val="00B4617A"/>
    <w:rsid w:val="00B502B6"/>
    <w:rsid w:val="00B51538"/>
    <w:rsid w:val="00B53C8D"/>
    <w:rsid w:val="00B54457"/>
    <w:rsid w:val="00B5483E"/>
    <w:rsid w:val="00B61F1C"/>
    <w:rsid w:val="00B629E6"/>
    <w:rsid w:val="00B6739C"/>
    <w:rsid w:val="00B67A8E"/>
    <w:rsid w:val="00B70372"/>
    <w:rsid w:val="00B71840"/>
    <w:rsid w:val="00B73FDE"/>
    <w:rsid w:val="00B75DCE"/>
    <w:rsid w:val="00B77084"/>
    <w:rsid w:val="00B82B4A"/>
    <w:rsid w:val="00B834BE"/>
    <w:rsid w:val="00B83A58"/>
    <w:rsid w:val="00B8556A"/>
    <w:rsid w:val="00B86DB7"/>
    <w:rsid w:val="00B93C02"/>
    <w:rsid w:val="00B96EBF"/>
    <w:rsid w:val="00BA06EA"/>
    <w:rsid w:val="00BA0D26"/>
    <w:rsid w:val="00BA193E"/>
    <w:rsid w:val="00BA2587"/>
    <w:rsid w:val="00BA342A"/>
    <w:rsid w:val="00BA3BD0"/>
    <w:rsid w:val="00BA3D0B"/>
    <w:rsid w:val="00BA57DB"/>
    <w:rsid w:val="00BA5CC6"/>
    <w:rsid w:val="00BB0D72"/>
    <w:rsid w:val="00BB2032"/>
    <w:rsid w:val="00BB2D3C"/>
    <w:rsid w:val="00BB33AA"/>
    <w:rsid w:val="00BB363F"/>
    <w:rsid w:val="00BB60DB"/>
    <w:rsid w:val="00BB6BF1"/>
    <w:rsid w:val="00BB7D62"/>
    <w:rsid w:val="00BC02BE"/>
    <w:rsid w:val="00BC0DA7"/>
    <w:rsid w:val="00BC34C7"/>
    <w:rsid w:val="00BC56B4"/>
    <w:rsid w:val="00BC6283"/>
    <w:rsid w:val="00BC66F9"/>
    <w:rsid w:val="00BD0B07"/>
    <w:rsid w:val="00BD1448"/>
    <w:rsid w:val="00BD36D5"/>
    <w:rsid w:val="00BD67D9"/>
    <w:rsid w:val="00BE01AC"/>
    <w:rsid w:val="00BE0572"/>
    <w:rsid w:val="00BE63A5"/>
    <w:rsid w:val="00BE6425"/>
    <w:rsid w:val="00BE64F8"/>
    <w:rsid w:val="00BF013A"/>
    <w:rsid w:val="00BF0B3B"/>
    <w:rsid w:val="00BF24DC"/>
    <w:rsid w:val="00BF30AA"/>
    <w:rsid w:val="00BF39BA"/>
    <w:rsid w:val="00BF4120"/>
    <w:rsid w:val="00BF68D9"/>
    <w:rsid w:val="00BF7390"/>
    <w:rsid w:val="00BF753B"/>
    <w:rsid w:val="00C05B35"/>
    <w:rsid w:val="00C0685B"/>
    <w:rsid w:val="00C105B3"/>
    <w:rsid w:val="00C1186A"/>
    <w:rsid w:val="00C16143"/>
    <w:rsid w:val="00C16364"/>
    <w:rsid w:val="00C171CF"/>
    <w:rsid w:val="00C177F4"/>
    <w:rsid w:val="00C203EB"/>
    <w:rsid w:val="00C20A4D"/>
    <w:rsid w:val="00C20FFA"/>
    <w:rsid w:val="00C21287"/>
    <w:rsid w:val="00C222DC"/>
    <w:rsid w:val="00C23433"/>
    <w:rsid w:val="00C24D12"/>
    <w:rsid w:val="00C2506F"/>
    <w:rsid w:val="00C25C01"/>
    <w:rsid w:val="00C30766"/>
    <w:rsid w:val="00C30D87"/>
    <w:rsid w:val="00C30F12"/>
    <w:rsid w:val="00C31A8B"/>
    <w:rsid w:val="00C32B77"/>
    <w:rsid w:val="00C330E3"/>
    <w:rsid w:val="00C3410C"/>
    <w:rsid w:val="00C342D3"/>
    <w:rsid w:val="00C349A5"/>
    <w:rsid w:val="00C35413"/>
    <w:rsid w:val="00C3562C"/>
    <w:rsid w:val="00C35E6D"/>
    <w:rsid w:val="00C35FEC"/>
    <w:rsid w:val="00C36168"/>
    <w:rsid w:val="00C367CB"/>
    <w:rsid w:val="00C367E6"/>
    <w:rsid w:val="00C37B28"/>
    <w:rsid w:val="00C40141"/>
    <w:rsid w:val="00C425CE"/>
    <w:rsid w:val="00C42EF8"/>
    <w:rsid w:val="00C46720"/>
    <w:rsid w:val="00C503AD"/>
    <w:rsid w:val="00C5120B"/>
    <w:rsid w:val="00C522CD"/>
    <w:rsid w:val="00C54E18"/>
    <w:rsid w:val="00C577D8"/>
    <w:rsid w:val="00C60EEB"/>
    <w:rsid w:val="00C61E22"/>
    <w:rsid w:val="00C64C39"/>
    <w:rsid w:val="00C65BFE"/>
    <w:rsid w:val="00C660CB"/>
    <w:rsid w:val="00C67852"/>
    <w:rsid w:val="00C70019"/>
    <w:rsid w:val="00C7320D"/>
    <w:rsid w:val="00C77C62"/>
    <w:rsid w:val="00C83C73"/>
    <w:rsid w:val="00C85525"/>
    <w:rsid w:val="00C858BD"/>
    <w:rsid w:val="00C85D4C"/>
    <w:rsid w:val="00C8767E"/>
    <w:rsid w:val="00C90F9D"/>
    <w:rsid w:val="00C9164D"/>
    <w:rsid w:val="00C93F9B"/>
    <w:rsid w:val="00C950B0"/>
    <w:rsid w:val="00C95BE6"/>
    <w:rsid w:val="00CA2926"/>
    <w:rsid w:val="00CA2A75"/>
    <w:rsid w:val="00CA36EA"/>
    <w:rsid w:val="00CA605D"/>
    <w:rsid w:val="00CA63B0"/>
    <w:rsid w:val="00CA68F6"/>
    <w:rsid w:val="00CB0FEE"/>
    <w:rsid w:val="00CB1071"/>
    <w:rsid w:val="00CB1B3D"/>
    <w:rsid w:val="00CB2E28"/>
    <w:rsid w:val="00CB70A0"/>
    <w:rsid w:val="00CB7C08"/>
    <w:rsid w:val="00CB7D4C"/>
    <w:rsid w:val="00CC00E7"/>
    <w:rsid w:val="00CC18D4"/>
    <w:rsid w:val="00CC2732"/>
    <w:rsid w:val="00CC2ABB"/>
    <w:rsid w:val="00CC3712"/>
    <w:rsid w:val="00CC39EA"/>
    <w:rsid w:val="00CC3F18"/>
    <w:rsid w:val="00CC5329"/>
    <w:rsid w:val="00CC67B4"/>
    <w:rsid w:val="00CC7155"/>
    <w:rsid w:val="00CC7EDB"/>
    <w:rsid w:val="00CD4453"/>
    <w:rsid w:val="00CD5681"/>
    <w:rsid w:val="00CD7BD0"/>
    <w:rsid w:val="00CE4033"/>
    <w:rsid w:val="00CE4A1E"/>
    <w:rsid w:val="00CF064C"/>
    <w:rsid w:val="00CF2069"/>
    <w:rsid w:val="00CF3189"/>
    <w:rsid w:val="00CF58C1"/>
    <w:rsid w:val="00CF7114"/>
    <w:rsid w:val="00D001EF"/>
    <w:rsid w:val="00D01887"/>
    <w:rsid w:val="00D03F14"/>
    <w:rsid w:val="00D044A8"/>
    <w:rsid w:val="00D062B2"/>
    <w:rsid w:val="00D06B72"/>
    <w:rsid w:val="00D07295"/>
    <w:rsid w:val="00D0780E"/>
    <w:rsid w:val="00D10287"/>
    <w:rsid w:val="00D10948"/>
    <w:rsid w:val="00D11A7F"/>
    <w:rsid w:val="00D14591"/>
    <w:rsid w:val="00D17730"/>
    <w:rsid w:val="00D21A98"/>
    <w:rsid w:val="00D2264D"/>
    <w:rsid w:val="00D22C8C"/>
    <w:rsid w:val="00D23395"/>
    <w:rsid w:val="00D241CB"/>
    <w:rsid w:val="00D24DE5"/>
    <w:rsid w:val="00D25AE9"/>
    <w:rsid w:val="00D264C2"/>
    <w:rsid w:val="00D278C4"/>
    <w:rsid w:val="00D27D0C"/>
    <w:rsid w:val="00D3069C"/>
    <w:rsid w:val="00D334CE"/>
    <w:rsid w:val="00D3499A"/>
    <w:rsid w:val="00D34D36"/>
    <w:rsid w:val="00D35579"/>
    <w:rsid w:val="00D37160"/>
    <w:rsid w:val="00D40402"/>
    <w:rsid w:val="00D409EA"/>
    <w:rsid w:val="00D43343"/>
    <w:rsid w:val="00D43398"/>
    <w:rsid w:val="00D43E72"/>
    <w:rsid w:val="00D44F43"/>
    <w:rsid w:val="00D512DB"/>
    <w:rsid w:val="00D61092"/>
    <w:rsid w:val="00D67942"/>
    <w:rsid w:val="00D72CFD"/>
    <w:rsid w:val="00D73102"/>
    <w:rsid w:val="00D75331"/>
    <w:rsid w:val="00D75740"/>
    <w:rsid w:val="00D7749C"/>
    <w:rsid w:val="00D800D5"/>
    <w:rsid w:val="00D8118A"/>
    <w:rsid w:val="00D81B00"/>
    <w:rsid w:val="00D82E5A"/>
    <w:rsid w:val="00D85422"/>
    <w:rsid w:val="00D86238"/>
    <w:rsid w:val="00D869C6"/>
    <w:rsid w:val="00D86B9D"/>
    <w:rsid w:val="00D8759B"/>
    <w:rsid w:val="00D921A2"/>
    <w:rsid w:val="00D92C11"/>
    <w:rsid w:val="00D9367A"/>
    <w:rsid w:val="00D9457F"/>
    <w:rsid w:val="00D94B7D"/>
    <w:rsid w:val="00DA0785"/>
    <w:rsid w:val="00DA12C2"/>
    <w:rsid w:val="00DA4356"/>
    <w:rsid w:val="00DA649F"/>
    <w:rsid w:val="00DA681F"/>
    <w:rsid w:val="00DA722D"/>
    <w:rsid w:val="00DA73EC"/>
    <w:rsid w:val="00DB0050"/>
    <w:rsid w:val="00DB1B56"/>
    <w:rsid w:val="00DB2C77"/>
    <w:rsid w:val="00DB370D"/>
    <w:rsid w:val="00DB45CD"/>
    <w:rsid w:val="00DB7ED9"/>
    <w:rsid w:val="00DC057A"/>
    <w:rsid w:val="00DC0DC4"/>
    <w:rsid w:val="00DC0F30"/>
    <w:rsid w:val="00DC30DC"/>
    <w:rsid w:val="00DC5B37"/>
    <w:rsid w:val="00DC79D4"/>
    <w:rsid w:val="00DD192B"/>
    <w:rsid w:val="00DD4988"/>
    <w:rsid w:val="00DD4BC0"/>
    <w:rsid w:val="00DD7EB2"/>
    <w:rsid w:val="00DE1C19"/>
    <w:rsid w:val="00DE2A21"/>
    <w:rsid w:val="00DE359D"/>
    <w:rsid w:val="00DE4651"/>
    <w:rsid w:val="00DE4DB4"/>
    <w:rsid w:val="00DE5485"/>
    <w:rsid w:val="00DE6BFB"/>
    <w:rsid w:val="00DF1E4D"/>
    <w:rsid w:val="00DF27FF"/>
    <w:rsid w:val="00DF45EE"/>
    <w:rsid w:val="00DF6FCB"/>
    <w:rsid w:val="00DF775B"/>
    <w:rsid w:val="00E03660"/>
    <w:rsid w:val="00E0397D"/>
    <w:rsid w:val="00E0428C"/>
    <w:rsid w:val="00E1404F"/>
    <w:rsid w:val="00E14B63"/>
    <w:rsid w:val="00E15A10"/>
    <w:rsid w:val="00E15B27"/>
    <w:rsid w:val="00E1654E"/>
    <w:rsid w:val="00E2071D"/>
    <w:rsid w:val="00E2508C"/>
    <w:rsid w:val="00E2791B"/>
    <w:rsid w:val="00E331DC"/>
    <w:rsid w:val="00E33E47"/>
    <w:rsid w:val="00E342DB"/>
    <w:rsid w:val="00E36685"/>
    <w:rsid w:val="00E374C5"/>
    <w:rsid w:val="00E37CC0"/>
    <w:rsid w:val="00E37F77"/>
    <w:rsid w:val="00E37F9A"/>
    <w:rsid w:val="00E468DA"/>
    <w:rsid w:val="00E47F98"/>
    <w:rsid w:val="00E47FFE"/>
    <w:rsid w:val="00E50492"/>
    <w:rsid w:val="00E51970"/>
    <w:rsid w:val="00E53F54"/>
    <w:rsid w:val="00E541EB"/>
    <w:rsid w:val="00E640F0"/>
    <w:rsid w:val="00E66438"/>
    <w:rsid w:val="00E66E73"/>
    <w:rsid w:val="00E670E4"/>
    <w:rsid w:val="00E672DE"/>
    <w:rsid w:val="00E723E3"/>
    <w:rsid w:val="00E729EF"/>
    <w:rsid w:val="00E72BCB"/>
    <w:rsid w:val="00E735BC"/>
    <w:rsid w:val="00E738E2"/>
    <w:rsid w:val="00E73C1D"/>
    <w:rsid w:val="00E75505"/>
    <w:rsid w:val="00E767BA"/>
    <w:rsid w:val="00E80629"/>
    <w:rsid w:val="00E82A9A"/>
    <w:rsid w:val="00E8680E"/>
    <w:rsid w:val="00E86BB1"/>
    <w:rsid w:val="00E87CAE"/>
    <w:rsid w:val="00E92210"/>
    <w:rsid w:val="00E925C3"/>
    <w:rsid w:val="00E953C9"/>
    <w:rsid w:val="00E97F2C"/>
    <w:rsid w:val="00EA179B"/>
    <w:rsid w:val="00EA21BA"/>
    <w:rsid w:val="00EA5401"/>
    <w:rsid w:val="00EA5528"/>
    <w:rsid w:val="00EA6418"/>
    <w:rsid w:val="00EA6C41"/>
    <w:rsid w:val="00EA79A8"/>
    <w:rsid w:val="00EA7F75"/>
    <w:rsid w:val="00EB1146"/>
    <w:rsid w:val="00EB20AC"/>
    <w:rsid w:val="00EB21AB"/>
    <w:rsid w:val="00EB3A88"/>
    <w:rsid w:val="00EB3E78"/>
    <w:rsid w:val="00EB7462"/>
    <w:rsid w:val="00EB74A6"/>
    <w:rsid w:val="00EC139B"/>
    <w:rsid w:val="00EC14AC"/>
    <w:rsid w:val="00EC1B55"/>
    <w:rsid w:val="00EC1C9E"/>
    <w:rsid w:val="00EC4B29"/>
    <w:rsid w:val="00EC4D70"/>
    <w:rsid w:val="00EC6ED8"/>
    <w:rsid w:val="00EC778B"/>
    <w:rsid w:val="00ED29A5"/>
    <w:rsid w:val="00ED5828"/>
    <w:rsid w:val="00ED5975"/>
    <w:rsid w:val="00ED668D"/>
    <w:rsid w:val="00ED7D65"/>
    <w:rsid w:val="00EE0D63"/>
    <w:rsid w:val="00EE19C7"/>
    <w:rsid w:val="00EE1CB2"/>
    <w:rsid w:val="00EE3C65"/>
    <w:rsid w:val="00EE4408"/>
    <w:rsid w:val="00EF0911"/>
    <w:rsid w:val="00EF0C62"/>
    <w:rsid w:val="00EF1B9F"/>
    <w:rsid w:val="00EF1C23"/>
    <w:rsid w:val="00EF2B6B"/>
    <w:rsid w:val="00EF2F9C"/>
    <w:rsid w:val="00EF4133"/>
    <w:rsid w:val="00EF4B52"/>
    <w:rsid w:val="00EF4E64"/>
    <w:rsid w:val="00EF6E19"/>
    <w:rsid w:val="00F03D96"/>
    <w:rsid w:val="00F05B4A"/>
    <w:rsid w:val="00F05B87"/>
    <w:rsid w:val="00F063A5"/>
    <w:rsid w:val="00F10776"/>
    <w:rsid w:val="00F15696"/>
    <w:rsid w:val="00F15FA1"/>
    <w:rsid w:val="00F16B74"/>
    <w:rsid w:val="00F1728B"/>
    <w:rsid w:val="00F21073"/>
    <w:rsid w:val="00F21B0A"/>
    <w:rsid w:val="00F2212F"/>
    <w:rsid w:val="00F24527"/>
    <w:rsid w:val="00F26F00"/>
    <w:rsid w:val="00F27F0C"/>
    <w:rsid w:val="00F30134"/>
    <w:rsid w:val="00F31C5B"/>
    <w:rsid w:val="00F3246F"/>
    <w:rsid w:val="00F36117"/>
    <w:rsid w:val="00F37E1B"/>
    <w:rsid w:val="00F407B4"/>
    <w:rsid w:val="00F40ABF"/>
    <w:rsid w:val="00F41BD9"/>
    <w:rsid w:val="00F43C9D"/>
    <w:rsid w:val="00F43D29"/>
    <w:rsid w:val="00F43D6D"/>
    <w:rsid w:val="00F44D69"/>
    <w:rsid w:val="00F45788"/>
    <w:rsid w:val="00F45C76"/>
    <w:rsid w:val="00F4780A"/>
    <w:rsid w:val="00F5000C"/>
    <w:rsid w:val="00F513B5"/>
    <w:rsid w:val="00F515B2"/>
    <w:rsid w:val="00F52CBA"/>
    <w:rsid w:val="00F53957"/>
    <w:rsid w:val="00F5476F"/>
    <w:rsid w:val="00F54D9A"/>
    <w:rsid w:val="00F56AC4"/>
    <w:rsid w:val="00F57617"/>
    <w:rsid w:val="00F63B16"/>
    <w:rsid w:val="00F6408E"/>
    <w:rsid w:val="00F66F9F"/>
    <w:rsid w:val="00F673B1"/>
    <w:rsid w:val="00F701D7"/>
    <w:rsid w:val="00F717DA"/>
    <w:rsid w:val="00F7295C"/>
    <w:rsid w:val="00F72F23"/>
    <w:rsid w:val="00F72F39"/>
    <w:rsid w:val="00F7479B"/>
    <w:rsid w:val="00F76306"/>
    <w:rsid w:val="00F83F0C"/>
    <w:rsid w:val="00F84484"/>
    <w:rsid w:val="00F87224"/>
    <w:rsid w:val="00F87F62"/>
    <w:rsid w:val="00F915F1"/>
    <w:rsid w:val="00F9310F"/>
    <w:rsid w:val="00F94C38"/>
    <w:rsid w:val="00F9638B"/>
    <w:rsid w:val="00F966B7"/>
    <w:rsid w:val="00F97565"/>
    <w:rsid w:val="00F979FE"/>
    <w:rsid w:val="00FA2F57"/>
    <w:rsid w:val="00FA500F"/>
    <w:rsid w:val="00FA7DD4"/>
    <w:rsid w:val="00FB27C0"/>
    <w:rsid w:val="00FB33E2"/>
    <w:rsid w:val="00FB5A4F"/>
    <w:rsid w:val="00FB6051"/>
    <w:rsid w:val="00FC008A"/>
    <w:rsid w:val="00FC78A9"/>
    <w:rsid w:val="00FD0EDA"/>
    <w:rsid w:val="00FD408D"/>
    <w:rsid w:val="00FD451E"/>
    <w:rsid w:val="00FE1473"/>
    <w:rsid w:val="00FE23F5"/>
    <w:rsid w:val="00FE2483"/>
    <w:rsid w:val="00FE2E0E"/>
    <w:rsid w:val="00FE42B1"/>
    <w:rsid w:val="00FE54B1"/>
    <w:rsid w:val="00FF02EA"/>
    <w:rsid w:val="00FF329D"/>
    <w:rsid w:val="00FF39F0"/>
    <w:rsid w:val="00FF4FE5"/>
    <w:rsid w:val="00FF6B26"/>
    <w:rsid w:val="00FF6EC0"/>
    <w:rsid w:val="00FF703E"/>
    <w:rsid w:val="00FF7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F27F0C"/>
    <w:pPr>
      <w:spacing w:before="240"/>
    </w:pPr>
    <w:rPr>
      <w:color w:val="000000"/>
      <w:sz w:val="24"/>
      <w:szCs w:val="24"/>
      <w:lang w:eastAsia="en-US"/>
    </w:rPr>
  </w:style>
  <w:style w:type="paragraph" w:styleId="Heading1">
    <w:name w:val="heading 1"/>
    <w:next w:val="Normal"/>
    <w:link w:val="Heading1Char"/>
    <w:qFormat/>
    <w:rsid w:val="0043198B"/>
    <w:pPr>
      <w:keepNext/>
      <w:pageBreakBefore/>
      <w:numPr>
        <w:numId w:val="57"/>
      </w:numPr>
      <w:spacing w:before="480"/>
      <w:outlineLvl w:val="0"/>
    </w:pPr>
    <w:rPr>
      <w:rFonts w:ascii="Arial" w:eastAsia="MS Gothic" w:hAnsi="Arial" w:cs="Arial"/>
      <w:b/>
      <w:bCs/>
      <w:caps/>
      <w:kern w:val="32"/>
      <w:sz w:val="28"/>
      <w:szCs w:val="32"/>
      <w:lang w:eastAsia="en-US"/>
    </w:rPr>
  </w:style>
  <w:style w:type="paragraph" w:styleId="Heading2">
    <w:name w:val="heading 2"/>
    <w:basedOn w:val="Heading1"/>
    <w:next w:val="Normal"/>
    <w:link w:val="Heading2Char"/>
    <w:qFormat/>
    <w:rsid w:val="0043198B"/>
    <w:pPr>
      <w:pageBreakBefore w:val="0"/>
      <w:numPr>
        <w:ilvl w:val="1"/>
      </w:numPr>
      <w:outlineLvl w:val="1"/>
    </w:pPr>
    <w:rPr>
      <w:bCs w:val="0"/>
      <w:iCs/>
      <w:sz w:val="22"/>
      <w:szCs w:val="28"/>
    </w:rPr>
  </w:style>
  <w:style w:type="paragraph" w:styleId="Heading3">
    <w:name w:val="heading 3"/>
    <w:basedOn w:val="Heading1"/>
    <w:next w:val="Normal"/>
    <w:link w:val="Heading3Char"/>
    <w:qFormat/>
    <w:rsid w:val="0043198B"/>
    <w:pPr>
      <w:pageBreakBefore w:val="0"/>
      <w:numPr>
        <w:ilvl w:val="2"/>
      </w:numPr>
      <w:spacing w:before="360"/>
      <w:outlineLvl w:val="2"/>
    </w:pPr>
    <w:rPr>
      <w:bCs w:val="0"/>
      <w:caps w:val="0"/>
      <w:sz w:val="22"/>
      <w:szCs w:val="26"/>
    </w:rPr>
  </w:style>
  <w:style w:type="paragraph" w:styleId="Heading4">
    <w:name w:val="heading 4"/>
    <w:basedOn w:val="Heading1"/>
    <w:next w:val="Normal"/>
    <w:link w:val="Heading4Char"/>
    <w:qFormat/>
    <w:rsid w:val="0043198B"/>
    <w:pPr>
      <w:pageBreakBefore w:val="0"/>
      <w:numPr>
        <w:ilvl w:val="3"/>
      </w:numPr>
      <w:spacing w:before="360"/>
      <w:outlineLvl w:val="3"/>
    </w:pPr>
    <w:rPr>
      <w:bCs w:val="0"/>
      <w:i/>
      <w:caps w:val="0"/>
      <w:sz w:val="22"/>
      <w:szCs w:val="28"/>
    </w:rPr>
  </w:style>
  <w:style w:type="paragraph" w:styleId="Heading5">
    <w:name w:val="heading 5"/>
    <w:basedOn w:val="Heading1"/>
    <w:next w:val="Normal"/>
    <w:link w:val="Heading5Char"/>
    <w:qFormat/>
    <w:rsid w:val="0043198B"/>
    <w:pPr>
      <w:pageBreakBefore w:val="0"/>
      <w:numPr>
        <w:ilvl w:val="4"/>
      </w:numPr>
      <w:spacing w:before="360"/>
      <w:outlineLvl w:val="4"/>
    </w:pPr>
    <w:rPr>
      <w:b w:val="0"/>
      <w:bCs w:val="0"/>
      <w:i/>
      <w:iCs/>
      <w:caps w:val="0"/>
      <w:sz w:val="22"/>
      <w:szCs w:val="26"/>
    </w:rPr>
  </w:style>
  <w:style w:type="paragraph" w:styleId="Heading6">
    <w:name w:val="heading 6"/>
    <w:basedOn w:val="Heading1"/>
    <w:next w:val="Normal"/>
    <w:link w:val="Heading6Char"/>
    <w:qFormat/>
    <w:rsid w:val="0043198B"/>
    <w:pPr>
      <w:pageBreakBefore w:val="0"/>
      <w:numPr>
        <w:ilvl w:val="5"/>
      </w:numPr>
      <w:spacing w:before="360"/>
      <w:outlineLvl w:val="5"/>
    </w:pPr>
    <w:rPr>
      <w:b w:val="0"/>
      <w:bCs w:val="0"/>
      <w:caps w:val="0"/>
      <w:sz w:val="22"/>
      <w:szCs w:val="22"/>
    </w:rPr>
  </w:style>
  <w:style w:type="paragraph" w:styleId="Heading7">
    <w:name w:val="heading 7"/>
    <w:basedOn w:val="Heading6"/>
    <w:next w:val="Normal"/>
    <w:link w:val="Heading7Char"/>
    <w:qFormat/>
    <w:rsid w:val="0043198B"/>
    <w:pPr>
      <w:numPr>
        <w:ilvl w:val="6"/>
      </w:numPr>
      <w:outlineLvl w:val="6"/>
    </w:pPr>
  </w:style>
  <w:style w:type="paragraph" w:styleId="Heading8">
    <w:name w:val="heading 8"/>
    <w:basedOn w:val="Heading6"/>
    <w:next w:val="Normal"/>
    <w:link w:val="Heading8Char"/>
    <w:qFormat/>
    <w:rsid w:val="0043198B"/>
    <w:pPr>
      <w:numPr>
        <w:ilvl w:val="7"/>
      </w:numPr>
      <w:outlineLvl w:val="7"/>
    </w:pPr>
    <w:rPr>
      <w:iCs/>
    </w:rPr>
  </w:style>
  <w:style w:type="paragraph" w:styleId="Heading9">
    <w:name w:val="heading 9"/>
    <w:basedOn w:val="Heading6"/>
    <w:next w:val="Normal"/>
    <w:link w:val="Heading9Char"/>
    <w:qFormat/>
    <w:rsid w:val="0043198B"/>
    <w:pPr>
      <w:numPr>
        <w:ilvl w:val="8"/>
      </w:numPr>
      <w:tabs>
        <w:tab w:val="left" w:pos="1797"/>
      </w:tabs>
      <w:outlineLvl w:val="8"/>
    </w:pPr>
  </w:style>
  <w:style w:type="character" w:default="1" w:styleId="DefaultParagraphFont">
    <w:name w:val="Default Paragraph Font"/>
    <w:semiHidden/>
    <w:rsid w:val="00F27F0C"/>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F27F0C"/>
  </w:style>
  <w:style w:type="paragraph" w:customStyle="1" w:styleId="AppendixTitle">
    <w:name w:val="Appendix Title"/>
    <w:basedOn w:val="Heading2"/>
    <w:next w:val="Normal"/>
    <w:link w:val="AppendixTitleCar"/>
    <w:rsid w:val="00F27F0C"/>
    <w:pPr>
      <w:keepNext w:val="0"/>
      <w:pageBreakBefore/>
      <w:numPr>
        <w:ilvl w:val="0"/>
        <w:numId w:val="0"/>
      </w:numPr>
      <w:tabs>
        <w:tab w:val="left" w:pos="1701"/>
      </w:tabs>
      <w:ind w:left="1701" w:hanging="1701"/>
    </w:pPr>
    <w:rPr>
      <w:rFonts w:eastAsia="Times New Roman" w:cs="Times New Roman"/>
      <w:caps w:val="0"/>
      <w:sz w:val="24"/>
    </w:rPr>
  </w:style>
  <w:style w:type="character" w:customStyle="1" w:styleId="BoldCharacter">
    <w:name w:val="Bold Character"/>
    <w:rsid w:val="00F27F0C"/>
    <w:rPr>
      <w:b/>
    </w:rPr>
  </w:style>
  <w:style w:type="character" w:customStyle="1" w:styleId="xCoverCar">
    <w:name w:val="xCover Car"/>
    <w:link w:val="xCover"/>
    <w:rPr>
      <w:rFonts w:ascii="Arial" w:eastAsia="MS Gothic" w:hAnsi="Arial"/>
    </w:rPr>
  </w:style>
  <w:style w:type="paragraph" w:styleId="Caption">
    <w:name w:val="caption"/>
    <w:next w:val="Normal"/>
    <w:link w:val="CaptionChar"/>
    <w:qFormat/>
    <w:rsid w:val="00F27F0C"/>
    <w:pPr>
      <w:keepNext/>
      <w:spacing w:before="360" w:after="120"/>
      <w:jc w:val="center"/>
    </w:pPr>
    <w:rPr>
      <w:rFonts w:ascii="Arial" w:eastAsia="MS Gothic" w:hAnsi="Arial" w:cs="Arial"/>
      <w:b/>
      <w:bCs/>
      <w:lang w:eastAsia="en-US"/>
    </w:rPr>
  </w:style>
  <w:style w:type="character" w:styleId="EndnoteReference">
    <w:name w:val="endnote reference"/>
    <w:semiHidden/>
    <w:rsid w:val="00F27F0C"/>
    <w:rPr>
      <w:vertAlign w:val="superscript"/>
    </w:rPr>
  </w:style>
  <w:style w:type="paragraph" w:styleId="EndnoteText">
    <w:name w:val="endnote text"/>
    <w:basedOn w:val="Normal"/>
    <w:link w:val="EndnoteTextChar"/>
    <w:semiHidden/>
    <w:rsid w:val="00F27F0C"/>
    <w:rPr>
      <w:sz w:val="22"/>
      <w:szCs w:val="20"/>
    </w:rPr>
  </w:style>
  <w:style w:type="character" w:customStyle="1" w:styleId="xCoverDocTitleCar">
    <w:name w:val="xCoverDocTitle Car"/>
    <w:link w:val="xCoverDocTitle"/>
    <w:rPr>
      <w:rFonts w:ascii="Arial" w:eastAsia="MS Gothic" w:hAnsi="Arial"/>
      <w:b/>
      <w:sz w:val="24"/>
    </w:rPr>
  </w:style>
  <w:style w:type="paragraph" w:styleId="Footer">
    <w:name w:val="footer"/>
    <w:link w:val="FooterChar"/>
    <w:rsid w:val="00F27F0C"/>
    <w:pPr>
      <w:tabs>
        <w:tab w:val="right" w:pos="9469"/>
      </w:tabs>
    </w:pPr>
    <w:rPr>
      <w:rFonts w:ascii="Arial" w:eastAsia="MS Gothic" w:hAnsi="Arial"/>
      <w:sz w:val="18"/>
      <w:lang w:eastAsia="en-US"/>
    </w:rPr>
  </w:style>
  <w:style w:type="paragraph" w:customStyle="1" w:styleId="FooterLandscape">
    <w:name w:val="Footer Landscape"/>
    <w:basedOn w:val="Footer"/>
    <w:rsid w:val="00F27F0C"/>
    <w:pPr>
      <w:tabs>
        <w:tab w:val="clear" w:pos="9469"/>
        <w:tab w:val="right" w:pos="14118"/>
      </w:tabs>
    </w:pPr>
  </w:style>
  <w:style w:type="character" w:styleId="FootnoteReference">
    <w:name w:val="footnote reference"/>
    <w:rsid w:val="00F27F0C"/>
    <w:rPr>
      <w:rFonts w:ascii="Times New Roman" w:eastAsia="MS Mincho" w:hAnsi="Times New Roman"/>
      <w:color w:val="0000FF"/>
      <w:sz w:val="18"/>
      <w:vertAlign w:val="superscript"/>
    </w:rPr>
  </w:style>
  <w:style w:type="paragraph" w:styleId="FootnoteText">
    <w:name w:val="footnote text"/>
    <w:basedOn w:val="Normal"/>
    <w:link w:val="FootnoteTextChar"/>
    <w:rsid w:val="00F27F0C"/>
    <w:pPr>
      <w:spacing w:before="20"/>
      <w:ind w:left="113" w:hanging="113"/>
    </w:pPr>
    <w:rPr>
      <w:sz w:val="22"/>
      <w:szCs w:val="20"/>
    </w:rPr>
  </w:style>
  <w:style w:type="paragraph" w:styleId="Header">
    <w:name w:val="header"/>
    <w:link w:val="HeaderChar"/>
    <w:rsid w:val="00F27F0C"/>
    <w:pPr>
      <w:tabs>
        <w:tab w:val="left" w:pos="4536"/>
        <w:tab w:val="right" w:pos="9480"/>
      </w:tabs>
    </w:pPr>
    <w:rPr>
      <w:rFonts w:ascii="Arial" w:eastAsia="MS Gothic" w:hAnsi="Arial"/>
      <w:sz w:val="18"/>
      <w:lang w:eastAsia="en-US"/>
    </w:rPr>
  </w:style>
  <w:style w:type="paragraph" w:customStyle="1" w:styleId="HeaderLandscape">
    <w:name w:val="Header Landscape"/>
    <w:basedOn w:val="Header"/>
    <w:rsid w:val="00F27F0C"/>
    <w:pPr>
      <w:tabs>
        <w:tab w:val="clear" w:pos="4536"/>
        <w:tab w:val="clear" w:pos="9480"/>
        <w:tab w:val="left" w:pos="6804"/>
        <w:tab w:val="right" w:pos="14118"/>
      </w:tabs>
    </w:pPr>
  </w:style>
  <w:style w:type="paragraph" w:customStyle="1" w:styleId="Heading1NoNumbering">
    <w:name w:val="Heading 1 NoNumbering"/>
    <w:basedOn w:val="Heading1"/>
    <w:next w:val="Normal"/>
    <w:rsid w:val="007D6C5F"/>
    <w:pPr>
      <w:numPr>
        <w:numId w:val="0"/>
      </w:numPr>
      <w:tabs>
        <w:tab w:val="num" w:pos="0"/>
      </w:tabs>
    </w:pPr>
  </w:style>
  <w:style w:type="paragraph" w:customStyle="1" w:styleId="Heading1NoTOC">
    <w:name w:val="Heading 1 NoTOC"/>
    <w:basedOn w:val="Heading1"/>
    <w:rsid w:val="007D6C5F"/>
    <w:pPr>
      <w:numPr>
        <w:numId w:val="0"/>
      </w:numPr>
      <w:outlineLvl w:val="9"/>
    </w:pPr>
  </w:style>
  <w:style w:type="paragraph" w:styleId="MacroText">
    <w:name w:val="macro"/>
    <w:link w:val="MacroTextChar"/>
    <w:semiHidden/>
    <w:rsid w:val="00F27F0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eastAsia="en-US"/>
    </w:rPr>
  </w:style>
  <w:style w:type="paragraph" w:customStyle="1" w:styleId="Normalnospace">
    <w:name w:val="Normal nospace"/>
    <w:basedOn w:val="Normal"/>
    <w:link w:val="NormalnospaceChar1"/>
    <w:pPr>
      <w:spacing w:before="0"/>
    </w:pPr>
  </w:style>
  <w:style w:type="paragraph" w:customStyle="1" w:styleId="SubheadingProtocolOutline">
    <w:name w:val="Subheading Protocol Outline"/>
    <w:next w:val="Normalnospace"/>
    <w:pPr>
      <w:spacing w:before="120" w:after="120"/>
    </w:pPr>
    <w:rPr>
      <w:rFonts w:ascii="Arial" w:hAnsi="Arial"/>
      <w:b/>
      <w:noProof/>
      <w:color w:val="000000"/>
      <w:kern w:val="22"/>
      <w:sz w:val="24"/>
      <w:lang w:val="en-GB" w:eastAsia="en-US"/>
    </w:rPr>
  </w:style>
  <w:style w:type="paragraph" w:styleId="TableofFigures">
    <w:name w:val="table of figures"/>
    <w:next w:val="Normal"/>
    <w:uiPriority w:val="99"/>
    <w:rsid w:val="00F27F0C"/>
    <w:pPr>
      <w:tabs>
        <w:tab w:val="right" w:leader="dot" w:pos="9468"/>
      </w:tabs>
      <w:spacing w:before="120"/>
    </w:pPr>
    <w:rPr>
      <w:rFonts w:ascii="Arial" w:eastAsia="Times New Roman" w:hAnsi="Arial"/>
      <w:lang w:eastAsia="en-US"/>
    </w:rPr>
  </w:style>
  <w:style w:type="paragraph" w:customStyle="1" w:styleId="TblFigFootnote">
    <w:name w:val="Tbl Fig Footnote"/>
    <w:link w:val="TblFigFootnoteCar"/>
    <w:rsid w:val="00F27F0C"/>
    <w:pPr>
      <w:keepLines/>
      <w:adjustRightInd w:val="0"/>
      <w:snapToGrid w:val="0"/>
      <w:spacing w:before="20" w:after="20"/>
    </w:pPr>
    <w:rPr>
      <w:rFonts w:ascii="Arial Narrow" w:eastAsia="MS Gothic" w:hAnsi="Arial Narrow"/>
      <w:sz w:val="18"/>
      <w:lang w:eastAsia="en-US"/>
    </w:rPr>
  </w:style>
  <w:style w:type="character" w:customStyle="1" w:styleId="TblFigFootnoteReference">
    <w:name w:val="Tbl Fig Footnote Reference"/>
    <w:rsid w:val="00F27F0C"/>
    <w:rPr>
      <w:rFonts w:ascii="Arial Narrow" w:eastAsia="MS Gothic" w:hAnsi="Arial Narrow"/>
      <w:i/>
      <w:dstrike w:val="0"/>
      <w:noProof w:val="0"/>
      <w:position w:val="6"/>
      <w:sz w:val="18"/>
      <w:vertAlign w:val="baseline"/>
      <w:lang w:val="en-US"/>
    </w:rPr>
  </w:style>
  <w:style w:type="paragraph" w:customStyle="1" w:styleId="TblHeadingLeft">
    <w:name w:val="Tbl Heading Left"/>
    <w:link w:val="TblHeadingLeftCar"/>
    <w:rsid w:val="00F27F0C"/>
    <w:pPr>
      <w:spacing w:before="60" w:after="60"/>
    </w:pPr>
    <w:rPr>
      <w:rFonts w:ascii="Arial" w:eastAsia="MS Gothic" w:hAnsi="Arial" w:cs="Arial"/>
      <w:b/>
      <w:noProof/>
      <w:lang w:val="de-DE" w:eastAsia="en-US"/>
    </w:rPr>
  </w:style>
  <w:style w:type="paragraph" w:customStyle="1" w:styleId="TblHeadingCenter">
    <w:name w:val="Tbl Heading Center"/>
    <w:basedOn w:val="TblHeadingLeft"/>
    <w:link w:val="TblHeadingCenterChar"/>
    <w:rsid w:val="00F27F0C"/>
    <w:pPr>
      <w:jc w:val="center"/>
    </w:pPr>
  </w:style>
  <w:style w:type="paragraph" w:customStyle="1" w:styleId="TblTextLeft">
    <w:name w:val="Tbl Text Left"/>
    <w:link w:val="TblTextLeftChar"/>
    <w:rsid w:val="00F27F0C"/>
    <w:pPr>
      <w:spacing w:before="60" w:after="60"/>
    </w:pPr>
    <w:rPr>
      <w:rFonts w:ascii="Arial Narrow" w:eastAsia="MS Gothic" w:hAnsi="Arial Narrow"/>
      <w:lang w:eastAsia="en-US"/>
    </w:rPr>
  </w:style>
  <w:style w:type="paragraph" w:customStyle="1" w:styleId="TblTextCenter">
    <w:name w:val="Tbl Text Center"/>
    <w:basedOn w:val="TblTextLeft"/>
    <w:rsid w:val="00F27F0C"/>
    <w:pPr>
      <w:jc w:val="center"/>
    </w:pPr>
  </w:style>
  <w:style w:type="paragraph" w:styleId="Title">
    <w:name w:val="Title"/>
    <w:next w:val="Normal"/>
    <w:link w:val="TitleChar"/>
    <w:qFormat/>
    <w:rsid w:val="00F27F0C"/>
    <w:pPr>
      <w:keepNext/>
      <w:spacing w:before="600" w:after="480"/>
      <w:ind w:left="1"/>
      <w:jc w:val="center"/>
      <w:outlineLvl w:val="0"/>
    </w:pPr>
    <w:rPr>
      <w:rFonts w:ascii="Arial" w:eastAsia="MS Gothic" w:hAnsi="Arial" w:cs="Arial"/>
      <w:b/>
      <w:bCs/>
      <w:caps/>
      <w:sz w:val="22"/>
      <w:szCs w:val="32"/>
      <w:lang w:eastAsia="en-US"/>
    </w:rPr>
  </w:style>
  <w:style w:type="paragraph" w:customStyle="1" w:styleId="TitleApp">
    <w:name w:val="Title App"/>
    <w:next w:val="Normal"/>
    <w:pPr>
      <w:spacing w:before="240"/>
      <w:jc w:val="center"/>
    </w:pPr>
    <w:rPr>
      <w:rFonts w:ascii="Arial" w:hAnsi="Arial"/>
      <w:b/>
      <w:caps/>
      <w:lang w:eastAsia="en-US"/>
    </w:rPr>
  </w:style>
  <w:style w:type="paragraph" w:customStyle="1" w:styleId="TitleNoToc">
    <w:name w:val="Title NoToc"/>
    <w:basedOn w:val="Title"/>
    <w:next w:val="Normal"/>
    <w:rsid w:val="00F27F0C"/>
    <w:pPr>
      <w:ind w:left="0"/>
      <w:outlineLvl w:val="9"/>
    </w:pPr>
  </w:style>
  <w:style w:type="paragraph" w:styleId="TOC1">
    <w:name w:val="toc 1"/>
    <w:next w:val="Normal"/>
    <w:uiPriority w:val="39"/>
    <w:rsid w:val="00F27F0C"/>
    <w:pPr>
      <w:tabs>
        <w:tab w:val="right" w:leader="dot" w:pos="9468"/>
      </w:tabs>
      <w:spacing w:before="240"/>
      <w:ind w:left="851" w:right="567" w:hanging="851"/>
    </w:pPr>
    <w:rPr>
      <w:rFonts w:ascii="Arial" w:eastAsia="Times New Roman" w:hAnsi="Arial"/>
      <w:b/>
      <w:caps/>
      <w:lang w:eastAsia="en-US"/>
    </w:rPr>
  </w:style>
  <w:style w:type="paragraph" w:styleId="TOC2">
    <w:name w:val="toc 2"/>
    <w:basedOn w:val="TOC1"/>
    <w:next w:val="Normal"/>
    <w:uiPriority w:val="39"/>
    <w:rsid w:val="00F27F0C"/>
    <w:rPr>
      <w:b w:val="0"/>
    </w:rPr>
  </w:style>
  <w:style w:type="paragraph" w:styleId="TOC3">
    <w:name w:val="toc 3"/>
    <w:basedOn w:val="TOC1"/>
    <w:next w:val="Normal"/>
    <w:uiPriority w:val="39"/>
    <w:rsid w:val="00F27F0C"/>
    <w:pPr>
      <w:spacing w:before="120"/>
    </w:pPr>
    <w:rPr>
      <w:b w:val="0"/>
      <w:caps w:val="0"/>
    </w:rPr>
  </w:style>
  <w:style w:type="paragraph" w:styleId="TOC4">
    <w:name w:val="toc 4"/>
    <w:basedOn w:val="TOC1"/>
    <w:next w:val="Normal"/>
    <w:uiPriority w:val="39"/>
    <w:rsid w:val="00F27F0C"/>
    <w:pPr>
      <w:spacing w:before="40"/>
    </w:pPr>
    <w:rPr>
      <w:b w:val="0"/>
      <w:caps w:val="0"/>
      <w:szCs w:val="22"/>
    </w:rPr>
  </w:style>
  <w:style w:type="paragraph" w:styleId="TOC5">
    <w:name w:val="toc 5"/>
    <w:basedOn w:val="TOC1"/>
    <w:next w:val="Normal"/>
    <w:uiPriority w:val="39"/>
    <w:rsid w:val="00F27F0C"/>
    <w:pPr>
      <w:spacing w:before="0"/>
    </w:pPr>
    <w:rPr>
      <w:b w:val="0"/>
      <w:caps w:val="0"/>
    </w:rPr>
  </w:style>
  <w:style w:type="paragraph" w:styleId="TOC6">
    <w:name w:val="toc 6"/>
    <w:basedOn w:val="TOC1"/>
    <w:next w:val="Normal"/>
    <w:uiPriority w:val="39"/>
    <w:rsid w:val="00F27F0C"/>
    <w:pPr>
      <w:spacing w:before="0"/>
    </w:pPr>
    <w:rPr>
      <w:b w:val="0"/>
      <w:caps w:val="0"/>
    </w:rPr>
  </w:style>
  <w:style w:type="paragraph" w:styleId="TOC7">
    <w:name w:val="toc 7"/>
    <w:basedOn w:val="TOC6"/>
    <w:next w:val="Normal"/>
    <w:uiPriority w:val="39"/>
    <w:rsid w:val="00F27F0C"/>
  </w:style>
  <w:style w:type="paragraph" w:styleId="TOC8">
    <w:name w:val="toc 8"/>
    <w:basedOn w:val="TOC6"/>
    <w:next w:val="Normal"/>
    <w:uiPriority w:val="39"/>
    <w:rsid w:val="00F27F0C"/>
  </w:style>
  <w:style w:type="paragraph" w:styleId="TOC9">
    <w:name w:val="toc 9"/>
    <w:basedOn w:val="TOC6"/>
    <w:next w:val="Normal"/>
    <w:uiPriority w:val="39"/>
    <w:rsid w:val="00F27F0C"/>
  </w:style>
  <w:style w:type="paragraph" w:customStyle="1" w:styleId="xCover">
    <w:name w:val="xCover"/>
    <w:link w:val="xCoverCar"/>
    <w:rsid w:val="00F27F0C"/>
    <w:pPr>
      <w:spacing w:before="120"/>
    </w:pPr>
    <w:rPr>
      <w:rFonts w:ascii="Arial" w:eastAsia="MS Gothic" w:hAnsi="Arial"/>
      <w:lang w:eastAsia="en-US"/>
    </w:rPr>
  </w:style>
  <w:style w:type="paragraph" w:customStyle="1" w:styleId="xCoverFooter">
    <w:name w:val="xCover Footer"/>
    <w:next w:val="Normal"/>
    <w:pPr>
      <w:jc w:val="center"/>
    </w:pPr>
    <w:rPr>
      <w:rFonts w:ascii="Arial Narrow" w:hAnsi="Arial Narrow"/>
      <w:sz w:val="18"/>
      <w:lang w:eastAsia="en-US"/>
    </w:rPr>
  </w:style>
  <w:style w:type="paragraph" w:customStyle="1" w:styleId="xCoverAddress">
    <w:name w:val="xCoverAddress"/>
    <w:basedOn w:val="xCover"/>
    <w:rsid w:val="00F27F0C"/>
    <w:pPr>
      <w:spacing w:before="0"/>
    </w:pPr>
  </w:style>
  <w:style w:type="paragraph" w:customStyle="1" w:styleId="xCoverDocTitle">
    <w:name w:val="xCoverDocTitle"/>
    <w:basedOn w:val="xCover"/>
    <w:link w:val="xCoverDocTitleCar"/>
    <w:rsid w:val="00F27F0C"/>
    <w:pPr>
      <w:spacing w:before="240"/>
      <w:jc w:val="center"/>
    </w:pPr>
    <w:rPr>
      <w:b/>
      <w:sz w:val="24"/>
    </w:rPr>
  </w:style>
  <w:style w:type="paragraph" w:customStyle="1" w:styleId="xCoverDocType">
    <w:name w:val="xCoverDocType"/>
    <w:basedOn w:val="xCover"/>
    <w:rsid w:val="00F27F0C"/>
    <w:pPr>
      <w:spacing w:before="360"/>
      <w:jc w:val="center"/>
    </w:pPr>
    <w:rPr>
      <w:b/>
      <w:caps/>
      <w:sz w:val="28"/>
    </w:rPr>
  </w:style>
  <w:style w:type="paragraph" w:customStyle="1" w:styleId="xCoverFooter0">
    <w:name w:val="xCoverFooter"/>
    <w:basedOn w:val="xCover"/>
    <w:pPr>
      <w:jc w:val="center"/>
    </w:pPr>
    <w:rPr>
      <w:rFonts w:ascii="Arial Narrow" w:hAnsi="Arial Narrow"/>
      <w:sz w:val="18"/>
    </w:rPr>
  </w:style>
  <w:style w:type="character" w:styleId="PageNumber">
    <w:name w:val="page number"/>
    <w:rsid w:val="00F27F0C"/>
  </w:style>
  <w:style w:type="paragraph" w:styleId="BalloonText">
    <w:name w:val="Balloon Text"/>
    <w:basedOn w:val="Normal"/>
    <w:link w:val="BalloonTextChar"/>
    <w:uiPriority w:val="99"/>
    <w:semiHidden/>
    <w:rPr>
      <w:rFonts w:ascii="Tahoma" w:hAnsi="Tahoma" w:cs="Tahoma"/>
      <w:sz w:val="16"/>
      <w:szCs w:val="16"/>
    </w:rPr>
  </w:style>
  <w:style w:type="character" w:customStyle="1" w:styleId="TblHeadingLeftChar">
    <w:name w:val="Tbl Heading Left Char"/>
    <w:rPr>
      <w:rFonts w:ascii="Arial" w:hAnsi="Arial"/>
      <w:b/>
      <w:lang w:val="en-US" w:eastAsia="en-US" w:bidi="ar-SA"/>
    </w:rPr>
  </w:style>
  <w:style w:type="paragraph" w:customStyle="1" w:styleId="ListNumbered">
    <w:name w:val="List Numbered"/>
    <w:basedOn w:val="Normal"/>
    <w:rsid w:val="00F27F0C"/>
    <w:pPr>
      <w:numPr>
        <w:numId w:val="9"/>
      </w:numPr>
      <w:spacing w:before="120"/>
    </w:pPr>
  </w:style>
  <w:style w:type="paragraph" w:customStyle="1" w:styleId="NumberListInclusion">
    <w:name w:val="Number List Inclusion"/>
    <w:basedOn w:val="Normal"/>
    <w:rsid w:val="00F27F0C"/>
    <w:pPr>
      <w:numPr>
        <w:numId w:val="20"/>
      </w:numPr>
    </w:pPr>
  </w:style>
  <w:style w:type="paragraph" w:customStyle="1" w:styleId="NumberListExclusion">
    <w:name w:val="Number List Exclusion"/>
    <w:basedOn w:val="Normal"/>
    <w:rsid w:val="00F27F0C"/>
    <w:pPr>
      <w:numPr>
        <w:numId w:val="18"/>
      </w:numPr>
    </w:pPr>
  </w:style>
  <w:style w:type="paragraph" w:styleId="DocumentMap">
    <w:name w:val="Document Map"/>
    <w:basedOn w:val="Normal"/>
    <w:link w:val="DocumentMapChar"/>
    <w:semiHidden/>
    <w:rsid w:val="00F27F0C"/>
    <w:pPr>
      <w:shd w:val="clear" w:color="auto" w:fill="000080"/>
    </w:pPr>
    <w:rPr>
      <w:rFonts w:ascii="Tahoma" w:hAnsi="Tahoma" w:cs="Tahoma"/>
      <w:sz w:val="20"/>
      <w:szCs w:val="20"/>
    </w:rPr>
  </w:style>
  <w:style w:type="character" w:styleId="CommentReference">
    <w:name w:val="annotation reference"/>
    <w:semiHidden/>
    <w:rPr>
      <w:sz w:val="16"/>
      <w:szCs w:val="16"/>
    </w:rPr>
  </w:style>
  <w:style w:type="paragraph" w:styleId="CommentText">
    <w:name w:val="annotation text"/>
    <w:basedOn w:val="Normal"/>
    <w:link w:val="CommentTextChar1"/>
    <w:semiHidden/>
    <w:rPr>
      <w:sz w:val="20"/>
      <w:szCs w:val="20"/>
    </w:rPr>
  </w:style>
  <w:style w:type="paragraph" w:styleId="CommentSubject">
    <w:name w:val="annotation subject"/>
    <w:basedOn w:val="CommentText"/>
    <w:next w:val="CommentText"/>
    <w:link w:val="CommentSubjectChar"/>
    <w:semiHidden/>
    <w:rPr>
      <w:b/>
      <w:bCs/>
    </w:rPr>
  </w:style>
  <w:style w:type="paragraph" w:customStyle="1" w:styleId="ListBulletLevel1">
    <w:name w:val="List Bullet Level 1"/>
    <w:basedOn w:val="Normal"/>
    <w:link w:val="ListBulletLevel1Char"/>
    <w:rsid w:val="00F27F0C"/>
    <w:pPr>
      <w:numPr>
        <w:numId w:val="13"/>
      </w:numPr>
      <w:spacing w:before="120"/>
    </w:pPr>
  </w:style>
  <w:style w:type="paragraph" w:customStyle="1" w:styleId="ListAlphabeticalLevel1">
    <w:name w:val="List Alphabetical Level 1"/>
    <w:basedOn w:val="Normal"/>
    <w:rsid w:val="00F27F0C"/>
    <w:pPr>
      <w:numPr>
        <w:numId w:val="7"/>
      </w:numPr>
      <w:spacing w:before="120"/>
    </w:pPr>
  </w:style>
  <w:style w:type="paragraph" w:customStyle="1" w:styleId="ListBulletLevel2">
    <w:name w:val="List Bullet Level 2"/>
    <w:basedOn w:val="Normal"/>
    <w:rsid w:val="00F27F0C"/>
    <w:pPr>
      <w:numPr>
        <w:numId w:val="15"/>
      </w:numPr>
      <w:spacing w:before="120"/>
    </w:pPr>
    <w:rPr>
      <w:szCs w:val="20"/>
    </w:rPr>
  </w:style>
  <w:style w:type="paragraph" w:customStyle="1" w:styleId="InstructionsText">
    <w:name w:val="Instructions Text"/>
    <w:basedOn w:val="Normal"/>
    <w:next w:val="Normal"/>
    <w:link w:val="InstructionsTextChar"/>
    <w:rsid w:val="00F27F0C"/>
    <w:pPr>
      <w:shd w:val="clear" w:color="auto" w:fill="FFCC66"/>
      <w:spacing w:before="40" w:after="40"/>
    </w:pPr>
    <w:rPr>
      <w:shd w:val="clear" w:color="auto" w:fill="FFCC66"/>
    </w:rPr>
  </w:style>
  <w:style w:type="character" w:customStyle="1" w:styleId="InstructionsTextChar">
    <w:name w:val="Instructions Text Char"/>
    <w:link w:val="InstructionsText"/>
    <w:rsid w:val="00F27F0C"/>
    <w:rPr>
      <w:color w:val="000000"/>
      <w:sz w:val="24"/>
      <w:szCs w:val="24"/>
      <w:shd w:val="clear" w:color="auto" w:fill="FFCC66"/>
      <w:lang w:eastAsia="en-US"/>
    </w:rPr>
  </w:style>
  <w:style w:type="paragraph" w:styleId="TableofAuthorities">
    <w:name w:val="table of authorities"/>
    <w:basedOn w:val="Normal"/>
    <w:next w:val="Normal"/>
    <w:semiHidden/>
    <w:rsid w:val="00F27F0C"/>
    <w:pPr>
      <w:ind w:left="240" w:hanging="240"/>
    </w:pPr>
  </w:style>
  <w:style w:type="character" w:styleId="Hyperlink">
    <w:name w:val="Hyperlink"/>
    <w:uiPriority w:val="99"/>
    <w:rsid w:val="00F27F0C"/>
    <w:rPr>
      <w:color w:val="0000FF"/>
      <w:u w:val="single"/>
    </w:rPr>
  </w:style>
  <w:style w:type="paragraph" w:customStyle="1" w:styleId="Bibliography1">
    <w:name w:val="Bibliography1"/>
    <w:basedOn w:val="Normal"/>
    <w:next w:val="Normal"/>
    <w:pPr>
      <w:ind w:left="357" w:hanging="357"/>
    </w:pPr>
  </w:style>
  <w:style w:type="character" w:customStyle="1" w:styleId="ReplaceText">
    <w:name w:val="Replace Text"/>
    <w:rsid w:val="00F27F0C"/>
    <w:rPr>
      <w:color w:val="FF00FF"/>
    </w:rPr>
  </w:style>
  <w:style w:type="paragraph" w:customStyle="1" w:styleId="ListAlphabeticalLevel2">
    <w:name w:val="List Alphabetical Level 2"/>
    <w:basedOn w:val="ListNumbered"/>
    <w:rsid w:val="00F27F0C"/>
    <w:pPr>
      <w:numPr>
        <w:numId w:val="10"/>
      </w:numPr>
    </w:pPr>
  </w:style>
  <w:style w:type="paragraph" w:styleId="Index1">
    <w:name w:val="index 1"/>
    <w:basedOn w:val="Normal"/>
    <w:next w:val="Normal"/>
    <w:uiPriority w:val="99"/>
    <w:semiHidden/>
    <w:rsid w:val="00F27F0C"/>
    <w:pPr>
      <w:tabs>
        <w:tab w:val="left" w:pos="1701"/>
        <w:tab w:val="left" w:pos="3402"/>
        <w:tab w:val="left" w:pos="5103"/>
      </w:tabs>
      <w:spacing w:before="0"/>
      <w:ind w:left="1701" w:hanging="1701"/>
    </w:pPr>
  </w:style>
  <w:style w:type="paragraph" w:styleId="TOAHeading">
    <w:name w:val="toa heading"/>
    <w:basedOn w:val="Normal"/>
    <w:next w:val="Normal"/>
    <w:semiHidden/>
    <w:rsid w:val="00F27F0C"/>
    <w:pPr>
      <w:spacing w:before="120"/>
    </w:pPr>
    <w:rPr>
      <w:rFonts w:ascii="Arial" w:hAnsi="Arial" w:cs="Arial"/>
      <w:b/>
      <w:bCs/>
    </w:rPr>
  </w:style>
  <w:style w:type="character" w:customStyle="1" w:styleId="Reference">
    <w:name w:val="Reference"/>
    <w:rsid w:val="00F27F0C"/>
    <w:rPr>
      <w:color w:val="0000FF"/>
    </w:rPr>
  </w:style>
  <w:style w:type="paragraph" w:customStyle="1" w:styleId="TblTextbulletedlist">
    <w:name w:val="Tbl Text bulleted list"/>
    <w:basedOn w:val="TblTextLeft"/>
    <w:rsid w:val="00F27F0C"/>
    <w:pPr>
      <w:numPr>
        <w:numId w:val="22"/>
      </w:numPr>
      <w:tabs>
        <w:tab w:val="left" w:pos="216"/>
      </w:tabs>
      <w:spacing w:before="0" w:after="0"/>
    </w:pPr>
  </w:style>
  <w:style w:type="paragraph" w:styleId="ListBullet">
    <w:name w:val="List Bullet"/>
    <w:basedOn w:val="Normal"/>
    <w:rsid w:val="00F27F0C"/>
    <w:pPr>
      <w:numPr>
        <w:numId w:val="12"/>
      </w:numPr>
    </w:pPr>
  </w:style>
  <w:style w:type="character" w:customStyle="1" w:styleId="TblFigFootnoteChar">
    <w:name w:val="Tbl Fig Footnote Char"/>
    <w:rsid w:val="00F27F0C"/>
    <w:rPr>
      <w:rFonts w:ascii="Arial Narrow" w:eastAsia="MS Gothic" w:hAnsi="Arial Narrow"/>
      <w:sz w:val="18"/>
      <w:lang w:val="en-US" w:eastAsia="en-US" w:bidi="ar-SA"/>
    </w:rPr>
  </w:style>
  <w:style w:type="character" w:styleId="FollowedHyperlink">
    <w:name w:val="FollowedHyperlink"/>
    <w:rsid w:val="00F27F0C"/>
    <w:rPr>
      <w:color w:val="0000FF"/>
      <w:u w:val="single"/>
    </w:rPr>
  </w:style>
  <w:style w:type="character" w:customStyle="1" w:styleId="BlueReplace">
    <w:name w:val="Blue Replace"/>
    <w:rPr>
      <w:color w:val="0000FF"/>
    </w:rPr>
  </w:style>
  <w:style w:type="paragraph" w:styleId="BodyText">
    <w:name w:val="Body Text"/>
    <w:basedOn w:val="Normal"/>
    <w:link w:val="BodyTextChar"/>
    <w:pPr>
      <w:spacing w:after="120"/>
    </w:pPr>
    <w:rPr>
      <w:rFonts w:eastAsia="Times New Roman"/>
    </w:rPr>
  </w:style>
  <w:style w:type="character" w:styleId="Strong">
    <w:name w:val="Strong"/>
    <w:qFormat/>
    <w:rPr>
      <w:b/>
      <w:bCs/>
    </w:rPr>
  </w:style>
  <w:style w:type="paragraph" w:customStyle="1" w:styleId="BulletList1">
    <w:name w:val="Bullet List 1"/>
    <w:basedOn w:val="Normal"/>
    <w:next w:val="Normal"/>
    <w:pPr>
      <w:tabs>
        <w:tab w:val="num" w:pos="360"/>
      </w:tabs>
      <w:spacing w:before="120"/>
      <w:ind w:left="360" w:hanging="360"/>
    </w:pPr>
    <w:rPr>
      <w:rFonts w:eastAsia="Times New Roman"/>
      <w:szCs w:val="20"/>
    </w:rPr>
  </w:style>
  <w:style w:type="paragraph" w:customStyle="1" w:styleId="NumberList">
    <w:name w:val="Number List"/>
    <w:basedOn w:val="Normal"/>
    <w:pPr>
      <w:numPr>
        <w:numId w:val="1"/>
      </w:numPr>
      <w:spacing w:before="120"/>
    </w:pPr>
  </w:style>
  <w:style w:type="paragraph" w:customStyle="1" w:styleId="ActionItems">
    <w:name w:val="Action Items"/>
    <w:basedOn w:val="Normal"/>
    <w:pPr>
      <w:numPr>
        <w:numId w:val="2"/>
      </w:numPr>
      <w:spacing w:before="0"/>
    </w:pPr>
    <w:rPr>
      <w:color w:val="auto"/>
      <w:lang w:eastAsia="ja-JP"/>
    </w:rPr>
  </w:style>
  <w:style w:type="table" w:styleId="TableGrid">
    <w:name w:val="Table Grid"/>
    <w:basedOn w:val="TableNormal"/>
    <w:rsid w:val="00F27F0C"/>
    <w:pPr>
      <w:spacing w:before="24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Pr>
      <w:i/>
      <w:iCs/>
    </w:rPr>
  </w:style>
  <w:style w:type="character" w:customStyle="1" w:styleId="instructionstextchar0">
    <w:name w:val="instructionstextchar"/>
    <w:rPr>
      <w:rFonts w:ascii="MS Mincho" w:eastAsia="MS Mincho" w:hAnsi="MS Mincho" w:hint="eastAsia"/>
      <w:color w:val="000000"/>
      <w:shd w:val="clear" w:color="auto" w:fill="FFCC66"/>
    </w:rPr>
  </w:style>
  <w:style w:type="paragraph" w:styleId="PlainText">
    <w:name w:val="Plain Text"/>
    <w:basedOn w:val="Normal"/>
    <w:link w:val="PlainTextChar"/>
    <w:pPr>
      <w:spacing w:before="0"/>
    </w:pPr>
    <w:rPr>
      <w:rFonts w:ascii="Courier New" w:hAnsi="Courier New" w:cs="Courier New"/>
      <w:color w:val="auto"/>
      <w:sz w:val="20"/>
      <w:szCs w:val="20"/>
      <w:lang w:val="fr-FR" w:eastAsia="ja-JP"/>
    </w:rPr>
  </w:style>
  <w:style w:type="paragraph" w:customStyle="1" w:styleId="instructionstext0">
    <w:name w:val="instructionstext"/>
    <w:basedOn w:val="Normal"/>
    <w:rsid w:val="008656A0"/>
    <w:pPr>
      <w:spacing w:before="100" w:beforeAutospacing="1" w:after="100" w:afterAutospacing="1"/>
    </w:pPr>
    <w:rPr>
      <w:rFonts w:eastAsia="宋体"/>
      <w:color w:val="auto"/>
      <w:lang w:val="fr-FR" w:eastAsia="zh-CN"/>
    </w:rPr>
  </w:style>
  <w:style w:type="character" w:customStyle="1" w:styleId="CommentTextChar1">
    <w:name w:val="Comment Text Char1"/>
    <w:link w:val="CommentText"/>
    <w:semiHidden/>
    <w:locked/>
    <w:rsid w:val="00981280"/>
    <w:rPr>
      <w:rFonts w:eastAsia="MS Mincho"/>
      <w:color w:val="000000"/>
      <w:lang w:val="en-US" w:eastAsia="en-US" w:bidi="ar-SA"/>
    </w:rPr>
  </w:style>
  <w:style w:type="paragraph" w:customStyle="1" w:styleId="Tabletext">
    <w:name w:val="Table text"/>
    <w:basedOn w:val="Normal"/>
    <w:link w:val="TabletextCar"/>
    <w:rsid w:val="00981280"/>
    <w:pPr>
      <w:widowControl w:val="0"/>
      <w:spacing w:before="60" w:after="60"/>
    </w:pPr>
    <w:rPr>
      <w:rFonts w:ascii="Arial" w:hAnsi="Arial"/>
      <w:color w:val="auto"/>
      <w:sz w:val="20"/>
      <w:szCs w:val="20"/>
    </w:rPr>
  </w:style>
  <w:style w:type="character" w:customStyle="1" w:styleId="TblTextLeftChar">
    <w:name w:val="Tbl Text Left Char"/>
    <w:link w:val="TblTextLeft"/>
    <w:locked/>
    <w:rsid w:val="00EF2B6B"/>
    <w:rPr>
      <w:rFonts w:ascii="Arial Narrow" w:eastAsia="MS Gothic" w:hAnsi="Arial Narrow"/>
    </w:rPr>
  </w:style>
  <w:style w:type="character" w:customStyle="1" w:styleId="TblFigFootnoteCar">
    <w:name w:val="Tbl Fig Footnote Car"/>
    <w:link w:val="TblFigFootnote"/>
    <w:locked/>
    <w:rsid w:val="00EF2B6B"/>
    <w:rPr>
      <w:rFonts w:ascii="Arial Narrow" w:eastAsia="MS Gothic" w:hAnsi="Arial Narrow"/>
      <w:sz w:val="18"/>
    </w:rPr>
  </w:style>
  <w:style w:type="character" w:customStyle="1" w:styleId="TblHeadingCenterChar">
    <w:name w:val="Tbl Heading Center Char"/>
    <w:link w:val="TblHeadingCenter"/>
    <w:locked/>
    <w:rsid w:val="00EF2B6B"/>
    <w:rPr>
      <w:rFonts w:ascii="Arial" w:eastAsia="MS Gothic" w:hAnsi="Arial" w:cs="Arial"/>
      <w:b/>
      <w:noProof/>
      <w:lang w:val="de-DE"/>
    </w:rPr>
  </w:style>
  <w:style w:type="character" w:customStyle="1" w:styleId="CommentTextChar">
    <w:name w:val="Comment Text Char"/>
    <w:semiHidden/>
    <w:locked/>
    <w:rsid w:val="005D6372"/>
    <w:rPr>
      <w:rFonts w:eastAsia="MS Mincho"/>
      <w:color w:val="000000"/>
      <w:lang w:val="en-US" w:eastAsia="en-US" w:bidi="ar-SA"/>
    </w:rPr>
  </w:style>
  <w:style w:type="paragraph" w:styleId="NormalWeb">
    <w:name w:val="Normal (Web)"/>
    <w:basedOn w:val="Normal"/>
    <w:uiPriority w:val="99"/>
    <w:rsid w:val="006771DB"/>
    <w:pPr>
      <w:spacing w:before="100" w:beforeAutospacing="1" w:after="100" w:afterAutospacing="1"/>
    </w:pPr>
    <w:rPr>
      <w:rFonts w:eastAsia="宋体"/>
      <w:color w:val="auto"/>
      <w:lang w:val="fr-FR" w:eastAsia="zh-CN"/>
    </w:rPr>
  </w:style>
  <w:style w:type="paragraph" w:customStyle="1" w:styleId="NumberListExclusionSynospis">
    <w:name w:val="Number List Exclusion Synospis"/>
    <w:basedOn w:val="Normal"/>
    <w:autoRedefine/>
    <w:rsid w:val="00F27F0C"/>
    <w:pPr>
      <w:numPr>
        <w:numId w:val="19"/>
      </w:numPr>
      <w:spacing w:before="60"/>
    </w:pPr>
    <w:rPr>
      <w:rFonts w:ascii="Arial Narrow" w:hAnsi="Arial Narrow"/>
      <w:sz w:val="20"/>
    </w:rPr>
  </w:style>
  <w:style w:type="character" w:customStyle="1" w:styleId="TabletextCar">
    <w:name w:val="Table text Car"/>
    <w:link w:val="Tabletext"/>
    <w:rsid w:val="00C367E6"/>
    <w:rPr>
      <w:rFonts w:ascii="Arial" w:eastAsia="MS Mincho" w:hAnsi="Arial"/>
      <w:lang w:val="en-US" w:eastAsia="en-US" w:bidi="ar-SA"/>
    </w:rPr>
  </w:style>
  <w:style w:type="character" w:customStyle="1" w:styleId="Heading3Char">
    <w:name w:val="Heading 3 Char"/>
    <w:link w:val="Heading3"/>
    <w:rsid w:val="0043198B"/>
    <w:rPr>
      <w:rFonts w:ascii="Arial" w:eastAsia="MS Gothic" w:hAnsi="Arial" w:cs="Arial"/>
      <w:b/>
      <w:kern w:val="32"/>
      <w:sz w:val="22"/>
      <w:szCs w:val="26"/>
      <w:lang w:eastAsia="en-US"/>
    </w:rPr>
  </w:style>
  <w:style w:type="paragraph" w:styleId="Revision">
    <w:name w:val="Revision"/>
    <w:hidden/>
    <w:uiPriority w:val="99"/>
    <w:semiHidden/>
    <w:rsid w:val="00080226"/>
    <w:rPr>
      <w:color w:val="000000"/>
      <w:sz w:val="24"/>
      <w:szCs w:val="24"/>
      <w:lang w:eastAsia="en-US"/>
    </w:rPr>
  </w:style>
  <w:style w:type="paragraph" w:styleId="ListParagraph">
    <w:name w:val="List Paragraph"/>
    <w:basedOn w:val="Normal"/>
    <w:uiPriority w:val="34"/>
    <w:qFormat/>
    <w:rsid w:val="00FB6051"/>
    <w:pPr>
      <w:ind w:left="720"/>
      <w:contextualSpacing/>
    </w:pPr>
  </w:style>
  <w:style w:type="paragraph" w:customStyle="1" w:styleId="Heading4Nonumbering">
    <w:name w:val="Heading 4 No numbering"/>
    <w:basedOn w:val="Heading4"/>
    <w:next w:val="Normal"/>
    <w:rsid w:val="001D0430"/>
    <w:pPr>
      <w:numPr>
        <w:ilvl w:val="0"/>
        <w:numId w:val="0"/>
      </w:numPr>
    </w:pPr>
    <w:rPr>
      <w:kern w:val="22"/>
    </w:rPr>
  </w:style>
  <w:style w:type="paragraph" w:customStyle="1" w:styleId="Narrative">
    <w:name w:val="Narrative"/>
    <w:basedOn w:val="Normal"/>
    <w:next w:val="Normal"/>
    <w:rsid w:val="00F27F0C"/>
    <w:pPr>
      <w:spacing w:before="60" w:after="60"/>
    </w:pPr>
    <w:rPr>
      <w:rFonts w:ascii="Arial" w:eastAsia="Times New Roman" w:hAnsi="Arial"/>
      <w:b/>
      <w:caps/>
      <w:sz w:val="20"/>
    </w:rPr>
  </w:style>
  <w:style w:type="character" w:customStyle="1" w:styleId="NormalnospaceChar1">
    <w:name w:val="Normal nospace Char1"/>
    <w:link w:val="Normalnospace"/>
    <w:rsid w:val="001D0430"/>
    <w:rPr>
      <w:color w:val="000000"/>
      <w:sz w:val="24"/>
      <w:szCs w:val="24"/>
      <w:lang w:val="en-US" w:eastAsia="en-US"/>
    </w:rPr>
  </w:style>
  <w:style w:type="paragraph" w:customStyle="1" w:styleId="xCover0">
    <w:name w:val="xCover 0"/>
    <w:next w:val="xCover"/>
    <w:rsid w:val="001D0430"/>
    <w:rPr>
      <w:rFonts w:ascii="Arial" w:eastAsia="Times New Roman" w:hAnsi="Arial"/>
      <w:b/>
      <w:color w:val="000000"/>
      <w:u w:val="single"/>
      <w:lang w:eastAsia="en-US"/>
    </w:rPr>
  </w:style>
  <w:style w:type="paragraph" w:customStyle="1" w:styleId="Appendix">
    <w:name w:val="Appendix"/>
    <w:basedOn w:val="Normal"/>
    <w:next w:val="Normal"/>
    <w:link w:val="AppendixCar"/>
    <w:rsid w:val="001D0430"/>
    <w:pPr>
      <w:pageBreakBefore/>
      <w:overflowPunct w:val="0"/>
      <w:autoSpaceDE w:val="0"/>
      <w:autoSpaceDN w:val="0"/>
      <w:adjustRightInd w:val="0"/>
      <w:spacing w:before="1080"/>
      <w:jc w:val="center"/>
      <w:textAlignment w:val="baseline"/>
    </w:pPr>
    <w:rPr>
      <w:b/>
      <w:color w:val="auto"/>
      <w:szCs w:val="20"/>
      <w:lang w:eastAsia="fr-FR"/>
    </w:rPr>
  </w:style>
  <w:style w:type="paragraph" w:customStyle="1" w:styleId="XCoverDocTypeNE">
    <w:name w:val="XCoverDocType_NE"/>
    <w:basedOn w:val="xCoverDocType"/>
    <w:next w:val="Normal"/>
    <w:rsid w:val="001D0430"/>
  </w:style>
  <w:style w:type="paragraph" w:customStyle="1" w:styleId="xCoverdoc">
    <w:name w:val="xCoverdoc"/>
    <w:basedOn w:val="TblTextLeft"/>
    <w:rsid w:val="001D0430"/>
    <w:rPr>
      <w:sz w:val="24"/>
    </w:rPr>
  </w:style>
  <w:style w:type="paragraph" w:customStyle="1" w:styleId="xcoverdoctype0">
    <w:name w:val="xcoverdoctype"/>
    <w:basedOn w:val="Normal"/>
    <w:rsid w:val="001D0430"/>
    <w:pPr>
      <w:spacing w:before="100" w:beforeAutospacing="1" w:after="100" w:afterAutospacing="1"/>
    </w:pPr>
    <w:rPr>
      <w:color w:val="auto"/>
      <w:lang w:val="fr-FR" w:eastAsia="ja-JP"/>
    </w:rPr>
  </w:style>
  <w:style w:type="paragraph" w:customStyle="1" w:styleId="tbltextleft0">
    <w:name w:val="tbltextleft"/>
    <w:basedOn w:val="Normal"/>
    <w:rsid w:val="001D0430"/>
    <w:pPr>
      <w:spacing w:before="100" w:beforeAutospacing="1" w:after="100" w:afterAutospacing="1"/>
    </w:pPr>
    <w:rPr>
      <w:color w:val="auto"/>
      <w:lang w:val="fr-FR" w:eastAsia="ja-JP"/>
    </w:rPr>
  </w:style>
  <w:style w:type="paragraph" w:styleId="List">
    <w:name w:val="List"/>
    <w:basedOn w:val="Normal"/>
    <w:rsid w:val="001D0430"/>
    <w:pPr>
      <w:ind w:left="283" w:hanging="283"/>
    </w:pPr>
  </w:style>
  <w:style w:type="character" w:customStyle="1" w:styleId="AppendixCar">
    <w:name w:val="Appendix Car"/>
    <w:link w:val="Appendix"/>
    <w:rsid w:val="001D0430"/>
    <w:rPr>
      <w:b/>
      <w:sz w:val="24"/>
      <w:lang w:val="en-US"/>
    </w:rPr>
  </w:style>
  <w:style w:type="character" w:customStyle="1" w:styleId="ngcommenttext">
    <w:name w:val="ngcommenttext"/>
    <w:rsid w:val="000906A0"/>
  </w:style>
  <w:style w:type="paragraph" w:customStyle="1" w:styleId="ListBulletLevel2Synospis">
    <w:name w:val="List Bullet Level 2 Synospis"/>
    <w:basedOn w:val="Normal"/>
    <w:autoRedefine/>
    <w:rsid w:val="00F27F0C"/>
    <w:pPr>
      <w:numPr>
        <w:numId w:val="16"/>
      </w:numPr>
      <w:spacing w:before="60"/>
    </w:pPr>
    <w:rPr>
      <w:rFonts w:ascii="Arial Narrow" w:hAnsi="Arial Narrow"/>
      <w:sz w:val="20"/>
      <w:szCs w:val="20"/>
    </w:rPr>
  </w:style>
  <w:style w:type="paragraph" w:customStyle="1" w:styleId="ListAlphabeticalLevel1Synospis">
    <w:name w:val="List Alphabetical Level 1 Synospis"/>
    <w:basedOn w:val="Normal"/>
    <w:autoRedefine/>
    <w:rsid w:val="00F27F0C"/>
    <w:pPr>
      <w:numPr>
        <w:numId w:val="8"/>
      </w:numPr>
      <w:spacing w:before="60"/>
    </w:pPr>
    <w:rPr>
      <w:rFonts w:ascii="Arial Narrow" w:hAnsi="Arial Narrow"/>
      <w:sz w:val="20"/>
    </w:rPr>
  </w:style>
  <w:style w:type="paragraph" w:styleId="Bibliography">
    <w:name w:val="Bibliography"/>
    <w:basedOn w:val="Normal"/>
    <w:next w:val="Normal"/>
    <w:rsid w:val="00F27F0C"/>
    <w:pPr>
      <w:ind w:left="357" w:hanging="357"/>
    </w:pPr>
  </w:style>
  <w:style w:type="paragraph" w:customStyle="1" w:styleId="ListAlphabeticalLevel2Synospis">
    <w:name w:val="List Alphabetical Level 2 Synospis"/>
    <w:basedOn w:val="ListNumbered"/>
    <w:autoRedefine/>
    <w:rsid w:val="00F27F0C"/>
    <w:pPr>
      <w:numPr>
        <w:numId w:val="11"/>
      </w:numPr>
      <w:spacing w:before="60"/>
    </w:pPr>
    <w:rPr>
      <w:rFonts w:ascii="Arial Narrow" w:hAnsi="Arial Narrow"/>
      <w:sz w:val="20"/>
    </w:rPr>
  </w:style>
  <w:style w:type="paragraph" w:customStyle="1" w:styleId="ListBulletLevel1Synospis">
    <w:name w:val="List Bullet Level 1 Synospis"/>
    <w:basedOn w:val="Normal"/>
    <w:autoRedefine/>
    <w:rsid w:val="00F27F0C"/>
    <w:pPr>
      <w:numPr>
        <w:numId w:val="14"/>
      </w:numPr>
      <w:spacing w:before="60"/>
    </w:pPr>
    <w:rPr>
      <w:rFonts w:ascii="Arial Narrow" w:hAnsi="Arial Narrow"/>
      <w:sz w:val="20"/>
    </w:rPr>
  </w:style>
  <w:style w:type="paragraph" w:customStyle="1" w:styleId="ListNumberedSynospis">
    <w:name w:val="List Numbered Synospis"/>
    <w:basedOn w:val="Normal"/>
    <w:autoRedefine/>
    <w:rsid w:val="00F27F0C"/>
    <w:pPr>
      <w:numPr>
        <w:numId w:val="17"/>
      </w:numPr>
      <w:spacing w:before="60"/>
    </w:pPr>
    <w:rPr>
      <w:rFonts w:ascii="Arial Narrow" w:hAnsi="Arial Narrow"/>
      <w:sz w:val="20"/>
    </w:rPr>
  </w:style>
  <w:style w:type="paragraph" w:customStyle="1" w:styleId="NumberListInclusionSynospis">
    <w:name w:val="Number List Inclusion Synospis"/>
    <w:basedOn w:val="Normal"/>
    <w:autoRedefine/>
    <w:rsid w:val="00F27F0C"/>
    <w:pPr>
      <w:numPr>
        <w:numId w:val="21"/>
      </w:numPr>
      <w:spacing w:before="60"/>
    </w:pPr>
    <w:rPr>
      <w:rFonts w:ascii="Arial Narrow" w:hAnsi="Arial Narrow"/>
      <w:sz w:val="20"/>
    </w:rPr>
  </w:style>
  <w:style w:type="character" w:customStyle="1" w:styleId="TblHeadingLeftCar">
    <w:name w:val="Tbl Heading Left Car"/>
    <w:link w:val="TblHeadingLeft"/>
    <w:rsid w:val="00357E3B"/>
    <w:rPr>
      <w:rFonts w:ascii="Arial" w:eastAsia="MS Gothic" w:hAnsi="Arial" w:cs="Arial"/>
      <w:b/>
      <w:noProof/>
      <w:lang w:val="de-DE"/>
    </w:rPr>
  </w:style>
  <w:style w:type="paragraph" w:customStyle="1" w:styleId="AppendixTitle0">
    <w:name w:val="Appendix Title"/>
    <w:basedOn w:val="Heading2"/>
    <w:next w:val="Normal"/>
    <w:rsid w:val="00235360"/>
    <w:pPr>
      <w:keepNext w:val="0"/>
      <w:pageBreakBefore/>
      <w:numPr>
        <w:ilvl w:val="0"/>
        <w:numId w:val="0"/>
      </w:numPr>
      <w:tabs>
        <w:tab w:val="left" w:pos="1701"/>
        <w:tab w:val="num" w:pos="2185"/>
      </w:tabs>
      <w:ind w:left="1701" w:hanging="1701"/>
    </w:pPr>
    <w:rPr>
      <w:rFonts w:eastAsia="Times New Roman" w:cs="Times New Roman"/>
      <w:caps w:val="0"/>
      <w:sz w:val="24"/>
    </w:rPr>
  </w:style>
  <w:style w:type="character" w:customStyle="1" w:styleId="TblTextLeftCar">
    <w:name w:val="Tbl Text Left Car"/>
    <w:rsid w:val="00235360"/>
    <w:rPr>
      <w:rFonts w:ascii="Arial Narrow" w:eastAsia="MS Gothic" w:hAnsi="Arial Narrow"/>
      <w:lang w:val="en-US" w:eastAsia="en-US"/>
    </w:rPr>
  </w:style>
  <w:style w:type="character" w:customStyle="1" w:styleId="ListBulletLevel1Char">
    <w:name w:val="List Bullet Level 1 Char"/>
    <w:link w:val="ListBulletLevel1"/>
    <w:locked/>
    <w:rsid w:val="00235360"/>
    <w:rPr>
      <w:color w:val="000000"/>
      <w:sz w:val="24"/>
      <w:szCs w:val="24"/>
      <w:lang w:val="en-US" w:eastAsia="en-US"/>
    </w:rPr>
  </w:style>
  <w:style w:type="character" w:customStyle="1" w:styleId="NormalnospaceCar">
    <w:name w:val="Normal nospace Car"/>
    <w:rsid w:val="00235360"/>
    <w:rPr>
      <w:color w:val="000000"/>
      <w:sz w:val="24"/>
      <w:szCs w:val="24"/>
    </w:rPr>
  </w:style>
  <w:style w:type="character" w:customStyle="1" w:styleId="CaptionChar">
    <w:name w:val="Caption Char"/>
    <w:link w:val="Caption"/>
    <w:rsid w:val="00235360"/>
    <w:rPr>
      <w:rFonts w:ascii="Arial" w:eastAsia="MS Gothic" w:hAnsi="Arial" w:cs="Arial"/>
      <w:b/>
      <w:bCs/>
    </w:rPr>
  </w:style>
  <w:style w:type="character" w:customStyle="1" w:styleId="AppendixTitleCar">
    <w:name w:val="Appendix Title Car"/>
    <w:link w:val="AppendixTitle"/>
    <w:rsid w:val="00235360"/>
    <w:rPr>
      <w:rFonts w:ascii="Arial" w:eastAsia="Times New Roman" w:hAnsi="Arial"/>
      <w:b/>
      <w:iCs/>
      <w:kern w:val="32"/>
      <w:sz w:val="24"/>
      <w:szCs w:val="28"/>
      <w:lang w:eastAsia="en-US"/>
    </w:rPr>
  </w:style>
  <w:style w:type="character" w:customStyle="1" w:styleId="BalloonTextChar">
    <w:name w:val="Balloon Text Char"/>
    <w:link w:val="BalloonText"/>
    <w:uiPriority w:val="99"/>
    <w:semiHidden/>
    <w:rsid w:val="00235360"/>
    <w:rPr>
      <w:rFonts w:ascii="Tahoma" w:hAnsi="Tahoma" w:cs="Tahoma"/>
      <w:color w:val="000000"/>
      <w:sz w:val="16"/>
      <w:szCs w:val="16"/>
    </w:rPr>
  </w:style>
  <w:style w:type="character" w:customStyle="1" w:styleId="Heading1Char">
    <w:name w:val="Heading 1 Char"/>
    <w:link w:val="Heading1"/>
    <w:rsid w:val="0043198B"/>
    <w:rPr>
      <w:rFonts w:ascii="Arial" w:eastAsia="MS Gothic" w:hAnsi="Arial" w:cs="Arial"/>
      <w:b/>
      <w:bCs/>
      <w:caps/>
      <w:kern w:val="32"/>
      <w:sz w:val="28"/>
      <w:szCs w:val="32"/>
      <w:lang w:eastAsia="en-US"/>
    </w:rPr>
  </w:style>
  <w:style w:type="character" w:customStyle="1" w:styleId="Heading2Char">
    <w:name w:val="Heading 2 Char"/>
    <w:link w:val="Heading2"/>
    <w:rsid w:val="0043198B"/>
    <w:rPr>
      <w:rFonts w:ascii="Arial" w:eastAsia="MS Gothic" w:hAnsi="Arial" w:cs="Arial"/>
      <w:b/>
      <w:iCs/>
      <w:caps/>
      <w:kern w:val="32"/>
      <w:sz w:val="22"/>
      <w:szCs w:val="28"/>
      <w:lang w:eastAsia="en-US"/>
    </w:rPr>
  </w:style>
  <w:style w:type="character" w:customStyle="1" w:styleId="Heading4Char">
    <w:name w:val="Heading 4 Char"/>
    <w:link w:val="Heading4"/>
    <w:rsid w:val="0043198B"/>
    <w:rPr>
      <w:rFonts w:ascii="Arial" w:eastAsia="MS Gothic" w:hAnsi="Arial" w:cs="Arial"/>
      <w:b/>
      <w:i/>
      <w:kern w:val="32"/>
      <w:sz w:val="22"/>
      <w:szCs w:val="28"/>
      <w:lang w:eastAsia="en-US"/>
    </w:rPr>
  </w:style>
  <w:style w:type="character" w:customStyle="1" w:styleId="Heading5Char">
    <w:name w:val="Heading 5 Char"/>
    <w:link w:val="Heading5"/>
    <w:rsid w:val="0043198B"/>
    <w:rPr>
      <w:rFonts w:ascii="Arial" w:eastAsia="MS Gothic" w:hAnsi="Arial" w:cs="Arial"/>
      <w:i/>
      <w:iCs/>
      <w:kern w:val="32"/>
      <w:sz w:val="22"/>
      <w:szCs w:val="26"/>
      <w:lang w:eastAsia="en-US"/>
    </w:rPr>
  </w:style>
  <w:style w:type="character" w:customStyle="1" w:styleId="Heading6Char">
    <w:name w:val="Heading 6 Char"/>
    <w:link w:val="Heading6"/>
    <w:rsid w:val="0043198B"/>
    <w:rPr>
      <w:rFonts w:ascii="Arial" w:eastAsia="MS Gothic" w:hAnsi="Arial" w:cs="Arial"/>
      <w:kern w:val="32"/>
      <w:sz w:val="22"/>
      <w:szCs w:val="22"/>
      <w:lang w:eastAsia="en-US"/>
    </w:rPr>
  </w:style>
  <w:style w:type="character" w:customStyle="1" w:styleId="Heading7Char">
    <w:name w:val="Heading 7 Char"/>
    <w:link w:val="Heading7"/>
    <w:rsid w:val="0043198B"/>
    <w:rPr>
      <w:rFonts w:ascii="Arial" w:eastAsia="MS Gothic" w:hAnsi="Arial" w:cs="Arial"/>
      <w:kern w:val="32"/>
      <w:sz w:val="22"/>
      <w:szCs w:val="22"/>
      <w:lang w:eastAsia="en-US"/>
    </w:rPr>
  </w:style>
  <w:style w:type="character" w:customStyle="1" w:styleId="Heading8Char">
    <w:name w:val="Heading 8 Char"/>
    <w:link w:val="Heading8"/>
    <w:rsid w:val="0043198B"/>
    <w:rPr>
      <w:rFonts w:ascii="Arial" w:eastAsia="MS Gothic" w:hAnsi="Arial" w:cs="Arial"/>
      <w:iCs/>
      <w:kern w:val="32"/>
      <w:sz w:val="22"/>
      <w:szCs w:val="22"/>
      <w:lang w:eastAsia="en-US"/>
    </w:rPr>
  </w:style>
  <w:style w:type="character" w:customStyle="1" w:styleId="Heading9Char">
    <w:name w:val="Heading 9 Char"/>
    <w:link w:val="Heading9"/>
    <w:rsid w:val="0043198B"/>
    <w:rPr>
      <w:rFonts w:ascii="Arial" w:eastAsia="MS Gothic" w:hAnsi="Arial" w:cs="Arial"/>
      <w:kern w:val="32"/>
      <w:sz w:val="22"/>
      <w:szCs w:val="22"/>
      <w:lang w:eastAsia="en-US"/>
    </w:rPr>
  </w:style>
  <w:style w:type="character" w:customStyle="1" w:styleId="EndnoteTextChar">
    <w:name w:val="Endnote Text Char"/>
    <w:link w:val="EndnoteText"/>
    <w:semiHidden/>
    <w:rsid w:val="00235360"/>
    <w:rPr>
      <w:color w:val="000000"/>
      <w:sz w:val="22"/>
    </w:rPr>
  </w:style>
  <w:style w:type="character" w:customStyle="1" w:styleId="FooterChar">
    <w:name w:val="Footer Char"/>
    <w:link w:val="Footer"/>
    <w:rsid w:val="00235360"/>
    <w:rPr>
      <w:rFonts w:ascii="Arial" w:eastAsia="MS Gothic" w:hAnsi="Arial"/>
      <w:sz w:val="18"/>
    </w:rPr>
  </w:style>
  <w:style w:type="character" w:customStyle="1" w:styleId="FootnoteTextChar">
    <w:name w:val="Footnote Text Char"/>
    <w:link w:val="FootnoteText"/>
    <w:rsid w:val="00235360"/>
    <w:rPr>
      <w:color w:val="000000"/>
      <w:sz w:val="22"/>
    </w:rPr>
  </w:style>
  <w:style w:type="character" w:customStyle="1" w:styleId="HeaderChar">
    <w:name w:val="Header Char"/>
    <w:link w:val="Header"/>
    <w:rsid w:val="00235360"/>
    <w:rPr>
      <w:rFonts w:ascii="Arial" w:eastAsia="MS Gothic" w:hAnsi="Arial"/>
      <w:sz w:val="18"/>
    </w:rPr>
  </w:style>
  <w:style w:type="character" w:customStyle="1" w:styleId="MacroTextChar">
    <w:name w:val="Macro Text Char"/>
    <w:link w:val="MacroText"/>
    <w:semiHidden/>
    <w:rsid w:val="00235360"/>
    <w:rPr>
      <w:rFonts w:ascii="Courier New" w:eastAsia="Times New Roman" w:hAnsi="Courier New"/>
    </w:rPr>
  </w:style>
  <w:style w:type="character" w:customStyle="1" w:styleId="TitleChar">
    <w:name w:val="Title Char"/>
    <w:link w:val="Title"/>
    <w:rsid w:val="00235360"/>
    <w:rPr>
      <w:rFonts w:ascii="Arial" w:eastAsia="MS Gothic" w:hAnsi="Arial" w:cs="Arial"/>
      <w:b/>
      <w:bCs/>
      <w:caps/>
      <w:sz w:val="22"/>
      <w:szCs w:val="32"/>
    </w:rPr>
  </w:style>
  <w:style w:type="character" w:customStyle="1" w:styleId="DocumentMapChar">
    <w:name w:val="Document Map Char"/>
    <w:link w:val="DocumentMap"/>
    <w:semiHidden/>
    <w:rsid w:val="00235360"/>
    <w:rPr>
      <w:rFonts w:ascii="Tahoma" w:hAnsi="Tahoma" w:cs="Tahoma"/>
      <w:color w:val="000000"/>
      <w:shd w:val="clear" w:color="auto" w:fill="000080"/>
    </w:rPr>
  </w:style>
  <w:style w:type="character" w:customStyle="1" w:styleId="CommentSubjectChar">
    <w:name w:val="Comment Subject Char"/>
    <w:link w:val="CommentSubject"/>
    <w:semiHidden/>
    <w:rsid w:val="00235360"/>
    <w:rPr>
      <w:b/>
      <w:bCs/>
      <w:color w:val="000000"/>
    </w:rPr>
  </w:style>
  <w:style w:type="character" w:customStyle="1" w:styleId="BodyTextChar">
    <w:name w:val="Body Text Char"/>
    <w:link w:val="BodyText"/>
    <w:rsid w:val="00235360"/>
    <w:rPr>
      <w:rFonts w:eastAsia="Times New Roman"/>
      <w:color w:val="000000"/>
      <w:sz w:val="24"/>
      <w:szCs w:val="24"/>
    </w:rPr>
  </w:style>
  <w:style w:type="character" w:customStyle="1" w:styleId="PlainTextChar">
    <w:name w:val="Plain Text Char"/>
    <w:link w:val="PlainText"/>
    <w:rsid w:val="00235360"/>
    <w:rPr>
      <w:rFonts w:ascii="Courier New" w:hAnsi="Courier New" w:cs="Courier New"/>
      <w:lang w:val="fr-FR" w:eastAsia="ja-JP"/>
    </w:rPr>
  </w:style>
  <w:style w:type="paragraph" w:customStyle="1" w:styleId="Default">
    <w:name w:val="Default"/>
    <w:rsid w:val="005A37DA"/>
    <w:pPr>
      <w:autoSpaceDE w:val="0"/>
      <w:autoSpaceDN w:val="0"/>
      <w:adjustRightInd w:val="0"/>
    </w:pPr>
    <w:rPr>
      <w:rFonts w:ascii="Arial Narrow" w:hAnsi="Arial Narrow" w:cs="Arial Narrow"/>
      <w:color w:val="000000"/>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F27F0C"/>
    <w:pPr>
      <w:spacing w:before="240"/>
    </w:pPr>
    <w:rPr>
      <w:color w:val="000000"/>
      <w:sz w:val="24"/>
      <w:szCs w:val="24"/>
      <w:lang w:eastAsia="en-US"/>
    </w:rPr>
  </w:style>
  <w:style w:type="paragraph" w:styleId="Heading1">
    <w:name w:val="heading 1"/>
    <w:next w:val="Normal"/>
    <w:link w:val="Heading1Char"/>
    <w:qFormat/>
    <w:rsid w:val="0043198B"/>
    <w:pPr>
      <w:keepNext/>
      <w:pageBreakBefore/>
      <w:numPr>
        <w:numId w:val="57"/>
      </w:numPr>
      <w:spacing w:before="480"/>
      <w:outlineLvl w:val="0"/>
    </w:pPr>
    <w:rPr>
      <w:rFonts w:ascii="Arial" w:eastAsia="MS Gothic" w:hAnsi="Arial" w:cs="Arial"/>
      <w:b/>
      <w:bCs/>
      <w:caps/>
      <w:kern w:val="32"/>
      <w:sz w:val="28"/>
      <w:szCs w:val="32"/>
      <w:lang w:eastAsia="en-US"/>
    </w:rPr>
  </w:style>
  <w:style w:type="paragraph" w:styleId="Heading2">
    <w:name w:val="heading 2"/>
    <w:basedOn w:val="Heading1"/>
    <w:next w:val="Normal"/>
    <w:link w:val="Heading2Char"/>
    <w:qFormat/>
    <w:rsid w:val="0043198B"/>
    <w:pPr>
      <w:pageBreakBefore w:val="0"/>
      <w:numPr>
        <w:ilvl w:val="1"/>
      </w:numPr>
      <w:outlineLvl w:val="1"/>
    </w:pPr>
    <w:rPr>
      <w:bCs w:val="0"/>
      <w:iCs/>
      <w:sz w:val="22"/>
      <w:szCs w:val="28"/>
    </w:rPr>
  </w:style>
  <w:style w:type="paragraph" w:styleId="Heading3">
    <w:name w:val="heading 3"/>
    <w:basedOn w:val="Heading1"/>
    <w:next w:val="Normal"/>
    <w:link w:val="Heading3Char"/>
    <w:qFormat/>
    <w:rsid w:val="0043198B"/>
    <w:pPr>
      <w:pageBreakBefore w:val="0"/>
      <w:numPr>
        <w:ilvl w:val="2"/>
      </w:numPr>
      <w:spacing w:before="360"/>
      <w:outlineLvl w:val="2"/>
    </w:pPr>
    <w:rPr>
      <w:bCs w:val="0"/>
      <w:caps w:val="0"/>
      <w:sz w:val="22"/>
      <w:szCs w:val="26"/>
    </w:rPr>
  </w:style>
  <w:style w:type="paragraph" w:styleId="Heading4">
    <w:name w:val="heading 4"/>
    <w:basedOn w:val="Heading1"/>
    <w:next w:val="Normal"/>
    <w:link w:val="Heading4Char"/>
    <w:qFormat/>
    <w:rsid w:val="0043198B"/>
    <w:pPr>
      <w:pageBreakBefore w:val="0"/>
      <w:numPr>
        <w:ilvl w:val="3"/>
      </w:numPr>
      <w:spacing w:before="360"/>
      <w:outlineLvl w:val="3"/>
    </w:pPr>
    <w:rPr>
      <w:bCs w:val="0"/>
      <w:i/>
      <w:caps w:val="0"/>
      <w:sz w:val="22"/>
      <w:szCs w:val="28"/>
    </w:rPr>
  </w:style>
  <w:style w:type="paragraph" w:styleId="Heading5">
    <w:name w:val="heading 5"/>
    <w:basedOn w:val="Heading1"/>
    <w:next w:val="Normal"/>
    <w:link w:val="Heading5Char"/>
    <w:qFormat/>
    <w:rsid w:val="0043198B"/>
    <w:pPr>
      <w:pageBreakBefore w:val="0"/>
      <w:numPr>
        <w:ilvl w:val="4"/>
      </w:numPr>
      <w:spacing w:before="360"/>
      <w:outlineLvl w:val="4"/>
    </w:pPr>
    <w:rPr>
      <w:b w:val="0"/>
      <w:bCs w:val="0"/>
      <w:i/>
      <w:iCs/>
      <w:caps w:val="0"/>
      <w:sz w:val="22"/>
      <w:szCs w:val="26"/>
    </w:rPr>
  </w:style>
  <w:style w:type="paragraph" w:styleId="Heading6">
    <w:name w:val="heading 6"/>
    <w:basedOn w:val="Heading1"/>
    <w:next w:val="Normal"/>
    <w:link w:val="Heading6Char"/>
    <w:qFormat/>
    <w:rsid w:val="0043198B"/>
    <w:pPr>
      <w:pageBreakBefore w:val="0"/>
      <w:numPr>
        <w:ilvl w:val="5"/>
      </w:numPr>
      <w:spacing w:before="360"/>
      <w:outlineLvl w:val="5"/>
    </w:pPr>
    <w:rPr>
      <w:b w:val="0"/>
      <w:bCs w:val="0"/>
      <w:caps w:val="0"/>
      <w:sz w:val="22"/>
      <w:szCs w:val="22"/>
    </w:rPr>
  </w:style>
  <w:style w:type="paragraph" w:styleId="Heading7">
    <w:name w:val="heading 7"/>
    <w:basedOn w:val="Heading6"/>
    <w:next w:val="Normal"/>
    <w:link w:val="Heading7Char"/>
    <w:qFormat/>
    <w:rsid w:val="0043198B"/>
    <w:pPr>
      <w:numPr>
        <w:ilvl w:val="6"/>
      </w:numPr>
      <w:outlineLvl w:val="6"/>
    </w:pPr>
  </w:style>
  <w:style w:type="paragraph" w:styleId="Heading8">
    <w:name w:val="heading 8"/>
    <w:basedOn w:val="Heading6"/>
    <w:next w:val="Normal"/>
    <w:link w:val="Heading8Char"/>
    <w:qFormat/>
    <w:rsid w:val="0043198B"/>
    <w:pPr>
      <w:numPr>
        <w:ilvl w:val="7"/>
      </w:numPr>
      <w:outlineLvl w:val="7"/>
    </w:pPr>
    <w:rPr>
      <w:iCs/>
    </w:rPr>
  </w:style>
  <w:style w:type="paragraph" w:styleId="Heading9">
    <w:name w:val="heading 9"/>
    <w:basedOn w:val="Heading6"/>
    <w:next w:val="Normal"/>
    <w:link w:val="Heading9Char"/>
    <w:qFormat/>
    <w:rsid w:val="0043198B"/>
    <w:pPr>
      <w:numPr>
        <w:ilvl w:val="8"/>
      </w:numPr>
      <w:tabs>
        <w:tab w:val="left" w:pos="1797"/>
      </w:tabs>
      <w:outlineLvl w:val="8"/>
    </w:pPr>
  </w:style>
  <w:style w:type="character" w:default="1" w:styleId="DefaultParagraphFont">
    <w:name w:val="Default Paragraph Font"/>
    <w:semiHidden/>
    <w:rsid w:val="00F27F0C"/>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F27F0C"/>
  </w:style>
  <w:style w:type="paragraph" w:customStyle="1" w:styleId="AppendixTitle">
    <w:name w:val="Appendix Title"/>
    <w:basedOn w:val="Heading2"/>
    <w:next w:val="Normal"/>
    <w:link w:val="AppendixTitleCar"/>
    <w:rsid w:val="00F27F0C"/>
    <w:pPr>
      <w:keepNext w:val="0"/>
      <w:pageBreakBefore/>
      <w:numPr>
        <w:ilvl w:val="0"/>
        <w:numId w:val="0"/>
      </w:numPr>
      <w:tabs>
        <w:tab w:val="left" w:pos="1701"/>
      </w:tabs>
      <w:ind w:left="1701" w:hanging="1701"/>
    </w:pPr>
    <w:rPr>
      <w:rFonts w:eastAsia="Times New Roman" w:cs="Times New Roman"/>
      <w:caps w:val="0"/>
      <w:sz w:val="24"/>
    </w:rPr>
  </w:style>
  <w:style w:type="character" w:customStyle="1" w:styleId="BoldCharacter">
    <w:name w:val="Bold Character"/>
    <w:rsid w:val="00F27F0C"/>
    <w:rPr>
      <w:b/>
    </w:rPr>
  </w:style>
  <w:style w:type="character" w:customStyle="1" w:styleId="xCoverCar">
    <w:name w:val="xCover Car"/>
    <w:link w:val="xCover"/>
    <w:rPr>
      <w:rFonts w:ascii="Arial" w:eastAsia="MS Gothic" w:hAnsi="Arial"/>
    </w:rPr>
  </w:style>
  <w:style w:type="paragraph" w:styleId="Caption">
    <w:name w:val="caption"/>
    <w:next w:val="Normal"/>
    <w:link w:val="CaptionChar"/>
    <w:qFormat/>
    <w:rsid w:val="00F27F0C"/>
    <w:pPr>
      <w:keepNext/>
      <w:spacing w:before="360" w:after="120"/>
      <w:jc w:val="center"/>
    </w:pPr>
    <w:rPr>
      <w:rFonts w:ascii="Arial" w:eastAsia="MS Gothic" w:hAnsi="Arial" w:cs="Arial"/>
      <w:b/>
      <w:bCs/>
      <w:lang w:eastAsia="en-US"/>
    </w:rPr>
  </w:style>
  <w:style w:type="character" w:styleId="EndnoteReference">
    <w:name w:val="endnote reference"/>
    <w:semiHidden/>
    <w:rsid w:val="00F27F0C"/>
    <w:rPr>
      <w:vertAlign w:val="superscript"/>
    </w:rPr>
  </w:style>
  <w:style w:type="paragraph" w:styleId="EndnoteText">
    <w:name w:val="endnote text"/>
    <w:basedOn w:val="Normal"/>
    <w:link w:val="EndnoteTextChar"/>
    <w:semiHidden/>
    <w:rsid w:val="00F27F0C"/>
    <w:rPr>
      <w:sz w:val="22"/>
      <w:szCs w:val="20"/>
    </w:rPr>
  </w:style>
  <w:style w:type="character" w:customStyle="1" w:styleId="xCoverDocTitleCar">
    <w:name w:val="xCoverDocTitle Car"/>
    <w:link w:val="xCoverDocTitle"/>
    <w:rPr>
      <w:rFonts w:ascii="Arial" w:eastAsia="MS Gothic" w:hAnsi="Arial"/>
      <w:b/>
      <w:sz w:val="24"/>
    </w:rPr>
  </w:style>
  <w:style w:type="paragraph" w:styleId="Footer">
    <w:name w:val="footer"/>
    <w:link w:val="FooterChar"/>
    <w:rsid w:val="00F27F0C"/>
    <w:pPr>
      <w:tabs>
        <w:tab w:val="right" w:pos="9469"/>
      </w:tabs>
    </w:pPr>
    <w:rPr>
      <w:rFonts w:ascii="Arial" w:eastAsia="MS Gothic" w:hAnsi="Arial"/>
      <w:sz w:val="18"/>
      <w:lang w:eastAsia="en-US"/>
    </w:rPr>
  </w:style>
  <w:style w:type="paragraph" w:customStyle="1" w:styleId="FooterLandscape">
    <w:name w:val="Footer Landscape"/>
    <w:basedOn w:val="Footer"/>
    <w:rsid w:val="00F27F0C"/>
    <w:pPr>
      <w:tabs>
        <w:tab w:val="clear" w:pos="9469"/>
        <w:tab w:val="right" w:pos="14118"/>
      </w:tabs>
    </w:pPr>
  </w:style>
  <w:style w:type="character" w:styleId="FootnoteReference">
    <w:name w:val="footnote reference"/>
    <w:rsid w:val="00F27F0C"/>
    <w:rPr>
      <w:rFonts w:ascii="Times New Roman" w:eastAsia="MS Mincho" w:hAnsi="Times New Roman"/>
      <w:color w:val="0000FF"/>
      <w:sz w:val="18"/>
      <w:vertAlign w:val="superscript"/>
    </w:rPr>
  </w:style>
  <w:style w:type="paragraph" w:styleId="FootnoteText">
    <w:name w:val="footnote text"/>
    <w:basedOn w:val="Normal"/>
    <w:link w:val="FootnoteTextChar"/>
    <w:rsid w:val="00F27F0C"/>
    <w:pPr>
      <w:spacing w:before="20"/>
      <w:ind w:left="113" w:hanging="113"/>
    </w:pPr>
    <w:rPr>
      <w:sz w:val="22"/>
      <w:szCs w:val="20"/>
    </w:rPr>
  </w:style>
  <w:style w:type="paragraph" w:styleId="Header">
    <w:name w:val="header"/>
    <w:link w:val="HeaderChar"/>
    <w:rsid w:val="00F27F0C"/>
    <w:pPr>
      <w:tabs>
        <w:tab w:val="left" w:pos="4536"/>
        <w:tab w:val="right" w:pos="9480"/>
      </w:tabs>
    </w:pPr>
    <w:rPr>
      <w:rFonts w:ascii="Arial" w:eastAsia="MS Gothic" w:hAnsi="Arial"/>
      <w:sz w:val="18"/>
      <w:lang w:eastAsia="en-US"/>
    </w:rPr>
  </w:style>
  <w:style w:type="paragraph" w:customStyle="1" w:styleId="HeaderLandscape">
    <w:name w:val="Header Landscape"/>
    <w:basedOn w:val="Header"/>
    <w:rsid w:val="00F27F0C"/>
    <w:pPr>
      <w:tabs>
        <w:tab w:val="clear" w:pos="4536"/>
        <w:tab w:val="clear" w:pos="9480"/>
        <w:tab w:val="left" w:pos="6804"/>
        <w:tab w:val="right" w:pos="14118"/>
      </w:tabs>
    </w:pPr>
  </w:style>
  <w:style w:type="paragraph" w:customStyle="1" w:styleId="Heading1NoNumbering">
    <w:name w:val="Heading 1 NoNumbering"/>
    <w:basedOn w:val="Heading1"/>
    <w:next w:val="Normal"/>
    <w:rsid w:val="007D6C5F"/>
    <w:pPr>
      <w:numPr>
        <w:numId w:val="0"/>
      </w:numPr>
      <w:tabs>
        <w:tab w:val="num" w:pos="0"/>
      </w:tabs>
    </w:pPr>
  </w:style>
  <w:style w:type="paragraph" w:customStyle="1" w:styleId="Heading1NoTOC">
    <w:name w:val="Heading 1 NoTOC"/>
    <w:basedOn w:val="Heading1"/>
    <w:rsid w:val="007D6C5F"/>
    <w:pPr>
      <w:numPr>
        <w:numId w:val="0"/>
      </w:numPr>
      <w:outlineLvl w:val="9"/>
    </w:pPr>
  </w:style>
  <w:style w:type="paragraph" w:styleId="MacroText">
    <w:name w:val="macro"/>
    <w:link w:val="MacroTextChar"/>
    <w:semiHidden/>
    <w:rsid w:val="00F27F0C"/>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lang w:eastAsia="en-US"/>
    </w:rPr>
  </w:style>
  <w:style w:type="paragraph" w:customStyle="1" w:styleId="Normalnospace">
    <w:name w:val="Normal nospace"/>
    <w:basedOn w:val="Normal"/>
    <w:link w:val="NormalnospaceChar1"/>
    <w:pPr>
      <w:spacing w:before="0"/>
    </w:pPr>
  </w:style>
  <w:style w:type="paragraph" w:customStyle="1" w:styleId="SubheadingProtocolOutline">
    <w:name w:val="Subheading Protocol Outline"/>
    <w:next w:val="Normalnospace"/>
    <w:pPr>
      <w:spacing w:before="120" w:after="120"/>
    </w:pPr>
    <w:rPr>
      <w:rFonts w:ascii="Arial" w:hAnsi="Arial"/>
      <w:b/>
      <w:noProof/>
      <w:color w:val="000000"/>
      <w:kern w:val="22"/>
      <w:sz w:val="24"/>
      <w:lang w:val="en-GB" w:eastAsia="en-US"/>
    </w:rPr>
  </w:style>
  <w:style w:type="paragraph" w:styleId="TableofFigures">
    <w:name w:val="table of figures"/>
    <w:next w:val="Normal"/>
    <w:uiPriority w:val="99"/>
    <w:rsid w:val="00F27F0C"/>
    <w:pPr>
      <w:tabs>
        <w:tab w:val="right" w:leader="dot" w:pos="9468"/>
      </w:tabs>
      <w:spacing w:before="120"/>
    </w:pPr>
    <w:rPr>
      <w:rFonts w:ascii="Arial" w:eastAsia="Times New Roman" w:hAnsi="Arial"/>
      <w:lang w:eastAsia="en-US"/>
    </w:rPr>
  </w:style>
  <w:style w:type="paragraph" w:customStyle="1" w:styleId="TblFigFootnote">
    <w:name w:val="Tbl Fig Footnote"/>
    <w:link w:val="TblFigFootnoteCar"/>
    <w:rsid w:val="00F27F0C"/>
    <w:pPr>
      <w:keepLines/>
      <w:adjustRightInd w:val="0"/>
      <w:snapToGrid w:val="0"/>
      <w:spacing w:before="20" w:after="20"/>
    </w:pPr>
    <w:rPr>
      <w:rFonts w:ascii="Arial Narrow" w:eastAsia="MS Gothic" w:hAnsi="Arial Narrow"/>
      <w:sz w:val="18"/>
      <w:lang w:eastAsia="en-US"/>
    </w:rPr>
  </w:style>
  <w:style w:type="character" w:customStyle="1" w:styleId="TblFigFootnoteReference">
    <w:name w:val="Tbl Fig Footnote Reference"/>
    <w:rsid w:val="00F27F0C"/>
    <w:rPr>
      <w:rFonts w:ascii="Arial Narrow" w:eastAsia="MS Gothic" w:hAnsi="Arial Narrow"/>
      <w:i/>
      <w:dstrike w:val="0"/>
      <w:noProof w:val="0"/>
      <w:position w:val="6"/>
      <w:sz w:val="18"/>
      <w:vertAlign w:val="baseline"/>
      <w:lang w:val="en-US"/>
    </w:rPr>
  </w:style>
  <w:style w:type="paragraph" w:customStyle="1" w:styleId="TblHeadingLeft">
    <w:name w:val="Tbl Heading Left"/>
    <w:link w:val="TblHeadingLeftCar"/>
    <w:rsid w:val="00F27F0C"/>
    <w:pPr>
      <w:spacing w:before="60" w:after="60"/>
    </w:pPr>
    <w:rPr>
      <w:rFonts w:ascii="Arial" w:eastAsia="MS Gothic" w:hAnsi="Arial" w:cs="Arial"/>
      <w:b/>
      <w:noProof/>
      <w:lang w:val="de-DE" w:eastAsia="en-US"/>
    </w:rPr>
  </w:style>
  <w:style w:type="paragraph" w:customStyle="1" w:styleId="TblHeadingCenter">
    <w:name w:val="Tbl Heading Center"/>
    <w:basedOn w:val="TblHeadingLeft"/>
    <w:link w:val="TblHeadingCenterChar"/>
    <w:rsid w:val="00F27F0C"/>
    <w:pPr>
      <w:jc w:val="center"/>
    </w:pPr>
  </w:style>
  <w:style w:type="paragraph" w:customStyle="1" w:styleId="TblTextLeft">
    <w:name w:val="Tbl Text Left"/>
    <w:link w:val="TblTextLeftChar"/>
    <w:rsid w:val="00F27F0C"/>
    <w:pPr>
      <w:spacing w:before="60" w:after="60"/>
    </w:pPr>
    <w:rPr>
      <w:rFonts w:ascii="Arial Narrow" w:eastAsia="MS Gothic" w:hAnsi="Arial Narrow"/>
      <w:lang w:eastAsia="en-US"/>
    </w:rPr>
  </w:style>
  <w:style w:type="paragraph" w:customStyle="1" w:styleId="TblTextCenter">
    <w:name w:val="Tbl Text Center"/>
    <w:basedOn w:val="TblTextLeft"/>
    <w:rsid w:val="00F27F0C"/>
    <w:pPr>
      <w:jc w:val="center"/>
    </w:pPr>
  </w:style>
  <w:style w:type="paragraph" w:styleId="Title">
    <w:name w:val="Title"/>
    <w:next w:val="Normal"/>
    <w:link w:val="TitleChar"/>
    <w:qFormat/>
    <w:rsid w:val="00F27F0C"/>
    <w:pPr>
      <w:keepNext/>
      <w:spacing w:before="600" w:after="480"/>
      <w:ind w:left="1"/>
      <w:jc w:val="center"/>
      <w:outlineLvl w:val="0"/>
    </w:pPr>
    <w:rPr>
      <w:rFonts w:ascii="Arial" w:eastAsia="MS Gothic" w:hAnsi="Arial" w:cs="Arial"/>
      <w:b/>
      <w:bCs/>
      <w:caps/>
      <w:sz w:val="22"/>
      <w:szCs w:val="32"/>
      <w:lang w:eastAsia="en-US"/>
    </w:rPr>
  </w:style>
  <w:style w:type="paragraph" w:customStyle="1" w:styleId="TitleApp">
    <w:name w:val="Title App"/>
    <w:next w:val="Normal"/>
    <w:pPr>
      <w:spacing w:before="240"/>
      <w:jc w:val="center"/>
    </w:pPr>
    <w:rPr>
      <w:rFonts w:ascii="Arial" w:hAnsi="Arial"/>
      <w:b/>
      <w:caps/>
      <w:lang w:eastAsia="en-US"/>
    </w:rPr>
  </w:style>
  <w:style w:type="paragraph" w:customStyle="1" w:styleId="TitleNoToc">
    <w:name w:val="Title NoToc"/>
    <w:basedOn w:val="Title"/>
    <w:next w:val="Normal"/>
    <w:rsid w:val="00F27F0C"/>
    <w:pPr>
      <w:ind w:left="0"/>
      <w:outlineLvl w:val="9"/>
    </w:pPr>
  </w:style>
  <w:style w:type="paragraph" w:styleId="TOC1">
    <w:name w:val="toc 1"/>
    <w:next w:val="Normal"/>
    <w:uiPriority w:val="39"/>
    <w:rsid w:val="00F27F0C"/>
    <w:pPr>
      <w:tabs>
        <w:tab w:val="right" w:leader="dot" w:pos="9468"/>
      </w:tabs>
      <w:spacing w:before="240"/>
      <w:ind w:left="851" w:right="567" w:hanging="851"/>
    </w:pPr>
    <w:rPr>
      <w:rFonts w:ascii="Arial" w:eastAsia="Times New Roman" w:hAnsi="Arial"/>
      <w:b/>
      <w:caps/>
      <w:lang w:eastAsia="en-US"/>
    </w:rPr>
  </w:style>
  <w:style w:type="paragraph" w:styleId="TOC2">
    <w:name w:val="toc 2"/>
    <w:basedOn w:val="TOC1"/>
    <w:next w:val="Normal"/>
    <w:uiPriority w:val="39"/>
    <w:rsid w:val="00F27F0C"/>
    <w:rPr>
      <w:b w:val="0"/>
    </w:rPr>
  </w:style>
  <w:style w:type="paragraph" w:styleId="TOC3">
    <w:name w:val="toc 3"/>
    <w:basedOn w:val="TOC1"/>
    <w:next w:val="Normal"/>
    <w:uiPriority w:val="39"/>
    <w:rsid w:val="00F27F0C"/>
    <w:pPr>
      <w:spacing w:before="120"/>
    </w:pPr>
    <w:rPr>
      <w:b w:val="0"/>
      <w:caps w:val="0"/>
    </w:rPr>
  </w:style>
  <w:style w:type="paragraph" w:styleId="TOC4">
    <w:name w:val="toc 4"/>
    <w:basedOn w:val="TOC1"/>
    <w:next w:val="Normal"/>
    <w:uiPriority w:val="39"/>
    <w:rsid w:val="00F27F0C"/>
    <w:pPr>
      <w:spacing w:before="40"/>
    </w:pPr>
    <w:rPr>
      <w:b w:val="0"/>
      <w:caps w:val="0"/>
      <w:szCs w:val="22"/>
    </w:rPr>
  </w:style>
  <w:style w:type="paragraph" w:styleId="TOC5">
    <w:name w:val="toc 5"/>
    <w:basedOn w:val="TOC1"/>
    <w:next w:val="Normal"/>
    <w:uiPriority w:val="39"/>
    <w:rsid w:val="00F27F0C"/>
    <w:pPr>
      <w:spacing w:before="0"/>
    </w:pPr>
    <w:rPr>
      <w:b w:val="0"/>
      <w:caps w:val="0"/>
    </w:rPr>
  </w:style>
  <w:style w:type="paragraph" w:styleId="TOC6">
    <w:name w:val="toc 6"/>
    <w:basedOn w:val="TOC1"/>
    <w:next w:val="Normal"/>
    <w:uiPriority w:val="39"/>
    <w:rsid w:val="00F27F0C"/>
    <w:pPr>
      <w:spacing w:before="0"/>
    </w:pPr>
    <w:rPr>
      <w:b w:val="0"/>
      <w:caps w:val="0"/>
    </w:rPr>
  </w:style>
  <w:style w:type="paragraph" w:styleId="TOC7">
    <w:name w:val="toc 7"/>
    <w:basedOn w:val="TOC6"/>
    <w:next w:val="Normal"/>
    <w:uiPriority w:val="39"/>
    <w:rsid w:val="00F27F0C"/>
  </w:style>
  <w:style w:type="paragraph" w:styleId="TOC8">
    <w:name w:val="toc 8"/>
    <w:basedOn w:val="TOC6"/>
    <w:next w:val="Normal"/>
    <w:uiPriority w:val="39"/>
    <w:rsid w:val="00F27F0C"/>
  </w:style>
  <w:style w:type="paragraph" w:styleId="TOC9">
    <w:name w:val="toc 9"/>
    <w:basedOn w:val="TOC6"/>
    <w:next w:val="Normal"/>
    <w:uiPriority w:val="39"/>
    <w:rsid w:val="00F27F0C"/>
  </w:style>
  <w:style w:type="paragraph" w:customStyle="1" w:styleId="xCover">
    <w:name w:val="xCover"/>
    <w:link w:val="xCoverCar"/>
    <w:rsid w:val="00F27F0C"/>
    <w:pPr>
      <w:spacing w:before="120"/>
    </w:pPr>
    <w:rPr>
      <w:rFonts w:ascii="Arial" w:eastAsia="MS Gothic" w:hAnsi="Arial"/>
      <w:lang w:eastAsia="en-US"/>
    </w:rPr>
  </w:style>
  <w:style w:type="paragraph" w:customStyle="1" w:styleId="xCoverFooter">
    <w:name w:val="xCover Footer"/>
    <w:next w:val="Normal"/>
    <w:pPr>
      <w:jc w:val="center"/>
    </w:pPr>
    <w:rPr>
      <w:rFonts w:ascii="Arial Narrow" w:hAnsi="Arial Narrow"/>
      <w:sz w:val="18"/>
      <w:lang w:eastAsia="en-US"/>
    </w:rPr>
  </w:style>
  <w:style w:type="paragraph" w:customStyle="1" w:styleId="xCoverAddress">
    <w:name w:val="xCoverAddress"/>
    <w:basedOn w:val="xCover"/>
    <w:rsid w:val="00F27F0C"/>
    <w:pPr>
      <w:spacing w:before="0"/>
    </w:pPr>
  </w:style>
  <w:style w:type="paragraph" w:customStyle="1" w:styleId="xCoverDocTitle">
    <w:name w:val="xCoverDocTitle"/>
    <w:basedOn w:val="xCover"/>
    <w:link w:val="xCoverDocTitleCar"/>
    <w:rsid w:val="00F27F0C"/>
    <w:pPr>
      <w:spacing w:before="240"/>
      <w:jc w:val="center"/>
    </w:pPr>
    <w:rPr>
      <w:b/>
      <w:sz w:val="24"/>
    </w:rPr>
  </w:style>
  <w:style w:type="paragraph" w:customStyle="1" w:styleId="xCoverDocType">
    <w:name w:val="xCoverDocType"/>
    <w:basedOn w:val="xCover"/>
    <w:rsid w:val="00F27F0C"/>
    <w:pPr>
      <w:spacing w:before="360"/>
      <w:jc w:val="center"/>
    </w:pPr>
    <w:rPr>
      <w:b/>
      <w:caps/>
      <w:sz w:val="28"/>
    </w:rPr>
  </w:style>
  <w:style w:type="paragraph" w:customStyle="1" w:styleId="xCoverFooter0">
    <w:name w:val="xCoverFooter"/>
    <w:basedOn w:val="xCover"/>
    <w:pPr>
      <w:jc w:val="center"/>
    </w:pPr>
    <w:rPr>
      <w:rFonts w:ascii="Arial Narrow" w:hAnsi="Arial Narrow"/>
      <w:sz w:val="18"/>
    </w:rPr>
  </w:style>
  <w:style w:type="character" w:styleId="PageNumber">
    <w:name w:val="page number"/>
    <w:rsid w:val="00F27F0C"/>
  </w:style>
  <w:style w:type="paragraph" w:styleId="BalloonText">
    <w:name w:val="Balloon Text"/>
    <w:basedOn w:val="Normal"/>
    <w:link w:val="BalloonTextChar"/>
    <w:uiPriority w:val="99"/>
    <w:semiHidden/>
    <w:rPr>
      <w:rFonts w:ascii="Tahoma" w:hAnsi="Tahoma" w:cs="Tahoma"/>
      <w:sz w:val="16"/>
      <w:szCs w:val="16"/>
    </w:rPr>
  </w:style>
  <w:style w:type="character" w:customStyle="1" w:styleId="TblHeadingLeftChar">
    <w:name w:val="Tbl Heading Left Char"/>
    <w:rPr>
      <w:rFonts w:ascii="Arial" w:hAnsi="Arial"/>
      <w:b/>
      <w:lang w:val="en-US" w:eastAsia="en-US" w:bidi="ar-SA"/>
    </w:rPr>
  </w:style>
  <w:style w:type="paragraph" w:customStyle="1" w:styleId="ListNumbered">
    <w:name w:val="List Numbered"/>
    <w:basedOn w:val="Normal"/>
    <w:rsid w:val="00F27F0C"/>
    <w:pPr>
      <w:numPr>
        <w:numId w:val="9"/>
      </w:numPr>
      <w:spacing w:before="120"/>
    </w:pPr>
  </w:style>
  <w:style w:type="paragraph" w:customStyle="1" w:styleId="NumberListInclusion">
    <w:name w:val="Number List Inclusion"/>
    <w:basedOn w:val="Normal"/>
    <w:rsid w:val="00F27F0C"/>
    <w:pPr>
      <w:numPr>
        <w:numId w:val="20"/>
      </w:numPr>
    </w:pPr>
  </w:style>
  <w:style w:type="paragraph" w:customStyle="1" w:styleId="NumberListExclusion">
    <w:name w:val="Number List Exclusion"/>
    <w:basedOn w:val="Normal"/>
    <w:rsid w:val="00F27F0C"/>
    <w:pPr>
      <w:numPr>
        <w:numId w:val="18"/>
      </w:numPr>
    </w:pPr>
  </w:style>
  <w:style w:type="paragraph" w:styleId="DocumentMap">
    <w:name w:val="Document Map"/>
    <w:basedOn w:val="Normal"/>
    <w:link w:val="DocumentMapChar"/>
    <w:semiHidden/>
    <w:rsid w:val="00F27F0C"/>
    <w:pPr>
      <w:shd w:val="clear" w:color="auto" w:fill="000080"/>
    </w:pPr>
    <w:rPr>
      <w:rFonts w:ascii="Tahoma" w:hAnsi="Tahoma" w:cs="Tahoma"/>
      <w:sz w:val="20"/>
      <w:szCs w:val="20"/>
    </w:rPr>
  </w:style>
  <w:style w:type="character" w:styleId="CommentReference">
    <w:name w:val="annotation reference"/>
    <w:semiHidden/>
    <w:rPr>
      <w:sz w:val="16"/>
      <w:szCs w:val="16"/>
    </w:rPr>
  </w:style>
  <w:style w:type="paragraph" w:styleId="CommentText">
    <w:name w:val="annotation text"/>
    <w:basedOn w:val="Normal"/>
    <w:link w:val="CommentTextChar1"/>
    <w:semiHidden/>
    <w:rPr>
      <w:sz w:val="20"/>
      <w:szCs w:val="20"/>
    </w:rPr>
  </w:style>
  <w:style w:type="paragraph" w:styleId="CommentSubject">
    <w:name w:val="annotation subject"/>
    <w:basedOn w:val="CommentText"/>
    <w:next w:val="CommentText"/>
    <w:link w:val="CommentSubjectChar"/>
    <w:semiHidden/>
    <w:rPr>
      <w:b/>
      <w:bCs/>
    </w:rPr>
  </w:style>
  <w:style w:type="paragraph" w:customStyle="1" w:styleId="ListBulletLevel1">
    <w:name w:val="List Bullet Level 1"/>
    <w:basedOn w:val="Normal"/>
    <w:link w:val="ListBulletLevel1Char"/>
    <w:rsid w:val="00F27F0C"/>
    <w:pPr>
      <w:numPr>
        <w:numId w:val="13"/>
      </w:numPr>
      <w:spacing w:before="120"/>
    </w:pPr>
  </w:style>
  <w:style w:type="paragraph" w:customStyle="1" w:styleId="ListAlphabeticalLevel1">
    <w:name w:val="List Alphabetical Level 1"/>
    <w:basedOn w:val="Normal"/>
    <w:rsid w:val="00F27F0C"/>
    <w:pPr>
      <w:numPr>
        <w:numId w:val="7"/>
      </w:numPr>
      <w:spacing w:before="120"/>
    </w:pPr>
  </w:style>
  <w:style w:type="paragraph" w:customStyle="1" w:styleId="ListBulletLevel2">
    <w:name w:val="List Bullet Level 2"/>
    <w:basedOn w:val="Normal"/>
    <w:rsid w:val="00F27F0C"/>
    <w:pPr>
      <w:numPr>
        <w:numId w:val="15"/>
      </w:numPr>
      <w:spacing w:before="120"/>
    </w:pPr>
    <w:rPr>
      <w:szCs w:val="20"/>
    </w:rPr>
  </w:style>
  <w:style w:type="paragraph" w:customStyle="1" w:styleId="InstructionsText">
    <w:name w:val="Instructions Text"/>
    <w:basedOn w:val="Normal"/>
    <w:next w:val="Normal"/>
    <w:link w:val="InstructionsTextChar"/>
    <w:rsid w:val="00F27F0C"/>
    <w:pPr>
      <w:shd w:val="clear" w:color="auto" w:fill="FFCC66"/>
      <w:spacing w:before="40" w:after="40"/>
    </w:pPr>
    <w:rPr>
      <w:shd w:val="clear" w:color="auto" w:fill="FFCC66"/>
    </w:rPr>
  </w:style>
  <w:style w:type="character" w:customStyle="1" w:styleId="InstructionsTextChar">
    <w:name w:val="Instructions Text Char"/>
    <w:link w:val="InstructionsText"/>
    <w:rsid w:val="00F27F0C"/>
    <w:rPr>
      <w:color w:val="000000"/>
      <w:sz w:val="24"/>
      <w:szCs w:val="24"/>
      <w:shd w:val="clear" w:color="auto" w:fill="FFCC66"/>
      <w:lang w:eastAsia="en-US"/>
    </w:rPr>
  </w:style>
  <w:style w:type="paragraph" w:styleId="TableofAuthorities">
    <w:name w:val="table of authorities"/>
    <w:basedOn w:val="Normal"/>
    <w:next w:val="Normal"/>
    <w:semiHidden/>
    <w:rsid w:val="00F27F0C"/>
    <w:pPr>
      <w:ind w:left="240" w:hanging="240"/>
    </w:pPr>
  </w:style>
  <w:style w:type="character" w:styleId="Hyperlink">
    <w:name w:val="Hyperlink"/>
    <w:uiPriority w:val="99"/>
    <w:rsid w:val="00F27F0C"/>
    <w:rPr>
      <w:color w:val="0000FF"/>
      <w:u w:val="single"/>
    </w:rPr>
  </w:style>
  <w:style w:type="paragraph" w:customStyle="1" w:styleId="Bibliography1">
    <w:name w:val="Bibliography1"/>
    <w:basedOn w:val="Normal"/>
    <w:next w:val="Normal"/>
    <w:pPr>
      <w:ind w:left="357" w:hanging="357"/>
    </w:pPr>
  </w:style>
  <w:style w:type="character" w:customStyle="1" w:styleId="ReplaceText">
    <w:name w:val="Replace Text"/>
    <w:rsid w:val="00F27F0C"/>
    <w:rPr>
      <w:color w:val="FF00FF"/>
    </w:rPr>
  </w:style>
  <w:style w:type="paragraph" w:customStyle="1" w:styleId="ListAlphabeticalLevel2">
    <w:name w:val="List Alphabetical Level 2"/>
    <w:basedOn w:val="ListNumbered"/>
    <w:rsid w:val="00F27F0C"/>
    <w:pPr>
      <w:numPr>
        <w:numId w:val="10"/>
      </w:numPr>
    </w:pPr>
  </w:style>
  <w:style w:type="paragraph" w:styleId="Index1">
    <w:name w:val="index 1"/>
    <w:basedOn w:val="Normal"/>
    <w:next w:val="Normal"/>
    <w:uiPriority w:val="99"/>
    <w:semiHidden/>
    <w:rsid w:val="00F27F0C"/>
    <w:pPr>
      <w:tabs>
        <w:tab w:val="left" w:pos="1701"/>
        <w:tab w:val="left" w:pos="3402"/>
        <w:tab w:val="left" w:pos="5103"/>
      </w:tabs>
      <w:spacing w:before="0"/>
      <w:ind w:left="1701" w:hanging="1701"/>
    </w:pPr>
  </w:style>
  <w:style w:type="paragraph" w:styleId="TOAHeading">
    <w:name w:val="toa heading"/>
    <w:basedOn w:val="Normal"/>
    <w:next w:val="Normal"/>
    <w:semiHidden/>
    <w:rsid w:val="00F27F0C"/>
    <w:pPr>
      <w:spacing w:before="120"/>
    </w:pPr>
    <w:rPr>
      <w:rFonts w:ascii="Arial" w:hAnsi="Arial" w:cs="Arial"/>
      <w:b/>
      <w:bCs/>
    </w:rPr>
  </w:style>
  <w:style w:type="character" w:customStyle="1" w:styleId="Reference">
    <w:name w:val="Reference"/>
    <w:rsid w:val="00F27F0C"/>
    <w:rPr>
      <w:color w:val="0000FF"/>
    </w:rPr>
  </w:style>
  <w:style w:type="paragraph" w:customStyle="1" w:styleId="TblTextbulletedlist">
    <w:name w:val="Tbl Text bulleted list"/>
    <w:basedOn w:val="TblTextLeft"/>
    <w:rsid w:val="00F27F0C"/>
    <w:pPr>
      <w:numPr>
        <w:numId w:val="22"/>
      </w:numPr>
      <w:tabs>
        <w:tab w:val="left" w:pos="216"/>
      </w:tabs>
      <w:spacing w:before="0" w:after="0"/>
    </w:pPr>
  </w:style>
  <w:style w:type="paragraph" w:styleId="ListBullet">
    <w:name w:val="List Bullet"/>
    <w:basedOn w:val="Normal"/>
    <w:rsid w:val="00F27F0C"/>
    <w:pPr>
      <w:numPr>
        <w:numId w:val="12"/>
      </w:numPr>
    </w:pPr>
  </w:style>
  <w:style w:type="character" w:customStyle="1" w:styleId="TblFigFootnoteChar">
    <w:name w:val="Tbl Fig Footnote Char"/>
    <w:rsid w:val="00F27F0C"/>
    <w:rPr>
      <w:rFonts w:ascii="Arial Narrow" w:eastAsia="MS Gothic" w:hAnsi="Arial Narrow"/>
      <w:sz w:val="18"/>
      <w:lang w:val="en-US" w:eastAsia="en-US" w:bidi="ar-SA"/>
    </w:rPr>
  </w:style>
  <w:style w:type="character" w:styleId="FollowedHyperlink">
    <w:name w:val="FollowedHyperlink"/>
    <w:rsid w:val="00F27F0C"/>
    <w:rPr>
      <w:color w:val="0000FF"/>
      <w:u w:val="single"/>
    </w:rPr>
  </w:style>
  <w:style w:type="character" w:customStyle="1" w:styleId="BlueReplace">
    <w:name w:val="Blue Replace"/>
    <w:rPr>
      <w:color w:val="0000FF"/>
    </w:rPr>
  </w:style>
  <w:style w:type="paragraph" w:styleId="BodyText">
    <w:name w:val="Body Text"/>
    <w:basedOn w:val="Normal"/>
    <w:link w:val="BodyTextChar"/>
    <w:pPr>
      <w:spacing w:after="120"/>
    </w:pPr>
    <w:rPr>
      <w:rFonts w:eastAsia="Times New Roman"/>
    </w:rPr>
  </w:style>
  <w:style w:type="character" w:styleId="Strong">
    <w:name w:val="Strong"/>
    <w:qFormat/>
    <w:rPr>
      <w:b/>
      <w:bCs/>
    </w:rPr>
  </w:style>
  <w:style w:type="paragraph" w:customStyle="1" w:styleId="BulletList1">
    <w:name w:val="Bullet List 1"/>
    <w:basedOn w:val="Normal"/>
    <w:next w:val="Normal"/>
    <w:pPr>
      <w:tabs>
        <w:tab w:val="num" w:pos="360"/>
      </w:tabs>
      <w:spacing w:before="120"/>
      <w:ind w:left="360" w:hanging="360"/>
    </w:pPr>
    <w:rPr>
      <w:rFonts w:eastAsia="Times New Roman"/>
      <w:szCs w:val="20"/>
    </w:rPr>
  </w:style>
  <w:style w:type="paragraph" w:customStyle="1" w:styleId="NumberList">
    <w:name w:val="Number List"/>
    <w:basedOn w:val="Normal"/>
    <w:pPr>
      <w:numPr>
        <w:numId w:val="1"/>
      </w:numPr>
      <w:spacing w:before="120"/>
    </w:pPr>
  </w:style>
  <w:style w:type="paragraph" w:customStyle="1" w:styleId="ActionItems">
    <w:name w:val="Action Items"/>
    <w:basedOn w:val="Normal"/>
    <w:pPr>
      <w:numPr>
        <w:numId w:val="2"/>
      </w:numPr>
      <w:spacing w:before="0"/>
    </w:pPr>
    <w:rPr>
      <w:color w:val="auto"/>
      <w:lang w:eastAsia="ja-JP"/>
    </w:rPr>
  </w:style>
  <w:style w:type="table" w:styleId="TableGrid">
    <w:name w:val="Table Grid"/>
    <w:basedOn w:val="TableNormal"/>
    <w:rsid w:val="00F27F0C"/>
    <w:pPr>
      <w:spacing w:before="240"/>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qFormat/>
    <w:rPr>
      <w:i/>
      <w:iCs/>
    </w:rPr>
  </w:style>
  <w:style w:type="character" w:customStyle="1" w:styleId="instructionstextchar0">
    <w:name w:val="instructionstextchar"/>
    <w:rPr>
      <w:rFonts w:ascii="MS Mincho" w:eastAsia="MS Mincho" w:hAnsi="MS Mincho" w:hint="eastAsia"/>
      <w:color w:val="000000"/>
      <w:shd w:val="clear" w:color="auto" w:fill="FFCC66"/>
    </w:rPr>
  </w:style>
  <w:style w:type="paragraph" w:styleId="PlainText">
    <w:name w:val="Plain Text"/>
    <w:basedOn w:val="Normal"/>
    <w:link w:val="PlainTextChar"/>
    <w:pPr>
      <w:spacing w:before="0"/>
    </w:pPr>
    <w:rPr>
      <w:rFonts w:ascii="Courier New" w:hAnsi="Courier New" w:cs="Courier New"/>
      <w:color w:val="auto"/>
      <w:sz w:val="20"/>
      <w:szCs w:val="20"/>
      <w:lang w:val="fr-FR" w:eastAsia="ja-JP"/>
    </w:rPr>
  </w:style>
  <w:style w:type="paragraph" w:customStyle="1" w:styleId="instructionstext0">
    <w:name w:val="instructionstext"/>
    <w:basedOn w:val="Normal"/>
    <w:rsid w:val="008656A0"/>
    <w:pPr>
      <w:spacing w:before="100" w:beforeAutospacing="1" w:after="100" w:afterAutospacing="1"/>
    </w:pPr>
    <w:rPr>
      <w:rFonts w:eastAsia="宋体"/>
      <w:color w:val="auto"/>
      <w:lang w:val="fr-FR" w:eastAsia="zh-CN"/>
    </w:rPr>
  </w:style>
  <w:style w:type="character" w:customStyle="1" w:styleId="CommentTextChar1">
    <w:name w:val="Comment Text Char1"/>
    <w:link w:val="CommentText"/>
    <w:semiHidden/>
    <w:locked/>
    <w:rsid w:val="00981280"/>
    <w:rPr>
      <w:rFonts w:eastAsia="MS Mincho"/>
      <w:color w:val="000000"/>
      <w:lang w:val="en-US" w:eastAsia="en-US" w:bidi="ar-SA"/>
    </w:rPr>
  </w:style>
  <w:style w:type="paragraph" w:customStyle="1" w:styleId="Tabletext">
    <w:name w:val="Table text"/>
    <w:basedOn w:val="Normal"/>
    <w:link w:val="TabletextCar"/>
    <w:rsid w:val="00981280"/>
    <w:pPr>
      <w:widowControl w:val="0"/>
      <w:spacing w:before="60" w:after="60"/>
    </w:pPr>
    <w:rPr>
      <w:rFonts w:ascii="Arial" w:hAnsi="Arial"/>
      <w:color w:val="auto"/>
      <w:sz w:val="20"/>
      <w:szCs w:val="20"/>
    </w:rPr>
  </w:style>
  <w:style w:type="character" w:customStyle="1" w:styleId="TblTextLeftChar">
    <w:name w:val="Tbl Text Left Char"/>
    <w:link w:val="TblTextLeft"/>
    <w:locked/>
    <w:rsid w:val="00EF2B6B"/>
    <w:rPr>
      <w:rFonts w:ascii="Arial Narrow" w:eastAsia="MS Gothic" w:hAnsi="Arial Narrow"/>
    </w:rPr>
  </w:style>
  <w:style w:type="character" w:customStyle="1" w:styleId="TblFigFootnoteCar">
    <w:name w:val="Tbl Fig Footnote Car"/>
    <w:link w:val="TblFigFootnote"/>
    <w:locked/>
    <w:rsid w:val="00EF2B6B"/>
    <w:rPr>
      <w:rFonts w:ascii="Arial Narrow" w:eastAsia="MS Gothic" w:hAnsi="Arial Narrow"/>
      <w:sz w:val="18"/>
    </w:rPr>
  </w:style>
  <w:style w:type="character" w:customStyle="1" w:styleId="TblHeadingCenterChar">
    <w:name w:val="Tbl Heading Center Char"/>
    <w:link w:val="TblHeadingCenter"/>
    <w:locked/>
    <w:rsid w:val="00EF2B6B"/>
    <w:rPr>
      <w:rFonts w:ascii="Arial" w:eastAsia="MS Gothic" w:hAnsi="Arial" w:cs="Arial"/>
      <w:b/>
      <w:noProof/>
      <w:lang w:val="de-DE"/>
    </w:rPr>
  </w:style>
  <w:style w:type="character" w:customStyle="1" w:styleId="CommentTextChar">
    <w:name w:val="Comment Text Char"/>
    <w:semiHidden/>
    <w:locked/>
    <w:rsid w:val="005D6372"/>
    <w:rPr>
      <w:rFonts w:eastAsia="MS Mincho"/>
      <w:color w:val="000000"/>
      <w:lang w:val="en-US" w:eastAsia="en-US" w:bidi="ar-SA"/>
    </w:rPr>
  </w:style>
  <w:style w:type="paragraph" w:styleId="NormalWeb">
    <w:name w:val="Normal (Web)"/>
    <w:basedOn w:val="Normal"/>
    <w:uiPriority w:val="99"/>
    <w:rsid w:val="006771DB"/>
    <w:pPr>
      <w:spacing w:before="100" w:beforeAutospacing="1" w:after="100" w:afterAutospacing="1"/>
    </w:pPr>
    <w:rPr>
      <w:rFonts w:eastAsia="宋体"/>
      <w:color w:val="auto"/>
      <w:lang w:val="fr-FR" w:eastAsia="zh-CN"/>
    </w:rPr>
  </w:style>
  <w:style w:type="paragraph" w:customStyle="1" w:styleId="NumberListExclusionSynospis">
    <w:name w:val="Number List Exclusion Synospis"/>
    <w:basedOn w:val="Normal"/>
    <w:autoRedefine/>
    <w:rsid w:val="00F27F0C"/>
    <w:pPr>
      <w:numPr>
        <w:numId w:val="19"/>
      </w:numPr>
      <w:spacing w:before="60"/>
    </w:pPr>
    <w:rPr>
      <w:rFonts w:ascii="Arial Narrow" w:hAnsi="Arial Narrow"/>
      <w:sz w:val="20"/>
    </w:rPr>
  </w:style>
  <w:style w:type="character" w:customStyle="1" w:styleId="TabletextCar">
    <w:name w:val="Table text Car"/>
    <w:link w:val="Tabletext"/>
    <w:rsid w:val="00C367E6"/>
    <w:rPr>
      <w:rFonts w:ascii="Arial" w:eastAsia="MS Mincho" w:hAnsi="Arial"/>
      <w:lang w:val="en-US" w:eastAsia="en-US" w:bidi="ar-SA"/>
    </w:rPr>
  </w:style>
  <w:style w:type="character" w:customStyle="1" w:styleId="Heading3Char">
    <w:name w:val="Heading 3 Char"/>
    <w:link w:val="Heading3"/>
    <w:rsid w:val="0043198B"/>
    <w:rPr>
      <w:rFonts w:ascii="Arial" w:eastAsia="MS Gothic" w:hAnsi="Arial" w:cs="Arial"/>
      <w:b/>
      <w:kern w:val="32"/>
      <w:sz w:val="22"/>
      <w:szCs w:val="26"/>
      <w:lang w:eastAsia="en-US"/>
    </w:rPr>
  </w:style>
  <w:style w:type="paragraph" w:styleId="Revision">
    <w:name w:val="Revision"/>
    <w:hidden/>
    <w:uiPriority w:val="99"/>
    <w:semiHidden/>
    <w:rsid w:val="00080226"/>
    <w:rPr>
      <w:color w:val="000000"/>
      <w:sz w:val="24"/>
      <w:szCs w:val="24"/>
      <w:lang w:eastAsia="en-US"/>
    </w:rPr>
  </w:style>
  <w:style w:type="paragraph" w:styleId="ListParagraph">
    <w:name w:val="List Paragraph"/>
    <w:basedOn w:val="Normal"/>
    <w:uiPriority w:val="34"/>
    <w:qFormat/>
    <w:rsid w:val="00FB6051"/>
    <w:pPr>
      <w:ind w:left="720"/>
      <w:contextualSpacing/>
    </w:pPr>
  </w:style>
  <w:style w:type="paragraph" w:customStyle="1" w:styleId="Heading4Nonumbering">
    <w:name w:val="Heading 4 No numbering"/>
    <w:basedOn w:val="Heading4"/>
    <w:next w:val="Normal"/>
    <w:rsid w:val="001D0430"/>
    <w:pPr>
      <w:numPr>
        <w:ilvl w:val="0"/>
        <w:numId w:val="0"/>
      </w:numPr>
    </w:pPr>
    <w:rPr>
      <w:kern w:val="22"/>
    </w:rPr>
  </w:style>
  <w:style w:type="paragraph" w:customStyle="1" w:styleId="Narrative">
    <w:name w:val="Narrative"/>
    <w:basedOn w:val="Normal"/>
    <w:next w:val="Normal"/>
    <w:rsid w:val="00F27F0C"/>
    <w:pPr>
      <w:spacing w:before="60" w:after="60"/>
    </w:pPr>
    <w:rPr>
      <w:rFonts w:ascii="Arial" w:eastAsia="Times New Roman" w:hAnsi="Arial"/>
      <w:b/>
      <w:caps/>
      <w:sz w:val="20"/>
    </w:rPr>
  </w:style>
  <w:style w:type="character" w:customStyle="1" w:styleId="NormalnospaceChar1">
    <w:name w:val="Normal nospace Char1"/>
    <w:link w:val="Normalnospace"/>
    <w:rsid w:val="001D0430"/>
    <w:rPr>
      <w:color w:val="000000"/>
      <w:sz w:val="24"/>
      <w:szCs w:val="24"/>
      <w:lang w:val="en-US" w:eastAsia="en-US"/>
    </w:rPr>
  </w:style>
  <w:style w:type="paragraph" w:customStyle="1" w:styleId="xCover0">
    <w:name w:val="xCover 0"/>
    <w:next w:val="xCover"/>
    <w:rsid w:val="001D0430"/>
    <w:rPr>
      <w:rFonts w:ascii="Arial" w:eastAsia="Times New Roman" w:hAnsi="Arial"/>
      <w:b/>
      <w:color w:val="000000"/>
      <w:u w:val="single"/>
      <w:lang w:eastAsia="en-US"/>
    </w:rPr>
  </w:style>
  <w:style w:type="paragraph" w:customStyle="1" w:styleId="Appendix">
    <w:name w:val="Appendix"/>
    <w:basedOn w:val="Normal"/>
    <w:next w:val="Normal"/>
    <w:link w:val="AppendixCar"/>
    <w:rsid w:val="001D0430"/>
    <w:pPr>
      <w:pageBreakBefore/>
      <w:overflowPunct w:val="0"/>
      <w:autoSpaceDE w:val="0"/>
      <w:autoSpaceDN w:val="0"/>
      <w:adjustRightInd w:val="0"/>
      <w:spacing w:before="1080"/>
      <w:jc w:val="center"/>
      <w:textAlignment w:val="baseline"/>
    </w:pPr>
    <w:rPr>
      <w:b/>
      <w:color w:val="auto"/>
      <w:szCs w:val="20"/>
      <w:lang w:eastAsia="fr-FR"/>
    </w:rPr>
  </w:style>
  <w:style w:type="paragraph" w:customStyle="1" w:styleId="XCoverDocTypeNE">
    <w:name w:val="XCoverDocType_NE"/>
    <w:basedOn w:val="xCoverDocType"/>
    <w:next w:val="Normal"/>
    <w:rsid w:val="001D0430"/>
  </w:style>
  <w:style w:type="paragraph" w:customStyle="1" w:styleId="xCoverdoc">
    <w:name w:val="xCoverdoc"/>
    <w:basedOn w:val="TblTextLeft"/>
    <w:rsid w:val="001D0430"/>
    <w:rPr>
      <w:sz w:val="24"/>
    </w:rPr>
  </w:style>
  <w:style w:type="paragraph" w:customStyle="1" w:styleId="xcoverdoctype0">
    <w:name w:val="xcoverdoctype"/>
    <w:basedOn w:val="Normal"/>
    <w:rsid w:val="001D0430"/>
    <w:pPr>
      <w:spacing w:before="100" w:beforeAutospacing="1" w:after="100" w:afterAutospacing="1"/>
    </w:pPr>
    <w:rPr>
      <w:color w:val="auto"/>
      <w:lang w:val="fr-FR" w:eastAsia="ja-JP"/>
    </w:rPr>
  </w:style>
  <w:style w:type="paragraph" w:customStyle="1" w:styleId="tbltextleft0">
    <w:name w:val="tbltextleft"/>
    <w:basedOn w:val="Normal"/>
    <w:rsid w:val="001D0430"/>
    <w:pPr>
      <w:spacing w:before="100" w:beforeAutospacing="1" w:after="100" w:afterAutospacing="1"/>
    </w:pPr>
    <w:rPr>
      <w:color w:val="auto"/>
      <w:lang w:val="fr-FR" w:eastAsia="ja-JP"/>
    </w:rPr>
  </w:style>
  <w:style w:type="paragraph" w:styleId="List">
    <w:name w:val="List"/>
    <w:basedOn w:val="Normal"/>
    <w:rsid w:val="001D0430"/>
    <w:pPr>
      <w:ind w:left="283" w:hanging="283"/>
    </w:pPr>
  </w:style>
  <w:style w:type="character" w:customStyle="1" w:styleId="AppendixCar">
    <w:name w:val="Appendix Car"/>
    <w:link w:val="Appendix"/>
    <w:rsid w:val="001D0430"/>
    <w:rPr>
      <w:b/>
      <w:sz w:val="24"/>
      <w:lang w:val="en-US"/>
    </w:rPr>
  </w:style>
  <w:style w:type="character" w:customStyle="1" w:styleId="ngcommenttext">
    <w:name w:val="ngcommenttext"/>
    <w:rsid w:val="000906A0"/>
  </w:style>
  <w:style w:type="paragraph" w:customStyle="1" w:styleId="ListBulletLevel2Synospis">
    <w:name w:val="List Bullet Level 2 Synospis"/>
    <w:basedOn w:val="Normal"/>
    <w:autoRedefine/>
    <w:rsid w:val="00F27F0C"/>
    <w:pPr>
      <w:numPr>
        <w:numId w:val="16"/>
      </w:numPr>
      <w:spacing w:before="60"/>
    </w:pPr>
    <w:rPr>
      <w:rFonts w:ascii="Arial Narrow" w:hAnsi="Arial Narrow"/>
      <w:sz w:val="20"/>
      <w:szCs w:val="20"/>
    </w:rPr>
  </w:style>
  <w:style w:type="paragraph" w:customStyle="1" w:styleId="ListAlphabeticalLevel1Synospis">
    <w:name w:val="List Alphabetical Level 1 Synospis"/>
    <w:basedOn w:val="Normal"/>
    <w:autoRedefine/>
    <w:rsid w:val="00F27F0C"/>
    <w:pPr>
      <w:numPr>
        <w:numId w:val="8"/>
      </w:numPr>
      <w:spacing w:before="60"/>
    </w:pPr>
    <w:rPr>
      <w:rFonts w:ascii="Arial Narrow" w:hAnsi="Arial Narrow"/>
      <w:sz w:val="20"/>
    </w:rPr>
  </w:style>
  <w:style w:type="paragraph" w:styleId="Bibliography">
    <w:name w:val="Bibliography"/>
    <w:basedOn w:val="Normal"/>
    <w:next w:val="Normal"/>
    <w:rsid w:val="00F27F0C"/>
    <w:pPr>
      <w:ind w:left="357" w:hanging="357"/>
    </w:pPr>
  </w:style>
  <w:style w:type="paragraph" w:customStyle="1" w:styleId="ListAlphabeticalLevel2Synospis">
    <w:name w:val="List Alphabetical Level 2 Synospis"/>
    <w:basedOn w:val="ListNumbered"/>
    <w:autoRedefine/>
    <w:rsid w:val="00F27F0C"/>
    <w:pPr>
      <w:numPr>
        <w:numId w:val="11"/>
      </w:numPr>
      <w:spacing w:before="60"/>
    </w:pPr>
    <w:rPr>
      <w:rFonts w:ascii="Arial Narrow" w:hAnsi="Arial Narrow"/>
      <w:sz w:val="20"/>
    </w:rPr>
  </w:style>
  <w:style w:type="paragraph" w:customStyle="1" w:styleId="ListBulletLevel1Synospis">
    <w:name w:val="List Bullet Level 1 Synospis"/>
    <w:basedOn w:val="Normal"/>
    <w:autoRedefine/>
    <w:rsid w:val="00F27F0C"/>
    <w:pPr>
      <w:numPr>
        <w:numId w:val="14"/>
      </w:numPr>
      <w:spacing w:before="60"/>
    </w:pPr>
    <w:rPr>
      <w:rFonts w:ascii="Arial Narrow" w:hAnsi="Arial Narrow"/>
      <w:sz w:val="20"/>
    </w:rPr>
  </w:style>
  <w:style w:type="paragraph" w:customStyle="1" w:styleId="ListNumberedSynospis">
    <w:name w:val="List Numbered Synospis"/>
    <w:basedOn w:val="Normal"/>
    <w:autoRedefine/>
    <w:rsid w:val="00F27F0C"/>
    <w:pPr>
      <w:numPr>
        <w:numId w:val="17"/>
      </w:numPr>
      <w:spacing w:before="60"/>
    </w:pPr>
    <w:rPr>
      <w:rFonts w:ascii="Arial Narrow" w:hAnsi="Arial Narrow"/>
      <w:sz w:val="20"/>
    </w:rPr>
  </w:style>
  <w:style w:type="paragraph" w:customStyle="1" w:styleId="NumberListInclusionSynospis">
    <w:name w:val="Number List Inclusion Synospis"/>
    <w:basedOn w:val="Normal"/>
    <w:autoRedefine/>
    <w:rsid w:val="00F27F0C"/>
    <w:pPr>
      <w:numPr>
        <w:numId w:val="21"/>
      </w:numPr>
      <w:spacing w:before="60"/>
    </w:pPr>
    <w:rPr>
      <w:rFonts w:ascii="Arial Narrow" w:hAnsi="Arial Narrow"/>
      <w:sz w:val="20"/>
    </w:rPr>
  </w:style>
  <w:style w:type="character" w:customStyle="1" w:styleId="TblHeadingLeftCar">
    <w:name w:val="Tbl Heading Left Car"/>
    <w:link w:val="TblHeadingLeft"/>
    <w:rsid w:val="00357E3B"/>
    <w:rPr>
      <w:rFonts w:ascii="Arial" w:eastAsia="MS Gothic" w:hAnsi="Arial" w:cs="Arial"/>
      <w:b/>
      <w:noProof/>
      <w:lang w:val="de-DE"/>
    </w:rPr>
  </w:style>
  <w:style w:type="paragraph" w:customStyle="1" w:styleId="AppendixTitle0">
    <w:name w:val="Appendix Title"/>
    <w:basedOn w:val="Heading2"/>
    <w:next w:val="Normal"/>
    <w:rsid w:val="00235360"/>
    <w:pPr>
      <w:keepNext w:val="0"/>
      <w:pageBreakBefore/>
      <w:numPr>
        <w:ilvl w:val="0"/>
        <w:numId w:val="0"/>
      </w:numPr>
      <w:tabs>
        <w:tab w:val="left" w:pos="1701"/>
        <w:tab w:val="num" w:pos="2185"/>
      </w:tabs>
      <w:ind w:left="1701" w:hanging="1701"/>
    </w:pPr>
    <w:rPr>
      <w:rFonts w:eastAsia="Times New Roman" w:cs="Times New Roman"/>
      <w:caps w:val="0"/>
      <w:sz w:val="24"/>
    </w:rPr>
  </w:style>
  <w:style w:type="character" w:customStyle="1" w:styleId="TblTextLeftCar">
    <w:name w:val="Tbl Text Left Car"/>
    <w:rsid w:val="00235360"/>
    <w:rPr>
      <w:rFonts w:ascii="Arial Narrow" w:eastAsia="MS Gothic" w:hAnsi="Arial Narrow"/>
      <w:lang w:val="en-US" w:eastAsia="en-US"/>
    </w:rPr>
  </w:style>
  <w:style w:type="character" w:customStyle="1" w:styleId="ListBulletLevel1Char">
    <w:name w:val="List Bullet Level 1 Char"/>
    <w:link w:val="ListBulletLevel1"/>
    <w:locked/>
    <w:rsid w:val="00235360"/>
    <w:rPr>
      <w:color w:val="000000"/>
      <w:sz w:val="24"/>
      <w:szCs w:val="24"/>
      <w:lang w:val="en-US" w:eastAsia="en-US"/>
    </w:rPr>
  </w:style>
  <w:style w:type="character" w:customStyle="1" w:styleId="NormalnospaceCar">
    <w:name w:val="Normal nospace Car"/>
    <w:rsid w:val="00235360"/>
    <w:rPr>
      <w:color w:val="000000"/>
      <w:sz w:val="24"/>
      <w:szCs w:val="24"/>
    </w:rPr>
  </w:style>
  <w:style w:type="character" w:customStyle="1" w:styleId="CaptionChar">
    <w:name w:val="Caption Char"/>
    <w:link w:val="Caption"/>
    <w:rsid w:val="00235360"/>
    <w:rPr>
      <w:rFonts w:ascii="Arial" w:eastAsia="MS Gothic" w:hAnsi="Arial" w:cs="Arial"/>
      <w:b/>
      <w:bCs/>
    </w:rPr>
  </w:style>
  <w:style w:type="character" w:customStyle="1" w:styleId="AppendixTitleCar">
    <w:name w:val="Appendix Title Car"/>
    <w:link w:val="AppendixTitle"/>
    <w:rsid w:val="00235360"/>
    <w:rPr>
      <w:rFonts w:ascii="Arial" w:eastAsia="Times New Roman" w:hAnsi="Arial"/>
      <w:b/>
      <w:iCs/>
      <w:kern w:val="32"/>
      <w:sz w:val="24"/>
      <w:szCs w:val="28"/>
      <w:lang w:eastAsia="en-US"/>
    </w:rPr>
  </w:style>
  <w:style w:type="character" w:customStyle="1" w:styleId="BalloonTextChar">
    <w:name w:val="Balloon Text Char"/>
    <w:link w:val="BalloonText"/>
    <w:uiPriority w:val="99"/>
    <w:semiHidden/>
    <w:rsid w:val="00235360"/>
    <w:rPr>
      <w:rFonts w:ascii="Tahoma" w:hAnsi="Tahoma" w:cs="Tahoma"/>
      <w:color w:val="000000"/>
      <w:sz w:val="16"/>
      <w:szCs w:val="16"/>
    </w:rPr>
  </w:style>
  <w:style w:type="character" w:customStyle="1" w:styleId="Heading1Char">
    <w:name w:val="Heading 1 Char"/>
    <w:link w:val="Heading1"/>
    <w:rsid w:val="0043198B"/>
    <w:rPr>
      <w:rFonts w:ascii="Arial" w:eastAsia="MS Gothic" w:hAnsi="Arial" w:cs="Arial"/>
      <w:b/>
      <w:bCs/>
      <w:caps/>
      <w:kern w:val="32"/>
      <w:sz w:val="28"/>
      <w:szCs w:val="32"/>
      <w:lang w:eastAsia="en-US"/>
    </w:rPr>
  </w:style>
  <w:style w:type="character" w:customStyle="1" w:styleId="Heading2Char">
    <w:name w:val="Heading 2 Char"/>
    <w:link w:val="Heading2"/>
    <w:rsid w:val="0043198B"/>
    <w:rPr>
      <w:rFonts w:ascii="Arial" w:eastAsia="MS Gothic" w:hAnsi="Arial" w:cs="Arial"/>
      <w:b/>
      <w:iCs/>
      <w:caps/>
      <w:kern w:val="32"/>
      <w:sz w:val="22"/>
      <w:szCs w:val="28"/>
      <w:lang w:eastAsia="en-US"/>
    </w:rPr>
  </w:style>
  <w:style w:type="character" w:customStyle="1" w:styleId="Heading4Char">
    <w:name w:val="Heading 4 Char"/>
    <w:link w:val="Heading4"/>
    <w:rsid w:val="0043198B"/>
    <w:rPr>
      <w:rFonts w:ascii="Arial" w:eastAsia="MS Gothic" w:hAnsi="Arial" w:cs="Arial"/>
      <w:b/>
      <w:i/>
      <w:kern w:val="32"/>
      <w:sz w:val="22"/>
      <w:szCs w:val="28"/>
      <w:lang w:eastAsia="en-US"/>
    </w:rPr>
  </w:style>
  <w:style w:type="character" w:customStyle="1" w:styleId="Heading5Char">
    <w:name w:val="Heading 5 Char"/>
    <w:link w:val="Heading5"/>
    <w:rsid w:val="0043198B"/>
    <w:rPr>
      <w:rFonts w:ascii="Arial" w:eastAsia="MS Gothic" w:hAnsi="Arial" w:cs="Arial"/>
      <w:i/>
      <w:iCs/>
      <w:kern w:val="32"/>
      <w:sz w:val="22"/>
      <w:szCs w:val="26"/>
      <w:lang w:eastAsia="en-US"/>
    </w:rPr>
  </w:style>
  <w:style w:type="character" w:customStyle="1" w:styleId="Heading6Char">
    <w:name w:val="Heading 6 Char"/>
    <w:link w:val="Heading6"/>
    <w:rsid w:val="0043198B"/>
    <w:rPr>
      <w:rFonts w:ascii="Arial" w:eastAsia="MS Gothic" w:hAnsi="Arial" w:cs="Arial"/>
      <w:kern w:val="32"/>
      <w:sz w:val="22"/>
      <w:szCs w:val="22"/>
      <w:lang w:eastAsia="en-US"/>
    </w:rPr>
  </w:style>
  <w:style w:type="character" w:customStyle="1" w:styleId="Heading7Char">
    <w:name w:val="Heading 7 Char"/>
    <w:link w:val="Heading7"/>
    <w:rsid w:val="0043198B"/>
    <w:rPr>
      <w:rFonts w:ascii="Arial" w:eastAsia="MS Gothic" w:hAnsi="Arial" w:cs="Arial"/>
      <w:kern w:val="32"/>
      <w:sz w:val="22"/>
      <w:szCs w:val="22"/>
      <w:lang w:eastAsia="en-US"/>
    </w:rPr>
  </w:style>
  <w:style w:type="character" w:customStyle="1" w:styleId="Heading8Char">
    <w:name w:val="Heading 8 Char"/>
    <w:link w:val="Heading8"/>
    <w:rsid w:val="0043198B"/>
    <w:rPr>
      <w:rFonts w:ascii="Arial" w:eastAsia="MS Gothic" w:hAnsi="Arial" w:cs="Arial"/>
      <w:iCs/>
      <w:kern w:val="32"/>
      <w:sz w:val="22"/>
      <w:szCs w:val="22"/>
      <w:lang w:eastAsia="en-US"/>
    </w:rPr>
  </w:style>
  <w:style w:type="character" w:customStyle="1" w:styleId="Heading9Char">
    <w:name w:val="Heading 9 Char"/>
    <w:link w:val="Heading9"/>
    <w:rsid w:val="0043198B"/>
    <w:rPr>
      <w:rFonts w:ascii="Arial" w:eastAsia="MS Gothic" w:hAnsi="Arial" w:cs="Arial"/>
      <w:kern w:val="32"/>
      <w:sz w:val="22"/>
      <w:szCs w:val="22"/>
      <w:lang w:eastAsia="en-US"/>
    </w:rPr>
  </w:style>
  <w:style w:type="character" w:customStyle="1" w:styleId="EndnoteTextChar">
    <w:name w:val="Endnote Text Char"/>
    <w:link w:val="EndnoteText"/>
    <w:semiHidden/>
    <w:rsid w:val="00235360"/>
    <w:rPr>
      <w:color w:val="000000"/>
      <w:sz w:val="22"/>
    </w:rPr>
  </w:style>
  <w:style w:type="character" w:customStyle="1" w:styleId="FooterChar">
    <w:name w:val="Footer Char"/>
    <w:link w:val="Footer"/>
    <w:rsid w:val="00235360"/>
    <w:rPr>
      <w:rFonts w:ascii="Arial" w:eastAsia="MS Gothic" w:hAnsi="Arial"/>
      <w:sz w:val="18"/>
    </w:rPr>
  </w:style>
  <w:style w:type="character" w:customStyle="1" w:styleId="FootnoteTextChar">
    <w:name w:val="Footnote Text Char"/>
    <w:link w:val="FootnoteText"/>
    <w:rsid w:val="00235360"/>
    <w:rPr>
      <w:color w:val="000000"/>
      <w:sz w:val="22"/>
    </w:rPr>
  </w:style>
  <w:style w:type="character" w:customStyle="1" w:styleId="HeaderChar">
    <w:name w:val="Header Char"/>
    <w:link w:val="Header"/>
    <w:rsid w:val="00235360"/>
    <w:rPr>
      <w:rFonts w:ascii="Arial" w:eastAsia="MS Gothic" w:hAnsi="Arial"/>
      <w:sz w:val="18"/>
    </w:rPr>
  </w:style>
  <w:style w:type="character" w:customStyle="1" w:styleId="MacroTextChar">
    <w:name w:val="Macro Text Char"/>
    <w:link w:val="MacroText"/>
    <w:semiHidden/>
    <w:rsid w:val="00235360"/>
    <w:rPr>
      <w:rFonts w:ascii="Courier New" w:eastAsia="Times New Roman" w:hAnsi="Courier New"/>
    </w:rPr>
  </w:style>
  <w:style w:type="character" w:customStyle="1" w:styleId="TitleChar">
    <w:name w:val="Title Char"/>
    <w:link w:val="Title"/>
    <w:rsid w:val="00235360"/>
    <w:rPr>
      <w:rFonts w:ascii="Arial" w:eastAsia="MS Gothic" w:hAnsi="Arial" w:cs="Arial"/>
      <w:b/>
      <w:bCs/>
      <w:caps/>
      <w:sz w:val="22"/>
      <w:szCs w:val="32"/>
    </w:rPr>
  </w:style>
  <w:style w:type="character" w:customStyle="1" w:styleId="DocumentMapChar">
    <w:name w:val="Document Map Char"/>
    <w:link w:val="DocumentMap"/>
    <w:semiHidden/>
    <w:rsid w:val="00235360"/>
    <w:rPr>
      <w:rFonts w:ascii="Tahoma" w:hAnsi="Tahoma" w:cs="Tahoma"/>
      <w:color w:val="000000"/>
      <w:shd w:val="clear" w:color="auto" w:fill="000080"/>
    </w:rPr>
  </w:style>
  <w:style w:type="character" w:customStyle="1" w:styleId="CommentSubjectChar">
    <w:name w:val="Comment Subject Char"/>
    <w:link w:val="CommentSubject"/>
    <w:semiHidden/>
    <w:rsid w:val="00235360"/>
    <w:rPr>
      <w:b/>
      <w:bCs/>
      <w:color w:val="000000"/>
    </w:rPr>
  </w:style>
  <w:style w:type="character" w:customStyle="1" w:styleId="BodyTextChar">
    <w:name w:val="Body Text Char"/>
    <w:link w:val="BodyText"/>
    <w:rsid w:val="00235360"/>
    <w:rPr>
      <w:rFonts w:eastAsia="Times New Roman"/>
      <w:color w:val="000000"/>
      <w:sz w:val="24"/>
      <w:szCs w:val="24"/>
    </w:rPr>
  </w:style>
  <w:style w:type="character" w:customStyle="1" w:styleId="PlainTextChar">
    <w:name w:val="Plain Text Char"/>
    <w:link w:val="PlainText"/>
    <w:rsid w:val="00235360"/>
    <w:rPr>
      <w:rFonts w:ascii="Courier New" w:hAnsi="Courier New" w:cs="Courier New"/>
      <w:lang w:val="fr-FR" w:eastAsia="ja-JP"/>
    </w:rPr>
  </w:style>
  <w:style w:type="paragraph" w:customStyle="1" w:styleId="Default">
    <w:name w:val="Default"/>
    <w:rsid w:val="005A37DA"/>
    <w:pPr>
      <w:autoSpaceDE w:val="0"/>
      <w:autoSpaceDN w:val="0"/>
      <w:adjustRightInd w:val="0"/>
    </w:pPr>
    <w:rPr>
      <w:rFonts w:ascii="Arial Narrow" w:hAnsi="Arial Narrow" w:cs="Arial Narrow"/>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95816">
      <w:bodyDiv w:val="1"/>
      <w:marLeft w:val="0"/>
      <w:marRight w:val="0"/>
      <w:marTop w:val="0"/>
      <w:marBottom w:val="0"/>
      <w:divBdr>
        <w:top w:val="none" w:sz="0" w:space="0" w:color="auto"/>
        <w:left w:val="none" w:sz="0" w:space="0" w:color="auto"/>
        <w:bottom w:val="none" w:sz="0" w:space="0" w:color="auto"/>
        <w:right w:val="none" w:sz="0" w:space="0" w:color="auto"/>
      </w:divBdr>
    </w:div>
    <w:div w:id="142354076">
      <w:bodyDiv w:val="1"/>
      <w:marLeft w:val="0"/>
      <w:marRight w:val="0"/>
      <w:marTop w:val="0"/>
      <w:marBottom w:val="0"/>
      <w:divBdr>
        <w:top w:val="none" w:sz="0" w:space="0" w:color="auto"/>
        <w:left w:val="none" w:sz="0" w:space="0" w:color="auto"/>
        <w:bottom w:val="none" w:sz="0" w:space="0" w:color="auto"/>
        <w:right w:val="none" w:sz="0" w:space="0" w:color="auto"/>
      </w:divBdr>
    </w:div>
    <w:div w:id="331571788">
      <w:bodyDiv w:val="1"/>
      <w:marLeft w:val="0"/>
      <w:marRight w:val="0"/>
      <w:marTop w:val="0"/>
      <w:marBottom w:val="0"/>
      <w:divBdr>
        <w:top w:val="none" w:sz="0" w:space="0" w:color="auto"/>
        <w:left w:val="none" w:sz="0" w:space="0" w:color="auto"/>
        <w:bottom w:val="none" w:sz="0" w:space="0" w:color="auto"/>
        <w:right w:val="none" w:sz="0" w:space="0" w:color="auto"/>
      </w:divBdr>
      <w:divsChild>
        <w:div w:id="666517898">
          <w:marLeft w:val="0"/>
          <w:marRight w:val="0"/>
          <w:marTop w:val="0"/>
          <w:marBottom w:val="0"/>
          <w:divBdr>
            <w:top w:val="none" w:sz="0" w:space="0" w:color="auto"/>
            <w:left w:val="none" w:sz="0" w:space="0" w:color="auto"/>
            <w:bottom w:val="none" w:sz="0" w:space="0" w:color="auto"/>
            <w:right w:val="none" w:sz="0" w:space="0" w:color="auto"/>
          </w:divBdr>
        </w:div>
        <w:div w:id="1627589300">
          <w:marLeft w:val="0"/>
          <w:marRight w:val="0"/>
          <w:marTop w:val="0"/>
          <w:marBottom w:val="0"/>
          <w:divBdr>
            <w:top w:val="none" w:sz="0" w:space="0" w:color="auto"/>
            <w:left w:val="none" w:sz="0" w:space="0" w:color="auto"/>
            <w:bottom w:val="none" w:sz="0" w:space="0" w:color="auto"/>
            <w:right w:val="none" w:sz="0" w:space="0" w:color="auto"/>
          </w:divBdr>
        </w:div>
      </w:divsChild>
    </w:div>
    <w:div w:id="345179209">
      <w:bodyDiv w:val="1"/>
      <w:marLeft w:val="0"/>
      <w:marRight w:val="0"/>
      <w:marTop w:val="0"/>
      <w:marBottom w:val="0"/>
      <w:divBdr>
        <w:top w:val="none" w:sz="0" w:space="0" w:color="auto"/>
        <w:left w:val="none" w:sz="0" w:space="0" w:color="auto"/>
        <w:bottom w:val="none" w:sz="0" w:space="0" w:color="auto"/>
        <w:right w:val="none" w:sz="0" w:space="0" w:color="auto"/>
      </w:divBdr>
      <w:divsChild>
        <w:div w:id="987130361">
          <w:marLeft w:val="0"/>
          <w:marRight w:val="0"/>
          <w:marTop w:val="0"/>
          <w:marBottom w:val="0"/>
          <w:divBdr>
            <w:top w:val="none" w:sz="0" w:space="0" w:color="auto"/>
            <w:left w:val="none" w:sz="0" w:space="0" w:color="auto"/>
            <w:bottom w:val="none" w:sz="0" w:space="0" w:color="auto"/>
            <w:right w:val="none" w:sz="0" w:space="0" w:color="auto"/>
          </w:divBdr>
        </w:div>
      </w:divsChild>
    </w:div>
    <w:div w:id="653683856">
      <w:bodyDiv w:val="1"/>
      <w:marLeft w:val="0"/>
      <w:marRight w:val="0"/>
      <w:marTop w:val="0"/>
      <w:marBottom w:val="0"/>
      <w:divBdr>
        <w:top w:val="none" w:sz="0" w:space="0" w:color="auto"/>
        <w:left w:val="none" w:sz="0" w:space="0" w:color="auto"/>
        <w:bottom w:val="none" w:sz="0" w:space="0" w:color="auto"/>
        <w:right w:val="none" w:sz="0" w:space="0" w:color="auto"/>
      </w:divBdr>
    </w:div>
    <w:div w:id="664942752">
      <w:bodyDiv w:val="1"/>
      <w:marLeft w:val="0"/>
      <w:marRight w:val="0"/>
      <w:marTop w:val="0"/>
      <w:marBottom w:val="0"/>
      <w:divBdr>
        <w:top w:val="none" w:sz="0" w:space="0" w:color="auto"/>
        <w:left w:val="none" w:sz="0" w:space="0" w:color="auto"/>
        <w:bottom w:val="none" w:sz="0" w:space="0" w:color="auto"/>
        <w:right w:val="none" w:sz="0" w:space="0" w:color="auto"/>
      </w:divBdr>
      <w:divsChild>
        <w:div w:id="1321621167">
          <w:marLeft w:val="0"/>
          <w:marRight w:val="0"/>
          <w:marTop w:val="0"/>
          <w:marBottom w:val="0"/>
          <w:divBdr>
            <w:top w:val="none" w:sz="0" w:space="0" w:color="auto"/>
            <w:left w:val="none" w:sz="0" w:space="0" w:color="auto"/>
            <w:bottom w:val="none" w:sz="0" w:space="0" w:color="auto"/>
            <w:right w:val="none" w:sz="0" w:space="0" w:color="auto"/>
          </w:divBdr>
          <w:divsChild>
            <w:div w:id="1612781542">
              <w:marLeft w:val="0"/>
              <w:marRight w:val="0"/>
              <w:marTop w:val="0"/>
              <w:marBottom w:val="0"/>
              <w:divBdr>
                <w:top w:val="none" w:sz="0" w:space="0" w:color="auto"/>
                <w:left w:val="none" w:sz="0" w:space="0" w:color="auto"/>
                <w:bottom w:val="none" w:sz="0" w:space="0" w:color="auto"/>
                <w:right w:val="none" w:sz="0" w:space="0" w:color="auto"/>
              </w:divBdr>
            </w:div>
            <w:div w:id="209585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06877">
      <w:bodyDiv w:val="1"/>
      <w:marLeft w:val="0"/>
      <w:marRight w:val="0"/>
      <w:marTop w:val="0"/>
      <w:marBottom w:val="0"/>
      <w:divBdr>
        <w:top w:val="none" w:sz="0" w:space="0" w:color="auto"/>
        <w:left w:val="none" w:sz="0" w:space="0" w:color="auto"/>
        <w:bottom w:val="none" w:sz="0" w:space="0" w:color="auto"/>
        <w:right w:val="none" w:sz="0" w:space="0" w:color="auto"/>
      </w:divBdr>
    </w:div>
    <w:div w:id="799880215">
      <w:bodyDiv w:val="1"/>
      <w:marLeft w:val="0"/>
      <w:marRight w:val="0"/>
      <w:marTop w:val="0"/>
      <w:marBottom w:val="0"/>
      <w:divBdr>
        <w:top w:val="none" w:sz="0" w:space="0" w:color="auto"/>
        <w:left w:val="none" w:sz="0" w:space="0" w:color="auto"/>
        <w:bottom w:val="none" w:sz="0" w:space="0" w:color="auto"/>
        <w:right w:val="none" w:sz="0" w:space="0" w:color="auto"/>
      </w:divBdr>
    </w:div>
    <w:div w:id="1108507014">
      <w:bodyDiv w:val="1"/>
      <w:marLeft w:val="0"/>
      <w:marRight w:val="0"/>
      <w:marTop w:val="0"/>
      <w:marBottom w:val="0"/>
      <w:divBdr>
        <w:top w:val="none" w:sz="0" w:space="0" w:color="auto"/>
        <w:left w:val="none" w:sz="0" w:space="0" w:color="auto"/>
        <w:bottom w:val="none" w:sz="0" w:space="0" w:color="auto"/>
        <w:right w:val="none" w:sz="0" w:space="0" w:color="auto"/>
      </w:divBdr>
      <w:divsChild>
        <w:div w:id="667488479">
          <w:marLeft w:val="0"/>
          <w:marRight w:val="0"/>
          <w:marTop w:val="0"/>
          <w:marBottom w:val="0"/>
          <w:divBdr>
            <w:top w:val="none" w:sz="0" w:space="0" w:color="auto"/>
            <w:left w:val="none" w:sz="0" w:space="0" w:color="auto"/>
            <w:bottom w:val="none" w:sz="0" w:space="0" w:color="auto"/>
            <w:right w:val="none" w:sz="0" w:space="0" w:color="auto"/>
          </w:divBdr>
        </w:div>
      </w:divsChild>
    </w:div>
    <w:div w:id="1135757480">
      <w:bodyDiv w:val="1"/>
      <w:marLeft w:val="0"/>
      <w:marRight w:val="0"/>
      <w:marTop w:val="0"/>
      <w:marBottom w:val="0"/>
      <w:divBdr>
        <w:top w:val="none" w:sz="0" w:space="0" w:color="auto"/>
        <w:left w:val="none" w:sz="0" w:space="0" w:color="auto"/>
        <w:bottom w:val="none" w:sz="0" w:space="0" w:color="auto"/>
        <w:right w:val="none" w:sz="0" w:space="0" w:color="auto"/>
      </w:divBdr>
    </w:div>
    <w:div w:id="1447429032">
      <w:bodyDiv w:val="1"/>
      <w:marLeft w:val="0"/>
      <w:marRight w:val="0"/>
      <w:marTop w:val="0"/>
      <w:marBottom w:val="0"/>
      <w:divBdr>
        <w:top w:val="none" w:sz="0" w:space="0" w:color="auto"/>
        <w:left w:val="none" w:sz="0" w:space="0" w:color="auto"/>
        <w:bottom w:val="none" w:sz="0" w:space="0" w:color="auto"/>
        <w:right w:val="none" w:sz="0" w:space="0" w:color="auto"/>
      </w:divBdr>
    </w:div>
    <w:div w:id="1484808978">
      <w:bodyDiv w:val="1"/>
      <w:marLeft w:val="0"/>
      <w:marRight w:val="0"/>
      <w:marTop w:val="0"/>
      <w:marBottom w:val="0"/>
      <w:divBdr>
        <w:top w:val="none" w:sz="0" w:space="0" w:color="auto"/>
        <w:left w:val="none" w:sz="0" w:space="0" w:color="auto"/>
        <w:bottom w:val="none" w:sz="0" w:space="0" w:color="auto"/>
        <w:right w:val="none" w:sz="0" w:space="0" w:color="auto"/>
      </w:divBdr>
      <w:divsChild>
        <w:div w:id="88431859">
          <w:marLeft w:val="0"/>
          <w:marRight w:val="0"/>
          <w:marTop w:val="0"/>
          <w:marBottom w:val="0"/>
          <w:divBdr>
            <w:top w:val="none" w:sz="0" w:space="0" w:color="auto"/>
            <w:left w:val="none" w:sz="0" w:space="0" w:color="auto"/>
            <w:bottom w:val="none" w:sz="0" w:space="0" w:color="auto"/>
            <w:right w:val="none" w:sz="0" w:space="0" w:color="auto"/>
          </w:divBdr>
        </w:div>
        <w:div w:id="1915697425">
          <w:marLeft w:val="0"/>
          <w:marRight w:val="0"/>
          <w:marTop w:val="0"/>
          <w:marBottom w:val="0"/>
          <w:divBdr>
            <w:top w:val="none" w:sz="0" w:space="0" w:color="auto"/>
            <w:left w:val="none" w:sz="0" w:space="0" w:color="auto"/>
            <w:bottom w:val="none" w:sz="0" w:space="0" w:color="auto"/>
            <w:right w:val="none" w:sz="0" w:space="0" w:color="auto"/>
          </w:divBdr>
        </w:div>
      </w:divsChild>
    </w:div>
    <w:div w:id="1710373327">
      <w:bodyDiv w:val="1"/>
      <w:marLeft w:val="0"/>
      <w:marRight w:val="0"/>
      <w:marTop w:val="0"/>
      <w:marBottom w:val="0"/>
      <w:divBdr>
        <w:top w:val="none" w:sz="0" w:space="0" w:color="auto"/>
        <w:left w:val="none" w:sz="0" w:space="0" w:color="auto"/>
        <w:bottom w:val="none" w:sz="0" w:space="0" w:color="auto"/>
        <w:right w:val="none" w:sz="0" w:space="0" w:color="auto"/>
      </w:divBdr>
      <w:divsChild>
        <w:div w:id="19819707">
          <w:marLeft w:val="0"/>
          <w:marRight w:val="0"/>
          <w:marTop w:val="0"/>
          <w:marBottom w:val="0"/>
          <w:divBdr>
            <w:top w:val="none" w:sz="0" w:space="0" w:color="auto"/>
            <w:left w:val="none" w:sz="0" w:space="0" w:color="auto"/>
            <w:bottom w:val="none" w:sz="0" w:space="0" w:color="auto"/>
            <w:right w:val="none" w:sz="0" w:space="0" w:color="auto"/>
          </w:divBdr>
        </w:div>
      </w:divsChild>
    </w:div>
    <w:div w:id="1737701863">
      <w:bodyDiv w:val="1"/>
      <w:marLeft w:val="0"/>
      <w:marRight w:val="0"/>
      <w:marTop w:val="0"/>
      <w:marBottom w:val="0"/>
      <w:divBdr>
        <w:top w:val="none" w:sz="0" w:space="0" w:color="auto"/>
        <w:left w:val="none" w:sz="0" w:space="0" w:color="auto"/>
        <w:bottom w:val="none" w:sz="0" w:space="0" w:color="auto"/>
        <w:right w:val="none" w:sz="0" w:space="0" w:color="auto"/>
      </w:divBdr>
      <w:divsChild>
        <w:div w:id="866061122">
          <w:marLeft w:val="0"/>
          <w:marRight w:val="0"/>
          <w:marTop w:val="0"/>
          <w:marBottom w:val="0"/>
          <w:divBdr>
            <w:top w:val="none" w:sz="0" w:space="0" w:color="auto"/>
            <w:left w:val="none" w:sz="0" w:space="0" w:color="auto"/>
            <w:bottom w:val="none" w:sz="0" w:space="0" w:color="auto"/>
            <w:right w:val="none" w:sz="0" w:space="0" w:color="auto"/>
          </w:divBdr>
        </w:div>
      </w:divsChild>
    </w:div>
    <w:div w:id="1746338479">
      <w:bodyDiv w:val="1"/>
      <w:marLeft w:val="0"/>
      <w:marRight w:val="0"/>
      <w:marTop w:val="0"/>
      <w:marBottom w:val="0"/>
      <w:divBdr>
        <w:top w:val="none" w:sz="0" w:space="0" w:color="auto"/>
        <w:left w:val="none" w:sz="0" w:space="0" w:color="auto"/>
        <w:bottom w:val="none" w:sz="0" w:space="0" w:color="auto"/>
        <w:right w:val="none" w:sz="0" w:space="0" w:color="auto"/>
      </w:divBdr>
    </w:div>
    <w:div w:id="1920283399">
      <w:bodyDiv w:val="1"/>
      <w:marLeft w:val="0"/>
      <w:marRight w:val="0"/>
      <w:marTop w:val="0"/>
      <w:marBottom w:val="0"/>
      <w:divBdr>
        <w:top w:val="none" w:sz="0" w:space="0" w:color="auto"/>
        <w:left w:val="none" w:sz="0" w:space="0" w:color="auto"/>
        <w:bottom w:val="none" w:sz="0" w:space="0" w:color="auto"/>
        <w:right w:val="none" w:sz="0" w:space="0" w:color="auto"/>
      </w:divBdr>
      <w:divsChild>
        <w:div w:id="827944874">
          <w:marLeft w:val="0"/>
          <w:marRight w:val="0"/>
          <w:marTop w:val="0"/>
          <w:marBottom w:val="0"/>
          <w:divBdr>
            <w:top w:val="none" w:sz="0" w:space="0" w:color="auto"/>
            <w:left w:val="none" w:sz="0" w:space="0" w:color="auto"/>
            <w:bottom w:val="none" w:sz="0" w:space="0" w:color="auto"/>
            <w:right w:val="none" w:sz="0" w:space="0" w:color="auto"/>
          </w:divBdr>
        </w:div>
      </w:divsChild>
    </w:div>
    <w:div w:id="1933120213">
      <w:bodyDiv w:val="1"/>
      <w:marLeft w:val="0"/>
      <w:marRight w:val="0"/>
      <w:marTop w:val="0"/>
      <w:marBottom w:val="0"/>
      <w:divBdr>
        <w:top w:val="none" w:sz="0" w:space="0" w:color="auto"/>
        <w:left w:val="none" w:sz="0" w:space="0" w:color="auto"/>
        <w:bottom w:val="none" w:sz="0" w:space="0" w:color="auto"/>
        <w:right w:val="none" w:sz="0" w:space="0" w:color="auto"/>
      </w:divBdr>
      <w:divsChild>
        <w:div w:id="875893314">
          <w:marLeft w:val="0"/>
          <w:marRight w:val="0"/>
          <w:marTop w:val="0"/>
          <w:marBottom w:val="0"/>
          <w:divBdr>
            <w:top w:val="none" w:sz="0" w:space="0" w:color="auto"/>
            <w:left w:val="none" w:sz="0" w:space="0" w:color="auto"/>
            <w:bottom w:val="none" w:sz="0" w:space="0" w:color="auto"/>
            <w:right w:val="none" w:sz="0" w:space="0" w:color="auto"/>
          </w:divBdr>
        </w:div>
      </w:divsChild>
    </w:div>
    <w:div w:id="2097363939">
      <w:bodyDiv w:val="1"/>
      <w:marLeft w:val="0"/>
      <w:marRight w:val="0"/>
      <w:marTop w:val="0"/>
      <w:marBottom w:val="0"/>
      <w:divBdr>
        <w:top w:val="none" w:sz="0" w:space="0" w:color="auto"/>
        <w:left w:val="none" w:sz="0" w:space="0" w:color="auto"/>
        <w:bottom w:val="none" w:sz="0" w:space="0" w:color="auto"/>
        <w:right w:val="none" w:sz="0" w:space="0" w:color="auto"/>
      </w:divBdr>
      <w:divsChild>
        <w:div w:id="305549194">
          <w:marLeft w:val="0"/>
          <w:marRight w:val="0"/>
          <w:marTop w:val="0"/>
          <w:marBottom w:val="0"/>
          <w:divBdr>
            <w:top w:val="none" w:sz="0" w:space="0" w:color="auto"/>
            <w:left w:val="none" w:sz="0" w:space="0" w:color="auto"/>
            <w:bottom w:val="none" w:sz="0" w:space="0" w:color="auto"/>
            <w:right w:val="none" w:sz="0" w:space="0" w:color="auto"/>
          </w:divBdr>
        </w:div>
      </w:divsChild>
    </w:div>
  </w:divs>
  <w:encoding w:val="windows-1252"/>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2.emf"/><Relationship Id="rId26" Type="http://schemas.openxmlformats.org/officeDocument/2006/relationships/image" Target="media/image7.emf"/><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5.xml"/><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header" Target="header7.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oleObject" Target="embeddings/oleObject1.bin"/><Relationship Id="rId28" Type="http://schemas.openxmlformats.org/officeDocument/2006/relationships/image" Target="media/image9.emf"/><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wmf"/><Relationship Id="rId27" Type="http://schemas.openxmlformats.org/officeDocument/2006/relationships/image" Target="media/image8.emf"/><Relationship Id="rId30" Type="http://schemas.openxmlformats.org/officeDocument/2006/relationships/image" Target="media/image11.emf"/><Relationship Id="rId35" Type="http://schemas.openxmlformats.org/officeDocument/2006/relationships/footer" Target="footer7.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https://docprep.sanofi-aventis.com/webdav/DOMASYS_Clinic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EBC1D7-D67E-4214-84FC-3F29513E4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DOMASYS_Clinical.dot</Template>
  <TotalTime>0</TotalTime>
  <Pages>126</Pages>
  <Words>42767</Words>
  <Characters>243777</Characters>
  <Application>Microsoft Office Word</Application>
  <DocSecurity>0</DocSecurity>
  <Lines>2031</Lines>
  <Paragraphs>571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This template is designed for use with the “Instructions for writing the clinical study protocol”</vt:lpstr>
      <vt:lpstr>This template is designed for use with the “Instructions for writing the clinical study protocol”</vt:lpstr>
    </vt:vector>
  </TitlesOfParts>
  <Company>sanofi-aventis</Company>
  <LinksUpToDate>false</LinksUpToDate>
  <CharactersWithSpaces>285973</CharactersWithSpaces>
  <SharedDoc>false</SharedDoc>
  <HLinks>
    <vt:vector size="612" baseType="variant">
      <vt:variant>
        <vt:i4>1048630</vt:i4>
      </vt:variant>
      <vt:variant>
        <vt:i4>1653</vt:i4>
      </vt:variant>
      <vt:variant>
        <vt:i4>0</vt:i4>
      </vt:variant>
      <vt:variant>
        <vt:i4>5</vt:i4>
      </vt:variant>
      <vt:variant>
        <vt:lpwstr/>
      </vt:variant>
      <vt:variant>
        <vt:lpwstr>_Ref442690362</vt:lpwstr>
      </vt:variant>
      <vt:variant>
        <vt:i4>1048630</vt:i4>
      </vt:variant>
      <vt:variant>
        <vt:i4>1647</vt:i4>
      </vt:variant>
      <vt:variant>
        <vt:i4>0</vt:i4>
      </vt:variant>
      <vt:variant>
        <vt:i4>5</vt:i4>
      </vt:variant>
      <vt:variant>
        <vt:lpwstr/>
      </vt:variant>
      <vt:variant>
        <vt:lpwstr>_Ref442690362</vt:lpwstr>
      </vt:variant>
      <vt:variant>
        <vt:i4>1048630</vt:i4>
      </vt:variant>
      <vt:variant>
        <vt:i4>1623</vt:i4>
      </vt:variant>
      <vt:variant>
        <vt:i4>0</vt:i4>
      </vt:variant>
      <vt:variant>
        <vt:i4>5</vt:i4>
      </vt:variant>
      <vt:variant>
        <vt:lpwstr/>
      </vt:variant>
      <vt:variant>
        <vt:lpwstr>_Ref442690362</vt:lpwstr>
      </vt:variant>
      <vt:variant>
        <vt:i4>1048630</vt:i4>
      </vt:variant>
      <vt:variant>
        <vt:i4>1617</vt:i4>
      </vt:variant>
      <vt:variant>
        <vt:i4>0</vt:i4>
      </vt:variant>
      <vt:variant>
        <vt:i4>5</vt:i4>
      </vt:variant>
      <vt:variant>
        <vt:lpwstr/>
      </vt:variant>
      <vt:variant>
        <vt:lpwstr>_Ref442690362</vt:lpwstr>
      </vt:variant>
      <vt:variant>
        <vt:i4>1703988</vt:i4>
      </vt:variant>
      <vt:variant>
        <vt:i4>1422</vt:i4>
      </vt:variant>
      <vt:variant>
        <vt:i4>0</vt:i4>
      </vt:variant>
      <vt:variant>
        <vt:i4>5</vt:i4>
      </vt:variant>
      <vt:variant>
        <vt:lpwstr/>
      </vt:variant>
      <vt:variant>
        <vt:lpwstr>_Ref442689057</vt:lpwstr>
      </vt:variant>
      <vt:variant>
        <vt:i4>1245244</vt:i4>
      </vt:variant>
      <vt:variant>
        <vt:i4>1416</vt:i4>
      </vt:variant>
      <vt:variant>
        <vt:i4>0</vt:i4>
      </vt:variant>
      <vt:variant>
        <vt:i4>5</vt:i4>
      </vt:variant>
      <vt:variant>
        <vt:lpwstr/>
      </vt:variant>
      <vt:variant>
        <vt:lpwstr>_Ref434330571</vt:lpwstr>
      </vt:variant>
      <vt:variant>
        <vt:i4>1638452</vt:i4>
      </vt:variant>
      <vt:variant>
        <vt:i4>1410</vt:i4>
      </vt:variant>
      <vt:variant>
        <vt:i4>0</vt:i4>
      </vt:variant>
      <vt:variant>
        <vt:i4>5</vt:i4>
      </vt:variant>
      <vt:variant>
        <vt:lpwstr/>
      </vt:variant>
      <vt:variant>
        <vt:lpwstr>_Ref442689069</vt:lpwstr>
      </vt:variant>
      <vt:variant>
        <vt:i4>1310768</vt:i4>
      </vt:variant>
      <vt:variant>
        <vt:i4>1404</vt:i4>
      </vt:variant>
      <vt:variant>
        <vt:i4>0</vt:i4>
      </vt:variant>
      <vt:variant>
        <vt:i4>5</vt:i4>
      </vt:variant>
      <vt:variant>
        <vt:lpwstr/>
      </vt:variant>
      <vt:variant>
        <vt:lpwstr>_Ref440281674</vt:lpwstr>
      </vt:variant>
      <vt:variant>
        <vt:i4>1441846</vt:i4>
      </vt:variant>
      <vt:variant>
        <vt:i4>1398</vt:i4>
      </vt:variant>
      <vt:variant>
        <vt:i4>0</vt:i4>
      </vt:variant>
      <vt:variant>
        <vt:i4>5</vt:i4>
      </vt:variant>
      <vt:variant>
        <vt:lpwstr/>
      </vt:variant>
      <vt:variant>
        <vt:lpwstr>_Ref442690308</vt:lpwstr>
      </vt:variant>
      <vt:variant>
        <vt:i4>1245235</vt:i4>
      </vt:variant>
      <vt:variant>
        <vt:i4>1392</vt:i4>
      </vt:variant>
      <vt:variant>
        <vt:i4>0</vt:i4>
      </vt:variant>
      <vt:variant>
        <vt:i4>5</vt:i4>
      </vt:variant>
      <vt:variant>
        <vt:lpwstr/>
      </vt:variant>
      <vt:variant>
        <vt:lpwstr>_Ref434493038</vt:lpwstr>
      </vt:variant>
      <vt:variant>
        <vt:i4>1769521</vt:i4>
      </vt:variant>
      <vt:variant>
        <vt:i4>1386</vt:i4>
      </vt:variant>
      <vt:variant>
        <vt:i4>0</vt:i4>
      </vt:variant>
      <vt:variant>
        <vt:i4>5</vt:i4>
      </vt:variant>
      <vt:variant>
        <vt:lpwstr/>
      </vt:variant>
      <vt:variant>
        <vt:lpwstr>_Ref442280590</vt:lpwstr>
      </vt:variant>
      <vt:variant>
        <vt:i4>1048631</vt:i4>
      </vt:variant>
      <vt:variant>
        <vt:i4>1380</vt:i4>
      </vt:variant>
      <vt:variant>
        <vt:i4>0</vt:i4>
      </vt:variant>
      <vt:variant>
        <vt:i4>5</vt:i4>
      </vt:variant>
      <vt:variant>
        <vt:lpwstr/>
      </vt:variant>
      <vt:variant>
        <vt:lpwstr>_Ref442690267</vt:lpwstr>
      </vt:variant>
      <vt:variant>
        <vt:i4>1966134</vt:i4>
      </vt:variant>
      <vt:variant>
        <vt:i4>1374</vt:i4>
      </vt:variant>
      <vt:variant>
        <vt:i4>0</vt:i4>
      </vt:variant>
      <vt:variant>
        <vt:i4>5</vt:i4>
      </vt:variant>
      <vt:variant>
        <vt:lpwstr/>
      </vt:variant>
      <vt:variant>
        <vt:lpwstr>_Ref298260017</vt:lpwstr>
      </vt:variant>
      <vt:variant>
        <vt:i4>1507383</vt:i4>
      </vt:variant>
      <vt:variant>
        <vt:i4>1362</vt:i4>
      </vt:variant>
      <vt:variant>
        <vt:i4>0</vt:i4>
      </vt:variant>
      <vt:variant>
        <vt:i4>5</vt:i4>
      </vt:variant>
      <vt:variant>
        <vt:lpwstr/>
      </vt:variant>
      <vt:variant>
        <vt:lpwstr>_Ref442690211</vt:lpwstr>
      </vt:variant>
      <vt:variant>
        <vt:i4>1310775</vt:i4>
      </vt:variant>
      <vt:variant>
        <vt:i4>1356</vt:i4>
      </vt:variant>
      <vt:variant>
        <vt:i4>0</vt:i4>
      </vt:variant>
      <vt:variant>
        <vt:i4>5</vt:i4>
      </vt:variant>
      <vt:variant>
        <vt:lpwstr/>
      </vt:variant>
      <vt:variant>
        <vt:lpwstr>_Ref442690226</vt:lpwstr>
      </vt:variant>
      <vt:variant>
        <vt:i4>1310775</vt:i4>
      </vt:variant>
      <vt:variant>
        <vt:i4>1350</vt:i4>
      </vt:variant>
      <vt:variant>
        <vt:i4>0</vt:i4>
      </vt:variant>
      <vt:variant>
        <vt:i4>5</vt:i4>
      </vt:variant>
      <vt:variant>
        <vt:lpwstr/>
      </vt:variant>
      <vt:variant>
        <vt:lpwstr>_Ref442690226</vt:lpwstr>
      </vt:variant>
      <vt:variant>
        <vt:i4>1507383</vt:i4>
      </vt:variant>
      <vt:variant>
        <vt:i4>1344</vt:i4>
      </vt:variant>
      <vt:variant>
        <vt:i4>0</vt:i4>
      </vt:variant>
      <vt:variant>
        <vt:i4>5</vt:i4>
      </vt:variant>
      <vt:variant>
        <vt:lpwstr/>
      </vt:variant>
      <vt:variant>
        <vt:lpwstr>_Ref442690211</vt:lpwstr>
      </vt:variant>
      <vt:variant>
        <vt:i4>2031668</vt:i4>
      </vt:variant>
      <vt:variant>
        <vt:i4>1338</vt:i4>
      </vt:variant>
      <vt:variant>
        <vt:i4>0</vt:i4>
      </vt:variant>
      <vt:variant>
        <vt:i4>5</vt:i4>
      </vt:variant>
      <vt:variant>
        <vt:lpwstr/>
      </vt:variant>
      <vt:variant>
        <vt:lpwstr>_Ref442690199</vt:lpwstr>
      </vt:variant>
      <vt:variant>
        <vt:i4>1966132</vt:i4>
      </vt:variant>
      <vt:variant>
        <vt:i4>1332</vt:i4>
      </vt:variant>
      <vt:variant>
        <vt:i4>0</vt:i4>
      </vt:variant>
      <vt:variant>
        <vt:i4>5</vt:i4>
      </vt:variant>
      <vt:variant>
        <vt:lpwstr/>
      </vt:variant>
      <vt:variant>
        <vt:lpwstr>_Ref442690189</vt:lpwstr>
      </vt:variant>
      <vt:variant>
        <vt:i4>1114164</vt:i4>
      </vt:variant>
      <vt:variant>
        <vt:i4>1326</vt:i4>
      </vt:variant>
      <vt:variant>
        <vt:i4>0</vt:i4>
      </vt:variant>
      <vt:variant>
        <vt:i4>5</vt:i4>
      </vt:variant>
      <vt:variant>
        <vt:lpwstr/>
      </vt:variant>
      <vt:variant>
        <vt:lpwstr>_Ref442690178</vt:lpwstr>
      </vt:variant>
      <vt:variant>
        <vt:i4>1245236</vt:i4>
      </vt:variant>
      <vt:variant>
        <vt:i4>1317</vt:i4>
      </vt:variant>
      <vt:variant>
        <vt:i4>0</vt:i4>
      </vt:variant>
      <vt:variant>
        <vt:i4>5</vt:i4>
      </vt:variant>
      <vt:variant>
        <vt:lpwstr/>
      </vt:variant>
      <vt:variant>
        <vt:lpwstr>_Ref442690158</vt:lpwstr>
      </vt:variant>
      <vt:variant>
        <vt:i4>2031673</vt:i4>
      </vt:variant>
      <vt:variant>
        <vt:i4>1311</vt:i4>
      </vt:variant>
      <vt:variant>
        <vt:i4>0</vt:i4>
      </vt:variant>
      <vt:variant>
        <vt:i4>5</vt:i4>
      </vt:variant>
      <vt:variant>
        <vt:lpwstr/>
      </vt:variant>
      <vt:variant>
        <vt:lpwstr>_Ref298702972</vt:lpwstr>
      </vt:variant>
      <vt:variant>
        <vt:i4>1310772</vt:i4>
      </vt:variant>
      <vt:variant>
        <vt:i4>1302</vt:i4>
      </vt:variant>
      <vt:variant>
        <vt:i4>0</vt:i4>
      </vt:variant>
      <vt:variant>
        <vt:i4>5</vt:i4>
      </vt:variant>
      <vt:variant>
        <vt:lpwstr/>
      </vt:variant>
      <vt:variant>
        <vt:lpwstr>_Ref442690128</vt:lpwstr>
      </vt:variant>
      <vt:variant>
        <vt:i4>1114170</vt:i4>
      </vt:variant>
      <vt:variant>
        <vt:i4>1296</vt:i4>
      </vt:variant>
      <vt:variant>
        <vt:i4>0</vt:i4>
      </vt:variant>
      <vt:variant>
        <vt:i4>5</vt:i4>
      </vt:variant>
      <vt:variant>
        <vt:lpwstr/>
      </vt:variant>
      <vt:variant>
        <vt:lpwstr>_Ref434264602</vt:lpwstr>
      </vt:variant>
      <vt:variant>
        <vt:i4>1638454</vt:i4>
      </vt:variant>
      <vt:variant>
        <vt:i4>1290</vt:i4>
      </vt:variant>
      <vt:variant>
        <vt:i4>0</vt:i4>
      </vt:variant>
      <vt:variant>
        <vt:i4>5</vt:i4>
      </vt:variant>
      <vt:variant>
        <vt:lpwstr/>
      </vt:variant>
      <vt:variant>
        <vt:lpwstr>_Ref434492583</vt:lpwstr>
      </vt:variant>
      <vt:variant>
        <vt:i4>1245242</vt:i4>
      </vt:variant>
      <vt:variant>
        <vt:i4>1272</vt:i4>
      </vt:variant>
      <vt:variant>
        <vt:i4>0</vt:i4>
      </vt:variant>
      <vt:variant>
        <vt:i4>5</vt:i4>
      </vt:variant>
      <vt:variant>
        <vt:lpwstr/>
      </vt:variant>
      <vt:variant>
        <vt:lpwstr>_Ref353553543</vt:lpwstr>
      </vt:variant>
      <vt:variant>
        <vt:i4>1638454</vt:i4>
      </vt:variant>
      <vt:variant>
        <vt:i4>1263</vt:i4>
      </vt:variant>
      <vt:variant>
        <vt:i4>0</vt:i4>
      </vt:variant>
      <vt:variant>
        <vt:i4>5</vt:i4>
      </vt:variant>
      <vt:variant>
        <vt:lpwstr/>
      </vt:variant>
      <vt:variant>
        <vt:lpwstr>_Ref434492583</vt:lpwstr>
      </vt:variant>
      <vt:variant>
        <vt:i4>1310773</vt:i4>
      </vt:variant>
      <vt:variant>
        <vt:i4>1257</vt:i4>
      </vt:variant>
      <vt:variant>
        <vt:i4>0</vt:i4>
      </vt:variant>
      <vt:variant>
        <vt:i4>5</vt:i4>
      </vt:variant>
      <vt:variant>
        <vt:lpwstr/>
      </vt:variant>
      <vt:variant>
        <vt:lpwstr>_Ref434493644</vt:lpwstr>
      </vt:variant>
      <vt:variant>
        <vt:i4>1048634</vt:i4>
      </vt:variant>
      <vt:variant>
        <vt:i4>1251</vt:i4>
      </vt:variant>
      <vt:variant>
        <vt:i4>0</vt:i4>
      </vt:variant>
      <vt:variant>
        <vt:i4>5</vt:i4>
      </vt:variant>
      <vt:variant>
        <vt:lpwstr/>
      </vt:variant>
      <vt:variant>
        <vt:lpwstr>_Ref434491927</vt:lpwstr>
      </vt:variant>
      <vt:variant>
        <vt:i4>1376307</vt:i4>
      </vt:variant>
      <vt:variant>
        <vt:i4>1245</vt:i4>
      </vt:variant>
      <vt:variant>
        <vt:i4>0</vt:i4>
      </vt:variant>
      <vt:variant>
        <vt:i4>5</vt:i4>
      </vt:variant>
      <vt:variant>
        <vt:lpwstr/>
      </vt:variant>
      <vt:variant>
        <vt:lpwstr>_Ref434494022</vt:lpwstr>
      </vt:variant>
      <vt:variant>
        <vt:i4>1769530</vt:i4>
      </vt:variant>
      <vt:variant>
        <vt:i4>1239</vt:i4>
      </vt:variant>
      <vt:variant>
        <vt:i4>0</vt:i4>
      </vt:variant>
      <vt:variant>
        <vt:i4>5</vt:i4>
      </vt:variant>
      <vt:variant>
        <vt:lpwstr/>
      </vt:variant>
      <vt:variant>
        <vt:lpwstr>_Ref356210483</vt:lpwstr>
      </vt:variant>
      <vt:variant>
        <vt:i4>1769530</vt:i4>
      </vt:variant>
      <vt:variant>
        <vt:i4>1230</vt:i4>
      </vt:variant>
      <vt:variant>
        <vt:i4>0</vt:i4>
      </vt:variant>
      <vt:variant>
        <vt:i4>5</vt:i4>
      </vt:variant>
      <vt:variant>
        <vt:lpwstr/>
      </vt:variant>
      <vt:variant>
        <vt:lpwstr>_Ref356210483</vt:lpwstr>
      </vt:variant>
      <vt:variant>
        <vt:i4>2031668</vt:i4>
      </vt:variant>
      <vt:variant>
        <vt:i4>1224</vt:i4>
      </vt:variant>
      <vt:variant>
        <vt:i4>0</vt:i4>
      </vt:variant>
      <vt:variant>
        <vt:i4>5</vt:i4>
      </vt:variant>
      <vt:variant>
        <vt:lpwstr/>
      </vt:variant>
      <vt:variant>
        <vt:lpwstr>_Ref434179901</vt:lpwstr>
      </vt:variant>
      <vt:variant>
        <vt:i4>1310773</vt:i4>
      </vt:variant>
      <vt:variant>
        <vt:i4>1218</vt:i4>
      </vt:variant>
      <vt:variant>
        <vt:i4>0</vt:i4>
      </vt:variant>
      <vt:variant>
        <vt:i4>5</vt:i4>
      </vt:variant>
      <vt:variant>
        <vt:lpwstr/>
      </vt:variant>
      <vt:variant>
        <vt:lpwstr>_Ref434493644</vt:lpwstr>
      </vt:variant>
      <vt:variant>
        <vt:i4>1048634</vt:i4>
      </vt:variant>
      <vt:variant>
        <vt:i4>1212</vt:i4>
      </vt:variant>
      <vt:variant>
        <vt:i4>0</vt:i4>
      </vt:variant>
      <vt:variant>
        <vt:i4>5</vt:i4>
      </vt:variant>
      <vt:variant>
        <vt:lpwstr/>
      </vt:variant>
      <vt:variant>
        <vt:lpwstr>_Ref434491927</vt:lpwstr>
      </vt:variant>
      <vt:variant>
        <vt:i4>1769533</vt:i4>
      </vt:variant>
      <vt:variant>
        <vt:i4>1203</vt:i4>
      </vt:variant>
      <vt:variant>
        <vt:i4>0</vt:i4>
      </vt:variant>
      <vt:variant>
        <vt:i4>5</vt:i4>
      </vt:variant>
      <vt:variant>
        <vt:lpwstr/>
      </vt:variant>
      <vt:variant>
        <vt:lpwstr>_Ref442689944</vt:lpwstr>
      </vt:variant>
      <vt:variant>
        <vt:i4>1835069</vt:i4>
      </vt:variant>
      <vt:variant>
        <vt:i4>1197</vt:i4>
      </vt:variant>
      <vt:variant>
        <vt:i4>0</vt:i4>
      </vt:variant>
      <vt:variant>
        <vt:i4>5</vt:i4>
      </vt:variant>
      <vt:variant>
        <vt:lpwstr/>
      </vt:variant>
      <vt:variant>
        <vt:lpwstr>_Ref442689934</vt:lpwstr>
      </vt:variant>
      <vt:variant>
        <vt:i4>1966141</vt:i4>
      </vt:variant>
      <vt:variant>
        <vt:i4>1191</vt:i4>
      </vt:variant>
      <vt:variant>
        <vt:i4>0</vt:i4>
      </vt:variant>
      <vt:variant>
        <vt:i4>5</vt:i4>
      </vt:variant>
      <vt:variant>
        <vt:lpwstr/>
      </vt:variant>
      <vt:variant>
        <vt:lpwstr>_Ref442689915</vt:lpwstr>
      </vt:variant>
      <vt:variant>
        <vt:i4>2031677</vt:i4>
      </vt:variant>
      <vt:variant>
        <vt:i4>1185</vt:i4>
      </vt:variant>
      <vt:variant>
        <vt:i4>0</vt:i4>
      </vt:variant>
      <vt:variant>
        <vt:i4>5</vt:i4>
      </vt:variant>
      <vt:variant>
        <vt:lpwstr/>
      </vt:variant>
      <vt:variant>
        <vt:lpwstr>_Ref442689901</vt:lpwstr>
      </vt:variant>
      <vt:variant>
        <vt:i4>1048636</vt:i4>
      </vt:variant>
      <vt:variant>
        <vt:i4>1179</vt:i4>
      </vt:variant>
      <vt:variant>
        <vt:i4>0</vt:i4>
      </vt:variant>
      <vt:variant>
        <vt:i4>5</vt:i4>
      </vt:variant>
      <vt:variant>
        <vt:lpwstr/>
      </vt:variant>
      <vt:variant>
        <vt:lpwstr>_Ref44315140</vt:lpwstr>
      </vt:variant>
      <vt:variant>
        <vt:i4>1572924</vt:i4>
      </vt:variant>
      <vt:variant>
        <vt:i4>1173</vt:i4>
      </vt:variant>
      <vt:variant>
        <vt:i4>0</vt:i4>
      </vt:variant>
      <vt:variant>
        <vt:i4>5</vt:i4>
      </vt:variant>
      <vt:variant>
        <vt:lpwstr/>
      </vt:variant>
      <vt:variant>
        <vt:lpwstr>_Ref442689875</vt:lpwstr>
      </vt:variant>
      <vt:variant>
        <vt:i4>1703994</vt:i4>
      </vt:variant>
      <vt:variant>
        <vt:i4>1167</vt:i4>
      </vt:variant>
      <vt:variant>
        <vt:i4>0</vt:i4>
      </vt:variant>
      <vt:variant>
        <vt:i4>5</vt:i4>
      </vt:variant>
      <vt:variant>
        <vt:lpwstr/>
      </vt:variant>
      <vt:variant>
        <vt:lpwstr>_Ref434174781</vt:lpwstr>
      </vt:variant>
      <vt:variant>
        <vt:i4>1703996</vt:i4>
      </vt:variant>
      <vt:variant>
        <vt:i4>1161</vt:i4>
      </vt:variant>
      <vt:variant>
        <vt:i4>0</vt:i4>
      </vt:variant>
      <vt:variant>
        <vt:i4>5</vt:i4>
      </vt:variant>
      <vt:variant>
        <vt:lpwstr/>
      </vt:variant>
      <vt:variant>
        <vt:lpwstr>_Ref442689853</vt:lpwstr>
      </vt:variant>
      <vt:variant>
        <vt:i4>1048636</vt:i4>
      </vt:variant>
      <vt:variant>
        <vt:i4>1155</vt:i4>
      </vt:variant>
      <vt:variant>
        <vt:i4>0</vt:i4>
      </vt:variant>
      <vt:variant>
        <vt:i4>5</vt:i4>
      </vt:variant>
      <vt:variant>
        <vt:lpwstr/>
      </vt:variant>
      <vt:variant>
        <vt:lpwstr>_Ref44315140</vt:lpwstr>
      </vt:variant>
      <vt:variant>
        <vt:i4>1900604</vt:i4>
      </vt:variant>
      <vt:variant>
        <vt:i4>1149</vt:i4>
      </vt:variant>
      <vt:variant>
        <vt:i4>0</vt:i4>
      </vt:variant>
      <vt:variant>
        <vt:i4>5</vt:i4>
      </vt:variant>
      <vt:variant>
        <vt:lpwstr/>
      </vt:variant>
      <vt:variant>
        <vt:lpwstr>_Ref442689829</vt:lpwstr>
      </vt:variant>
      <vt:variant>
        <vt:i4>1441845</vt:i4>
      </vt:variant>
      <vt:variant>
        <vt:i4>1143</vt:i4>
      </vt:variant>
      <vt:variant>
        <vt:i4>0</vt:i4>
      </vt:variant>
      <vt:variant>
        <vt:i4>5</vt:i4>
      </vt:variant>
      <vt:variant>
        <vt:lpwstr/>
      </vt:variant>
      <vt:variant>
        <vt:lpwstr>_Ref434493666</vt:lpwstr>
      </vt:variant>
      <vt:variant>
        <vt:i4>1245243</vt:i4>
      </vt:variant>
      <vt:variant>
        <vt:i4>1137</vt:i4>
      </vt:variant>
      <vt:variant>
        <vt:i4>0</vt:i4>
      </vt:variant>
      <vt:variant>
        <vt:i4>5</vt:i4>
      </vt:variant>
      <vt:variant>
        <vt:lpwstr/>
      </vt:variant>
      <vt:variant>
        <vt:lpwstr>_Ref433978151</vt:lpwstr>
      </vt:variant>
      <vt:variant>
        <vt:i4>1769524</vt:i4>
      </vt:variant>
      <vt:variant>
        <vt:i4>1131</vt:i4>
      </vt:variant>
      <vt:variant>
        <vt:i4>0</vt:i4>
      </vt:variant>
      <vt:variant>
        <vt:i4>5</vt:i4>
      </vt:variant>
      <vt:variant>
        <vt:lpwstr/>
      </vt:variant>
      <vt:variant>
        <vt:lpwstr>_Ref440281282</vt:lpwstr>
      </vt:variant>
      <vt:variant>
        <vt:i4>1048629</vt:i4>
      </vt:variant>
      <vt:variant>
        <vt:i4>1125</vt:i4>
      </vt:variant>
      <vt:variant>
        <vt:i4>0</vt:i4>
      </vt:variant>
      <vt:variant>
        <vt:i4>5</vt:i4>
      </vt:variant>
      <vt:variant>
        <vt:lpwstr/>
      </vt:variant>
      <vt:variant>
        <vt:lpwstr>_Ref433986085</vt:lpwstr>
      </vt:variant>
      <vt:variant>
        <vt:i4>1245232</vt:i4>
      </vt:variant>
      <vt:variant>
        <vt:i4>1119</vt:i4>
      </vt:variant>
      <vt:variant>
        <vt:i4>0</vt:i4>
      </vt:variant>
      <vt:variant>
        <vt:i4>5</vt:i4>
      </vt:variant>
      <vt:variant>
        <vt:lpwstr/>
      </vt:variant>
      <vt:variant>
        <vt:lpwstr>_Ref433985583</vt:lpwstr>
      </vt:variant>
      <vt:variant>
        <vt:i4>1638451</vt:i4>
      </vt:variant>
      <vt:variant>
        <vt:i4>1113</vt:i4>
      </vt:variant>
      <vt:variant>
        <vt:i4>0</vt:i4>
      </vt:variant>
      <vt:variant>
        <vt:i4>5</vt:i4>
      </vt:variant>
      <vt:variant>
        <vt:lpwstr/>
      </vt:variant>
      <vt:variant>
        <vt:lpwstr>_Ref442689761</vt:lpwstr>
      </vt:variant>
      <vt:variant>
        <vt:i4>1048636</vt:i4>
      </vt:variant>
      <vt:variant>
        <vt:i4>1107</vt:i4>
      </vt:variant>
      <vt:variant>
        <vt:i4>0</vt:i4>
      </vt:variant>
      <vt:variant>
        <vt:i4>5</vt:i4>
      </vt:variant>
      <vt:variant>
        <vt:lpwstr/>
      </vt:variant>
      <vt:variant>
        <vt:lpwstr>_Ref44315140</vt:lpwstr>
      </vt:variant>
      <vt:variant>
        <vt:i4>1835059</vt:i4>
      </vt:variant>
      <vt:variant>
        <vt:i4>1101</vt:i4>
      </vt:variant>
      <vt:variant>
        <vt:i4>0</vt:i4>
      </vt:variant>
      <vt:variant>
        <vt:i4>5</vt:i4>
      </vt:variant>
      <vt:variant>
        <vt:lpwstr/>
      </vt:variant>
      <vt:variant>
        <vt:lpwstr>_Ref442689738</vt:lpwstr>
      </vt:variant>
      <vt:variant>
        <vt:i4>1245243</vt:i4>
      </vt:variant>
      <vt:variant>
        <vt:i4>1095</vt:i4>
      </vt:variant>
      <vt:variant>
        <vt:i4>0</vt:i4>
      </vt:variant>
      <vt:variant>
        <vt:i4>5</vt:i4>
      </vt:variant>
      <vt:variant>
        <vt:lpwstr/>
      </vt:variant>
      <vt:variant>
        <vt:lpwstr>_Ref433978151</vt:lpwstr>
      </vt:variant>
      <vt:variant>
        <vt:i4>1966136</vt:i4>
      </vt:variant>
      <vt:variant>
        <vt:i4>1089</vt:i4>
      </vt:variant>
      <vt:variant>
        <vt:i4>0</vt:i4>
      </vt:variant>
      <vt:variant>
        <vt:i4>5</vt:i4>
      </vt:variant>
      <vt:variant>
        <vt:lpwstr/>
      </vt:variant>
      <vt:variant>
        <vt:lpwstr>_Ref442278346</vt:lpwstr>
      </vt:variant>
      <vt:variant>
        <vt:i4>1441842</vt:i4>
      </vt:variant>
      <vt:variant>
        <vt:i4>1083</vt:i4>
      </vt:variant>
      <vt:variant>
        <vt:i4>0</vt:i4>
      </vt:variant>
      <vt:variant>
        <vt:i4>5</vt:i4>
      </vt:variant>
      <vt:variant>
        <vt:lpwstr/>
      </vt:variant>
      <vt:variant>
        <vt:lpwstr>_Ref442689696</vt:lpwstr>
      </vt:variant>
      <vt:variant>
        <vt:i4>2031666</vt:i4>
      </vt:variant>
      <vt:variant>
        <vt:i4>1077</vt:i4>
      </vt:variant>
      <vt:variant>
        <vt:i4>0</vt:i4>
      </vt:variant>
      <vt:variant>
        <vt:i4>5</vt:i4>
      </vt:variant>
      <vt:variant>
        <vt:lpwstr/>
      </vt:variant>
      <vt:variant>
        <vt:lpwstr>_Ref433977865</vt:lpwstr>
      </vt:variant>
      <vt:variant>
        <vt:i4>1572914</vt:i4>
      </vt:variant>
      <vt:variant>
        <vt:i4>1071</vt:i4>
      </vt:variant>
      <vt:variant>
        <vt:i4>0</vt:i4>
      </vt:variant>
      <vt:variant>
        <vt:i4>5</vt:i4>
      </vt:variant>
      <vt:variant>
        <vt:lpwstr/>
      </vt:variant>
      <vt:variant>
        <vt:lpwstr>_Ref442689671</vt:lpwstr>
      </vt:variant>
      <vt:variant>
        <vt:i4>1048636</vt:i4>
      </vt:variant>
      <vt:variant>
        <vt:i4>1065</vt:i4>
      </vt:variant>
      <vt:variant>
        <vt:i4>0</vt:i4>
      </vt:variant>
      <vt:variant>
        <vt:i4>5</vt:i4>
      </vt:variant>
      <vt:variant>
        <vt:lpwstr/>
      </vt:variant>
      <vt:variant>
        <vt:lpwstr>_Ref44315140</vt:lpwstr>
      </vt:variant>
      <vt:variant>
        <vt:i4>1769522</vt:i4>
      </vt:variant>
      <vt:variant>
        <vt:i4>1059</vt:i4>
      </vt:variant>
      <vt:variant>
        <vt:i4>0</vt:i4>
      </vt:variant>
      <vt:variant>
        <vt:i4>5</vt:i4>
      </vt:variant>
      <vt:variant>
        <vt:lpwstr/>
      </vt:variant>
      <vt:variant>
        <vt:lpwstr>_Ref442689644</vt:lpwstr>
      </vt:variant>
      <vt:variant>
        <vt:i4>1835058</vt:i4>
      </vt:variant>
      <vt:variant>
        <vt:i4>1053</vt:i4>
      </vt:variant>
      <vt:variant>
        <vt:i4>0</vt:i4>
      </vt:variant>
      <vt:variant>
        <vt:i4>5</vt:i4>
      </vt:variant>
      <vt:variant>
        <vt:lpwstr/>
      </vt:variant>
      <vt:variant>
        <vt:lpwstr>_Ref442689630</vt:lpwstr>
      </vt:variant>
      <vt:variant>
        <vt:i4>1966130</vt:i4>
      </vt:variant>
      <vt:variant>
        <vt:i4>1047</vt:i4>
      </vt:variant>
      <vt:variant>
        <vt:i4>0</vt:i4>
      </vt:variant>
      <vt:variant>
        <vt:i4>5</vt:i4>
      </vt:variant>
      <vt:variant>
        <vt:lpwstr/>
      </vt:variant>
      <vt:variant>
        <vt:lpwstr>_Ref442689610</vt:lpwstr>
      </vt:variant>
      <vt:variant>
        <vt:i4>2031666</vt:i4>
      </vt:variant>
      <vt:variant>
        <vt:i4>1041</vt:i4>
      </vt:variant>
      <vt:variant>
        <vt:i4>0</vt:i4>
      </vt:variant>
      <vt:variant>
        <vt:i4>5</vt:i4>
      </vt:variant>
      <vt:variant>
        <vt:lpwstr/>
      </vt:variant>
      <vt:variant>
        <vt:lpwstr>_Ref442689601</vt:lpwstr>
      </vt:variant>
      <vt:variant>
        <vt:i4>1441845</vt:i4>
      </vt:variant>
      <vt:variant>
        <vt:i4>1035</vt:i4>
      </vt:variant>
      <vt:variant>
        <vt:i4>0</vt:i4>
      </vt:variant>
      <vt:variant>
        <vt:i4>5</vt:i4>
      </vt:variant>
      <vt:variant>
        <vt:lpwstr/>
      </vt:variant>
      <vt:variant>
        <vt:lpwstr>_Ref434493666</vt:lpwstr>
      </vt:variant>
      <vt:variant>
        <vt:i4>1572913</vt:i4>
      </vt:variant>
      <vt:variant>
        <vt:i4>1029</vt:i4>
      </vt:variant>
      <vt:variant>
        <vt:i4>0</vt:i4>
      </vt:variant>
      <vt:variant>
        <vt:i4>5</vt:i4>
      </vt:variant>
      <vt:variant>
        <vt:lpwstr/>
      </vt:variant>
      <vt:variant>
        <vt:lpwstr>_Ref442689575</vt:lpwstr>
      </vt:variant>
      <vt:variant>
        <vt:i4>1048636</vt:i4>
      </vt:variant>
      <vt:variant>
        <vt:i4>1023</vt:i4>
      </vt:variant>
      <vt:variant>
        <vt:i4>0</vt:i4>
      </vt:variant>
      <vt:variant>
        <vt:i4>5</vt:i4>
      </vt:variant>
      <vt:variant>
        <vt:lpwstr/>
      </vt:variant>
      <vt:variant>
        <vt:lpwstr>_Ref44315140</vt:lpwstr>
      </vt:variant>
      <vt:variant>
        <vt:i4>1310773</vt:i4>
      </vt:variant>
      <vt:variant>
        <vt:i4>1017</vt:i4>
      </vt:variant>
      <vt:variant>
        <vt:i4>0</vt:i4>
      </vt:variant>
      <vt:variant>
        <vt:i4>5</vt:i4>
      </vt:variant>
      <vt:variant>
        <vt:lpwstr/>
      </vt:variant>
      <vt:variant>
        <vt:lpwstr>_Ref434493644</vt:lpwstr>
      </vt:variant>
      <vt:variant>
        <vt:i4>1048634</vt:i4>
      </vt:variant>
      <vt:variant>
        <vt:i4>1011</vt:i4>
      </vt:variant>
      <vt:variant>
        <vt:i4>0</vt:i4>
      </vt:variant>
      <vt:variant>
        <vt:i4>5</vt:i4>
      </vt:variant>
      <vt:variant>
        <vt:lpwstr/>
      </vt:variant>
      <vt:variant>
        <vt:lpwstr>_Ref434491927</vt:lpwstr>
      </vt:variant>
      <vt:variant>
        <vt:i4>1900593</vt:i4>
      </vt:variant>
      <vt:variant>
        <vt:i4>1005</vt:i4>
      </vt:variant>
      <vt:variant>
        <vt:i4>0</vt:i4>
      </vt:variant>
      <vt:variant>
        <vt:i4>5</vt:i4>
      </vt:variant>
      <vt:variant>
        <vt:lpwstr/>
      </vt:variant>
      <vt:variant>
        <vt:lpwstr>_Ref442689528</vt:lpwstr>
      </vt:variant>
      <vt:variant>
        <vt:i4>1966129</vt:i4>
      </vt:variant>
      <vt:variant>
        <vt:i4>999</vt:i4>
      </vt:variant>
      <vt:variant>
        <vt:i4>0</vt:i4>
      </vt:variant>
      <vt:variant>
        <vt:i4>5</vt:i4>
      </vt:variant>
      <vt:variant>
        <vt:lpwstr/>
      </vt:variant>
      <vt:variant>
        <vt:lpwstr>_Ref442689518</vt:lpwstr>
      </vt:variant>
      <vt:variant>
        <vt:i4>1769530</vt:i4>
      </vt:variant>
      <vt:variant>
        <vt:i4>993</vt:i4>
      </vt:variant>
      <vt:variant>
        <vt:i4>0</vt:i4>
      </vt:variant>
      <vt:variant>
        <vt:i4>5</vt:i4>
      </vt:variant>
      <vt:variant>
        <vt:lpwstr/>
      </vt:variant>
      <vt:variant>
        <vt:lpwstr>_Ref356210483</vt:lpwstr>
      </vt:variant>
      <vt:variant>
        <vt:i4>1441840</vt:i4>
      </vt:variant>
      <vt:variant>
        <vt:i4>987</vt:i4>
      </vt:variant>
      <vt:variant>
        <vt:i4>0</vt:i4>
      </vt:variant>
      <vt:variant>
        <vt:i4>5</vt:i4>
      </vt:variant>
      <vt:variant>
        <vt:lpwstr/>
      </vt:variant>
      <vt:variant>
        <vt:lpwstr>_Ref442689493</vt:lpwstr>
      </vt:variant>
      <vt:variant>
        <vt:i4>1048634</vt:i4>
      </vt:variant>
      <vt:variant>
        <vt:i4>981</vt:i4>
      </vt:variant>
      <vt:variant>
        <vt:i4>0</vt:i4>
      </vt:variant>
      <vt:variant>
        <vt:i4>5</vt:i4>
      </vt:variant>
      <vt:variant>
        <vt:lpwstr/>
      </vt:variant>
      <vt:variant>
        <vt:lpwstr>_Ref434491927</vt:lpwstr>
      </vt:variant>
      <vt:variant>
        <vt:i4>1638448</vt:i4>
      </vt:variant>
      <vt:variant>
        <vt:i4>975</vt:i4>
      </vt:variant>
      <vt:variant>
        <vt:i4>0</vt:i4>
      </vt:variant>
      <vt:variant>
        <vt:i4>5</vt:i4>
      </vt:variant>
      <vt:variant>
        <vt:lpwstr/>
      </vt:variant>
      <vt:variant>
        <vt:lpwstr>_Ref442689465</vt:lpwstr>
      </vt:variant>
      <vt:variant>
        <vt:i4>1703984</vt:i4>
      </vt:variant>
      <vt:variant>
        <vt:i4>969</vt:i4>
      </vt:variant>
      <vt:variant>
        <vt:i4>0</vt:i4>
      </vt:variant>
      <vt:variant>
        <vt:i4>5</vt:i4>
      </vt:variant>
      <vt:variant>
        <vt:lpwstr/>
      </vt:variant>
      <vt:variant>
        <vt:lpwstr>_Ref442689458</vt:lpwstr>
      </vt:variant>
      <vt:variant>
        <vt:i4>1310772</vt:i4>
      </vt:variant>
      <vt:variant>
        <vt:i4>963</vt:i4>
      </vt:variant>
      <vt:variant>
        <vt:i4>0</vt:i4>
      </vt:variant>
      <vt:variant>
        <vt:i4>5</vt:i4>
      </vt:variant>
      <vt:variant>
        <vt:lpwstr/>
      </vt:variant>
      <vt:variant>
        <vt:lpwstr>_Ref304215872</vt:lpwstr>
      </vt:variant>
      <vt:variant>
        <vt:i4>1048635</vt:i4>
      </vt:variant>
      <vt:variant>
        <vt:i4>957</vt:i4>
      </vt:variant>
      <vt:variant>
        <vt:i4>0</vt:i4>
      </vt:variant>
      <vt:variant>
        <vt:i4>5</vt:i4>
      </vt:variant>
      <vt:variant>
        <vt:lpwstr/>
      </vt:variant>
      <vt:variant>
        <vt:lpwstr>_Ref304215734</vt:lpwstr>
      </vt:variant>
      <vt:variant>
        <vt:i4>1245235</vt:i4>
      </vt:variant>
      <vt:variant>
        <vt:i4>951</vt:i4>
      </vt:variant>
      <vt:variant>
        <vt:i4>0</vt:i4>
      </vt:variant>
      <vt:variant>
        <vt:i4>5</vt:i4>
      </vt:variant>
      <vt:variant>
        <vt:lpwstr/>
      </vt:variant>
      <vt:variant>
        <vt:lpwstr>_Ref434493038</vt:lpwstr>
      </vt:variant>
      <vt:variant>
        <vt:i4>1245235</vt:i4>
      </vt:variant>
      <vt:variant>
        <vt:i4>945</vt:i4>
      </vt:variant>
      <vt:variant>
        <vt:i4>0</vt:i4>
      </vt:variant>
      <vt:variant>
        <vt:i4>5</vt:i4>
      </vt:variant>
      <vt:variant>
        <vt:lpwstr/>
      </vt:variant>
      <vt:variant>
        <vt:lpwstr>_Ref434493038</vt:lpwstr>
      </vt:variant>
      <vt:variant>
        <vt:i4>1376307</vt:i4>
      </vt:variant>
      <vt:variant>
        <vt:i4>939</vt:i4>
      </vt:variant>
      <vt:variant>
        <vt:i4>0</vt:i4>
      </vt:variant>
      <vt:variant>
        <vt:i4>5</vt:i4>
      </vt:variant>
      <vt:variant>
        <vt:lpwstr/>
      </vt:variant>
      <vt:variant>
        <vt:lpwstr>_Ref434492049</vt:lpwstr>
      </vt:variant>
      <vt:variant>
        <vt:i4>1507383</vt:i4>
      </vt:variant>
      <vt:variant>
        <vt:i4>933</vt:i4>
      </vt:variant>
      <vt:variant>
        <vt:i4>0</vt:i4>
      </vt:variant>
      <vt:variant>
        <vt:i4>5</vt:i4>
      </vt:variant>
      <vt:variant>
        <vt:lpwstr/>
      </vt:variant>
      <vt:variant>
        <vt:lpwstr>_Ref442689380</vt:lpwstr>
      </vt:variant>
      <vt:variant>
        <vt:i4>1310778</vt:i4>
      </vt:variant>
      <vt:variant>
        <vt:i4>927</vt:i4>
      </vt:variant>
      <vt:variant>
        <vt:i4>0</vt:i4>
      </vt:variant>
      <vt:variant>
        <vt:i4>5</vt:i4>
      </vt:variant>
      <vt:variant>
        <vt:lpwstr/>
      </vt:variant>
      <vt:variant>
        <vt:lpwstr>_Ref434492953</vt:lpwstr>
      </vt:variant>
      <vt:variant>
        <vt:i4>1703991</vt:i4>
      </vt:variant>
      <vt:variant>
        <vt:i4>921</vt:i4>
      </vt:variant>
      <vt:variant>
        <vt:i4>0</vt:i4>
      </vt:variant>
      <vt:variant>
        <vt:i4>5</vt:i4>
      </vt:variant>
      <vt:variant>
        <vt:lpwstr/>
      </vt:variant>
      <vt:variant>
        <vt:lpwstr>_Ref442689355</vt:lpwstr>
      </vt:variant>
      <vt:variant>
        <vt:i4>1769527</vt:i4>
      </vt:variant>
      <vt:variant>
        <vt:i4>915</vt:i4>
      </vt:variant>
      <vt:variant>
        <vt:i4>0</vt:i4>
      </vt:variant>
      <vt:variant>
        <vt:i4>5</vt:i4>
      </vt:variant>
      <vt:variant>
        <vt:lpwstr/>
      </vt:variant>
      <vt:variant>
        <vt:lpwstr>_Ref442689342</vt:lpwstr>
      </vt:variant>
      <vt:variant>
        <vt:i4>1048635</vt:i4>
      </vt:variant>
      <vt:variant>
        <vt:i4>909</vt:i4>
      </vt:variant>
      <vt:variant>
        <vt:i4>0</vt:i4>
      </vt:variant>
      <vt:variant>
        <vt:i4>5</vt:i4>
      </vt:variant>
      <vt:variant>
        <vt:lpwstr/>
      </vt:variant>
      <vt:variant>
        <vt:lpwstr>_Ref298692294</vt:lpwstr>
      </vt:variant>
      <vt:variant>
        <vt:i4>1900599</vt:i4>
      </vt:variant>
      <vt:variant>
        <vt:i4>903</vt:i4>
      </vt:variant>
      <vt:variant>
        <vt:i4>0</vt:i4>
      </vt:variant>
      <vt:variant>
        <vt:i4>5</vt:i4>
      </vt:variant>
      <vt:variant>
        <vt:lpwstr/>
      </vt:variant>
      <vt:variant>
        <vt:lpwstr>_Ref442689321</vt:lpwstr>
      </vt:variant>
      <vt:variant>
        <vt:i4>2031666</vt:i4>
      </vt:variant>
      <vt:variant>
        <vt:i4>897</vt:i4>
      </vt:variant>
      <vt:variant>
        <vt:i4>0</vt:i4>
      </vt:variant>
      <vt:variant>
        <vt:i4>5</vt:i4>
      </vt:variant>
      <vt:variant>
        <vt:lpwstr/>
      </vt:variant>
      <vt:variant>
        <vt:lpwstr>_Ref433977865</vt:lpwstr>
      </vt:variant>
      <vt:variant>
        <vt:i4>1376307</vt:i4>
      </vt:variant>
      <vt:variant>
        <vt:i4>891</vt:i4>
      </vt:variant>
      <vt:variant>
        <vt:i4>0</vt:i4>
      </vt:variant>
      <vt:variant>
        <vt:i4>5</vt:i4>
      </vt:variant>
      <vt:variant>
        <vt:lpwstr/>
      </vt:variant>
      <vt:variant>
        <vt:lpwstr>_Ref434492049</vt:lpwstr>
      </vt:variant>
      <vt:variant>
        <vt:i4>1376307</vt:i4>
      </vt:variant>
      <vt:variant>
        <vt:i4>885</vt:i4>
      </vt:variant>
      <vt:variant>
        <vt:i4>0</vt:i4>
      </vt:variant>
      <vt:variant>
        <vt:i4>5</vt:i4>
      </vt:variant>
      <vt:variant>
        <vt:lpwstr/>
      </vt:variant>
      <vt:variant>
        <vt:lpwstr>_Ref434492049</vt:lpwstr>
      </vt:variant>
      <vt:variant>
        <vt:i4>1376307</vt:i4>
      </vt:variant>
      <vt:variant>
        <vt:i4>876</vt:i4>
      </vt:variant>
      <vt:variant>
        <vt:i4>0</vt:i4>
      </vt:variant>
      <vt:variant>
        <vt:i4>5</vt:i4>
      </vt:variant>
      <vt:variant>
        <vt:lpwstr/>
      </vt:variant>
      <vt:variant>
        <vt:lpwstr>_Ref434492049</vt:lpwstr>
      </vt:variant>
      <vt:variant>
        <vt:i4>1638454</vt:i4>
      </vt:variant>
      <vt:variant>
        <vt:i4>867</vt:i4>
      </vt:variant>
      <vt:variant>
        <vt:i4>0</vt:i4>
      </vt:variant>
      <vt:variant>
        <vt:i4>5</vt:i4>
      </vt:variant>
      <vt:variant>
        <vt:lpwstr/>
      </vt:variant>
      <vt:variant>
        <vt:lpwstr>_Ref434492583</vt:lpwstr>
      </vt:variant>
      <vt:variant>
        <vt:i4>1900598</vt:i4>
      </vt:variant>
      <vt:variant>
        <vt:i4>861</vt:i4>
      </vt:variant>
      <vt:variant>
        <vt:i4>0</vt:i4>
      </vt:variant>
      <vt:variant>
        <vt:i4>5</vt:i4>
      </vt:variant>
      <vt:variant>
        <vt:lpwstr/>
      </vt:variant>
      <vt:variant>
        <vt:lpwstr>_Ref442689224</vt:lpwstr>
      </vt:variant>
      <vt:variant>
        <vt:i4>1441845</vt:i4>
      </vt:variant>
      <vt:variant>
        <vt:i4>819</vt:i4>
      </vt:variant>
      <vt:variant>
        <vt:i4>0</vt:i4>
      </vt:variant>
      <vt:variant>
        <vt:i4>5</vt:i4>
      </vt:variant>
      <vt:variant>
        <vt:lpwstr/>
      </vt:variant>
      <vt:variant>
        <vt:lpwstr>_Ref442689195</vt:lpwstr>
      </vt:variant>
      <vt:variant>
        <vt:i4>1048634</vt:i4>
      </vt:variant>
      <vt:variant>
        <vt:i4>813</vt:i4>
      </vt:variant>
      <vt:variant>
        <vt:i4>0</vt:i4>
      </vt:variant>
      <vt:variant>
        <vt:i4>5</vt:i4>
      </vt:variant>
      <vt:variant>
        <vt:lpwstr/>
      </vt:variant>
      <vt:variant>
        <vt:lpwstr>_Ref434491927</vt:lpwstr>
      </vt:variant>
      <vt:variant>
        <vt:i4>1638453</vt:i4>
      </vt:variant>
      <vt:variant>
        <vt:i4>807</vt:i4>
      </vt:variant>
      <vt:variant>
        <vt:i4>0</vt:i4>
      </vt:variant>
      <vt:variant>
        <vt:i4>5</vt:i4>
      </vt:variant>
      <vt:variant>
        <vt:lpwstr/>
      </vt:variant>
      <vt:variant>
        <vt:lpwstr>_Ref442689167</vt:lpwstr>
      </vt:variant>
      <vt:variant>
        <vt:i4>1703989</vt:i4>
      </vt:variant>
      <vt:variant>
        <vt:i4>801</vt:i4>
      </vt:variant>
      <vt:variant>
        <vt:i4>0</vt:i4>
      </vt:variant>
      <vt:variant>
        <vt:i4>5</vt:i4>
      </vt:variant>
      <vt:variant>
        <vt:lpwstr/>
      </vt:variant>
      <vt:variant>
        <vt:lpwstr>_Ref442689158</vt:lpwstr>
      </vt:variant>
      <vt:variant>
        <vt:i4>1966141</vt:i4>
      </vt:variant>
      <vt:variant>
        <vt:i4>644</vt:i4>
      </vt:variant>
      <vt:variant>
        <vt:i4>0</vt:i4>
      </vt:variant>
      <vt:variant>
        <vt:i4>5</vt:i4>
      </vt:variant>
      <vt:variant>
        <vt:lpwstr/>
      </vt:variant>
      <vt:variant>
        <vt:lpwstr>_Toc443035983</vt:lpwstr>
      </vt:variant>
      <vt:variant>
        <vt:i4>1966141</vt:i4>
      </vt:variant>
      <vt:variant>
        <vt:i4>635</vt:i4>
      </vt:variant>
      <vt:variant>
        <vt:i4>0</vt:i4>
      </vt:variant>
      <vt:variant>
        <vt:i4>5</vt:i4>
      </vt:variant>
      <vt:variant>
        <vt:lpwstr/>
      </vt:variant>
      <vt:variant>
        <vt:lpwstr>_Toc443035982</vt:lpwstr>
      </vt:variant>
      <vt:variant>
        <vt:i4>1966141</vt:i4>
      </vt:variant>
      <vt:variant>
        <vt:i4>629</vt:i4>
      </vt:variant>
      <vt:variant>
        <vt:i4>0</vt:i4>
      </vt:variant>
      <vt:variant>
        <vt:i4>5</vt:i4>
      </vt:variant>
      <vt:variant>
        <vt:lpwstr/>
      </vt:variant>
      <vt:variant>
        <vt:lpwstr>_Toc443035981</vt:lpwstr>
      </vt:variant>
      <vt:variant>
        <vt:i4>1703994</vt:i4>
      </vt:variant>
      <vt:variant>
        <vt:i4>114</vt:i4>
      </vt:variant>
      <vt:variant>
        <vt:i4>0</vt:i4>
      </vt:variant>
      <vt:variant>
        <vt:i4>5</vt:i4>
      </vt:variant>
      <vt:variant>
        <vt:lpwstr/>
      </vt:variant>
      <vt:variant>
        <vt:lpwstr>_Ref434174781</vt:lpwstr>
      </vt:variant>
      <vt:variant>
        <vt:i4>1114160</vt:i4>
      </vt:variant>
      <vt:variant>
        <vt:i4>24</vt:i4>
      </vt:variant>
      <vt:variant>
        <vt:i4>0</vt:i4>
      </vt:variant>
      <vt:variant>
        <vt:i4>5</vt:i4>
      </vt:variant>
      <vt:variant>
        <vt:lpwstr/>
      </vt:variant>
      <vt:variant>
        <vt:lpwstr>_Ref434487258</vt:lpwstr>
      </vt:variant>
      <vt:variant>
        <vt:i4>4522103</vt:i4>
      </vt:variant>
      <vt:variant>
        <vt:i4>0</vt:i4>
      </vt:variant>
      <vt:variant>
        <vt:i4>0</vt:i4>
      </vt:variant>
      <vt:variant>
        <vt:i4>5</vt:i4>
      </vt:variant>
      <vt:variant>
        <vt:lpwstr/>
      </vt:variant>
      <vt:variant>
        <vt:lpwstr>_Table_of_contents</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template is designed for use with the “Instructions for writing the clinical study protocol”</dc:title>
  <dc:creator>Fournie-Lloret, Dominique R&amp;D/FR</dc:creator>
  <cp:lastModifiedBy>Lu, Jia R&amp;D/CN</cp:lastModifiedBy>
  <cp:revision>2</cp:revision>
  <cp:lastPrinted>2016-02-11T08:54:00Z</cp:lastPrinted>
  <dcterms:created xsi:type="dcterms:W3CDTF">2017-09-14T10:02:00Z</dcterms:created>
  <dcterms:modified xsi:type="dcterms:W3CDTF">2017-09-14T10:02:00Z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ype">
    <vt:lpwstr>Clinical Trial Protocol</vt:lpwstr>
  </property>
  <property fmtid="{D5CDD505-2E9C-101B-9397-08002B2CF9AE}" pid="3" name="Document Number">
    <vt:lpwstr>-</vt:lpwstr>
  </property>
  <property fmtid="{D5CDD505-2E9C-101B-9397-08002B2CF9AE}" pid="4" name="Project Code">
    <vt:lpwstr>Study Number</vt:lpwstr>
  </property>
  <property fmtid="{D5CDD505-2E9C-101B-9397-08002B2CF9AE}" pid="5" name="INN">
    <vt:lpwstr>insulin glargine-lixisenatide</vt:lpwstr>
  </property>
  <property fmtid="{D5CDD505-2E9C-101B-9397-08002B2CF9AE}" pid="6" name="Document Status">
    <vt:lpwstr>1</vt:lpwstr>
  </property>
  <property fmtid="{D5CDD505-2E9C-101B-9397-08002B2CF9AE}" pid="7" name="Date">
    <vt:lpwstr>11-Feb-2016</vt:lpwstr>
  </property>
  <property fmtid="{D5CDD505-2E9C-101B-9397-08002B2CF9AE}" pid="8" name="Time">
    <vt:lpwstr>-</vt:lpwstr>
  </property>
  <property fmtid="{D5CDD505-2E9C-101B-9397-08002B2CF9AE}" pid="9" name="Document Reference">
    <vt:lpwstr>QSD-002579 VERSION N°13.0 (17-SEP-2015)</vt:lpwstr>
  </property>
  <property fmtid="{D5CDD505-2E9C-101B-9397-08002B2CF9AE}" pid="10" name="Product Code">
    <vt:lpwstr>EFC13794</vt:lpwstr>
  </property>
  <property fmtid="{D5CDD505-2E9C-101B-9397-08002B2CF9AE}" pid="11" name="LastRefNum">
    <vt:i4>31</vt:i4>
  </property>
  <property fmtid="{D5CDD505-2E9C-101B-9397-08002B2CF9AE}" pid="12" name="ShowEditDiscussion">
    <vt:i4>1</vt:i4>
  </property>
  <property fmtid="{D5CDD505-2E9C-101B-9397-08002B2CF9AE}" pid="13" name="subPat">
    <vt:lpwstr>subject/patient</vt:lpwstr>
  </property>
  <property fmtid="{D5CDD505-2E9C-101B-9397-08002B2CF9AE}" pid="14" name="subPats">
    <vt:lpwstr>subjects/patients</vt:lpwstr>
  </property>
  <property fmtid="{D5CDD505-2E9C-101B-9397-08002B2CF9AE}" pid="15" name="effPharm">
    <vt:lpwstr>efficacy/pharmacodynamic</vt:lpwstr>
  </property>
  <property fmtid="{D5CDD505-2E9C-101B-9397-08002B2CF9AE}" pid="16" name="effPharms">
    <vt:lpwstr>efficacy/pharmacodynamics</vt:lpwstr>
  </property>
  <property fmtid="{D5CDD505-2E9C-101B-9397-08002B2CF9AE}" pid="17" name="Custom1">
    <vt:lpwstr/>
  </property>
  <property fmtid="{D5CDD505-2E9C-101B-9397-08002B2CF9AE}" pid="18" name="Custom2">
    <vt:lpwstr/>
  </property>
  <property fmtid="{D5CDD505-2E9C-101B-9397-08002B2CF9AE}" pid="19" name="Custom3">
    <vt:lpwstr/>
  </property>
  <property fmtid="{D5CDD505-2E9C-101B-9397-08002B2CF9AE}" pid="20" name="Custom4">
    <vt:lpwstr/>
  </property>
  <property fmtid="{D5CDD505-2E9C-101B-9397-08002B2CF9AE}" pid="21" name="SectionNum">
    <vt:i4>1</vt:i4>
  </property>
  <property fmtid="{D5CDD505-2E9C-101B-9397-08002B2CF9AE}" pid="22" name="SubSectionNum">
    <vt:i4>1</vt:i4>
  </property>
  <property fmtid="{D5CDD505-2E9C-101B-9397-08002B2CF9AE}" pid="23" name="SubSubSectionNum">
    <vt:i4>1</vt:i4>
  </property>
  <property fmtid="{D5CDD505-2E9C-101B-9397-08002B2CF9AE}" pid="24" name="SetCustomHeader">
    <vt:i4>0</vt:i4>
  </property>
  <property fmtid="{D5CDD505-2E9C-101B-9397-08002B2CF9AE}" pid="25" name="https">
    <vt:lpwstr>1</vt:lpwstr>
  </property>
  <property fmtid="{D5CDD505-2E9C-101B-9397-08002B2CF9AE}" pid="26" name="_AdHocReviewCycleID">
    <vt:i4>-1417237545</vt:i4>
  </property>
  <property fmtid="{D5CDD505-2E9C-101B-9397-08002B2CF9AE}" pid="27" name="_NewReviewCycle">
    <vt:lpwstr/>
  </property>
  <property fmtid="{D5CDD505-2E9C-101B-9397-08002B2CF9AE}" pid="28" name="_EmailSubject">
    <vt:lpwstr>doc</vt:lpwstr>
  </property>
  <property fmtid="{D5CDD505-2E9C-101B-9397-08002B2CF9AE}" pid="29" name="_AuthorEmail">
    <vt:lpwstr>Jia.Lu@sanofi.com</vt:lpwstr>
  </property>
  <property fmtid="{D5CDD505-2E9C-101B-9397-08002B2CF9AE}" pid="30" name="_AuthorEmailDisplayName">
    <vt:lpwstr>Lu, Jia /CN</vt:lpwstr>
  </property>
  <property fmtid="{D5CDD505-2E9C-101B-9397-08002B2CF9AE}" pid="31" name="_PreviousAdHocReviewCycleID">
    <vt:i4>1892664252</vt:i4>
  </property>
</Properties>
</file>