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6E372" w14:textId="0D7FBCCF" w:rsidR="00E428DD" w:rsidRDefault="008F2688">
      <w:r>
        <w:rPr>
          <w:rFonts w:hint="eastAsia"/>
        </w:rPr>
        <w:t>Name</w:t>
      </w:r>
      <w:r>
        <w:t>: Jiannan Lu</w:t>
      </w:r>
      <w:r>
        <w:tab/>
      </w:r>
      <w:r>
        <w:tab/>
        <w:t>ID: 1577618</w:t>
      </w:r>
    </w:p>
    <w:p w14:paraId="411370A3" w14:textId="27C2D22A" w:rsidR="008F2688" w:rsidRDefault="008F2688">
      <w:r>
        <w:t>Q1. (a) This is an experiment</w:t>
      </w:r>
      <w:r w:rsidR="002B5BD5">
        <w:t xml:space="preserve"> because there is human intervention in it, and researcher undertake some experiment to get the results</w:t>
      </w:r>
      <w:r w:rsidR="009F18A5">
        <w:t>, and it involves random selection on the steak and grill brands.</w:t>
      </w:r>
    </w:p>
    <w:p w14:paraId="4479A3EB" w14:textId="722BDF78" w:rsidR="002B5BD5" w:rsidRDefault="001C64D8">
      <w:r>
        <w:rPr>
          <w:rFonts w:hint="eastAsia"/>
        </w:rPr>
        <w:t>T</w:t>
      </w:r>
      <w:r>
        <w:t>he population inference is applicable</w:t>
      </w:r>
      <w:r w:rsidR="009F18A5">
        <w:t xml:space="preserve"> </w:t>
      </w:r>
      <w:r w:rsidR="009F18A5">
        <w:rPr>
          <w:rFonts w:hint="eastAsia"/>
        </w:rPr>
        <w:t>s</w:t>
      </w:r>
      <w:r w:rsidR="009F18A5">
        <w:t>ince the steaks and grill brands are randomly selected,</w:t>
      </w:r>
    </w:p>
    <w:p w14:paraId="020880EF" w14:textId="74CEF3A9" w:rsidR="001C64D8" w:rsidRDefault="001C64D8">
      <w:r>
        <w:rPr>
          <w:rFonts w:hint="eastAsia"/>
        </w:rPr>
        <w:t>T</w:t>
      </w:r>
      <w:r>
        <w:t>he causal inference is not applicable with no causal relationships associated.</w:t>
      </w:r>
    </w:p>
    <w:p w14:paraId="6E873632" w14:textId="77777777" w:rsidR="001C64D8" w:rsidRDefault="001C64D8"/>
    <w:p w14:paraId="5196F13F" w14:textId="197B82FC" w:rsidR="008F2688" w:rsidRDefault="00F719C2">
      <w:pPr>
        <w:rPr>
          <w:noProof/>
        </w:rPr>
      </w:pPr>
      <w:r>
        <w:t>Q2. (a)</w:t>
      </w:r>
    </w:p>
    <w:p w14:paraId="5402CFF6" w14:textId="77F4136A" w:rsidR="008F2688" w:rsidRDefault="00EF79D0">
      <w:r>
        <w:rPr>
          <w:noProof/>
        </w:rPr>
        <w:drawing>
          <wp:inline distT="0" distB="0" distL="0" distR="0" wp14:anchorId="6999C85C" wp14:editId="28CE66CB">
            <wp:extent cx="5280660" cy="2026920"/>
            <wp:effectExtent l="0" t="0" r="15240" b="11430"/>
            <wp:docPr id="4433188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52F64A5-0D31-77EB-6B8F-3E5BC8C9CE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8EEC677" w14:textId="594F294E" w:rsidR="00EF79D0" w:rsidRDefault="00EF79D0">
      <w:r>
        <w:rPr>
          <w:noProof/>
        </w:rPr>
        <w:drawing>
          <wp:inline distT="0" distB="0" distL="0" distR="0" wp14:anchorId="62F3F07A" wp14:editId="7770C59E">
            <wp:extent cx="5265420" cy="2133600"/>
            <wp:effectExtent l="0" t="0" r="11430" b="0"/>
            <wp:docPr id="5500149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D3CB884-A6F1-6856-5473-C0E5B4EC20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F719C2">
        <w:rPr>
          <w:noProof/>
        </w:rPr>
        <w:drawing>
          <wp:inline distT="0" distB="0" distL="0" distR="0" wp14:anchorId="4CF0782A" wp14:editId="06DD74E3">
            <wp:extent cx="5242560" cy="2103120"/>
            <wp:effectExtent l="0" t="0" r="15240" b="11430"/>
            <wp:docPr id="7791094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7EAB32D-7F0B-7A8D-730E-B352F90D6D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CFF56D0" w14:textId="6C7C3FE9" w:rsidR="00F719C2" w:rsidRDefault="00F719C2">
      <w:r>
        <w:rPr>
          <w:rFonts w:hint="eastAsia"/>
        </w:rPr>
        <w:t>(</w:t>
      </w:r>
      <w:r>
        <w:t>b) There are all unimodal. The one of Greystone is right-skewed, that of Broil queen is symmetric, that of BBBQ is left-skewed. There is no outlier for the three distributions.</w:t>
      </w:r>
    </w:p>
    <w:p w14:paraId="01E049E5" w14:textId="73D7A440" w:rsidR="00F719C2" w:rsidRDefault="00F719C2">
      <w:r>
        <w:rPr>
          <w:rFonts w:hint="eastAsia"/>
        </w:rPr>
        <w:t>(</w:t>
      </w:r>
      <w:r>
        <w:t xml:space="preserve">c) The distribution of Greystone has a mode at 10.2~10.4 (smallest among the three), and </w:t>
      </w:r>
      <w:r>
        <w:lastRenderedPageBreak/>
        <w:t>spread through the range of 9.4~11.6 (largest among the three)</w:t>
      </w:r>
    </w:p>
    <w:p w14:paraId="51C78B63" w14:textId="7D1FD83A" w:rsidR="00F719C2" w:rsidRDefault="00F719C2">
      <w:r>
        <w:rPr>
          <w:rFonts w:hint="eastAsia"/>
        </w:rPr>
        <w:t>T</w:t>
      </w:r>
      <w:r>
        <w:t xml:space="preserve">he one of Broil Queen has a mode at </w:t>
      </w:r>
      <w:r w:rsidR="002B5BD5">
        <w:t>10.4~10.6</w:t>
      </w:r>
      <w:r w:rsidR="003003D5">
        <w:t xml:space="preserve"> (medium)</w:t>
      </w:r>
      <w:r w:rsidR="002B5BD5">
        <w:t>, and spread through 9.8~11.2 (smallest)</w:t>
      </w:r>
    </w:p>
    <w:p w14:paraId="54F1393D" w14:textId="7A07134C" w:rsidR="002B5BD5" w:rsidRDefault="002B5BD5">
      <w:r>
        <w:rPr>
          <w:rFonts w:hint="eastAsia"/>
        </w:rPr>
        <w:t>T</w:t>
      </w:r>
      <w:r>
        <w:t>he one of BBBQ has a mode at 11.0~11.2 (largest), and spread through 9.4</w:t>
      </w:r>
      <w:r>
        <w:rPr>
          <w:rFonts w:hint="eastAsia"/>
        </w:rPr>
        <w:t>~</w:t>
      </w:r>
      <w:r>
        <w:t xml:space="preserve">11.6 </w:t>
      </w:r>
      <w:r>
        <w:rPr>
          <w:rFonts w:hint="eastAsia"/>
        </w:rPr>
        <w:t>(</w:t>
      </w:r>
      <w:r>
        <w:t>largest)</w:t>
      </w:r>
    </w:p>
    <w:p w14:paraId="45E4AF9B" w14:textId="360A785D" w:rsidR="002B5BD5" w:rsidRDefault="002B5BD5">
      <w:r>
        <w:rPr>
          <w:rFonts w:hint="eastAsia"/>
        </w:rPr>
        <w:t>(</w:t>
      </w:r>
      <w:r>
        <w:t>d) The distribution of Greystone has mean &gt; median</w:t>
      </w:r>
    </w:p>
    <w:p w14:paraId="1D86344F" w14:textId="556CA0D0" w:rsidR="002B5BD5" w:rsidRDefault="002B5BD5">
      <w:r>
        <w:t>The one of Broil Queen has mean = median</w:t>
      </w:r>
    </w:p>
    <w:p w14:paraId="7A81D60D" w14:textId="16183840" w:rsidR="001C64D8" w:rsidRDefault="002B5BD5">
      <w:r>
        <w:rPr>
          <w:rFonts w:hint="eastAsia"/>
        </w:rPr>
        <w:t>T</w:t>
      </w:r>
      <w:r>
        <w:t>he one of BBBQ has mean &lt; median</w:t>
      </w:r>
    </w:p>
    <w:p w14:paraId="1F06691E" w14:textId="77777777" w:rsidR="001C64D8" w:rsidRDefault="001C64D8"/>
    <w:p w14:paraId="5C76660C" w14:textId="494A49F2" w:rsidR="001C64D8" w:rsidRDefault="001C64D8">
      <w:r>
        <w:t>Q</w:t>
      </w:r>
      <w:r>
        <w:rPr>
          <w:rFonts w:hint="eastAsia"/>
        </w:rPr>
        <w:t>3</w:t>
      </w:r>
      <w:r>
        <w:t>. (a)</w:t>
      </w:r>
    </w:p>
    <w:p w14:paraId="5C291473" w14:textId="53ED9F19" w:rsidR="00D55107" w:rsidRDefault="00D55107">
      <w:r>
        <w:rPr>
          <w:noProof/>
        </w:rPr>
        <mc:AlternateContent>
          <mc:Choice Requires="cx1">
            <w:drawing>
              <wp:inline distT="0" distB="0" distL="0" distR="0" wp14:anchorId="5DFD6822" wp14:editId="5B97BE89">
                <wp:extent cx="4572000" cy="2743200"/>
                <wp:effectExtent l="0" t="0" r="0" b="0"/>
                <wp:docPr id="1590765089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DD3F3D-F1EC-78EA-95B9-9FACB1FEDA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5DFD6822" wp14:editId="5B97BE89">
                <wp:extent cx="4572000" cy="2743200"/>
                <wp:effectExtent l="0" t="0" r="0" b="0"/>
                <wp:docPr id="1590765089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DD3F3D-F1EC-78EA-95B9-9FACB1FEDA9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0765089" name="Chart 1">
                          <a:extLst>
                            <a:ext uri="{FF2B5EF4-FFF2-40B4-BE49-F238E27FC236}">
                              <a16:creationId xmlns:a16="http://schemas.microsoft.com/office/drawing/2014/main" id="{18DD3F3D-F1EC-78EA-95B9-9FACB1FEDA9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90B7844" w14:textId="07F96D6F" w:rsidR="00D55107" w:rsidRDefault="00D55107">
      <w:r>
        <w:rPr>
          <w:rFonts w:hint="eastAsia"/>
        </w:rPr>
        <w:t>(</w:t>
      </w:r>
      <w:r>
        <w:t>b) The boxplot for GS is up-skewed</w:t>
      </w:r>
      <w:r w:rsidR="002A5B46">
        <w:t xml:space="preserve"> (right-skewed)</w:t>
      </w:r>
      <w:r>
        <w:t>, that for BQ is down-skewed</w:t>
      </w:r>
      <w:r w:rsidR="002A5B46">
        <w:t xml:space="preserve"> (left-skewed)</w:t>
      </w:r>
      <w:r>
        <w:t>, that for BBBQ is down-skewed</w:t>
      </w:r>
      <w:r w:rsidR="002A5B46">
        <w:t xml:space="preserve"> (left-skewed)</w:t>
      </w:r>
      <w:r>
        <w:t>.</w:t>
      </w:r>
    </w:p>
    <w:p w14:paraId="5CB95216" w14:textId="642C3385" w:rsidR="00D55107" w:rsidRDefault="00D55107">
      <w:r>
        <w:rPr>
          <w:rFonts w:hint="eastAsia"/>
        </w:rPr>
        <w:t>O</w:t>
      </w:r>
      <w:r>
        <w:t>ne outlier for boxplot of time for BBBQ</w:t>
      </w:r>
    </w:p>
    <w:p w14:paraId="2D0E74C7" w14:textId="45E25589" w:rsidR="00D55107" w:rsidRDefault="00D55107">
      <w:r>
        <w:t>(c) For GS, center is the smallest among the three, spread is the largest among the three.</w:t>
      </w:r>
    </w:p>
    <w:p w14:paraId="46FAF308" w14:textId="28B550C0" w:rsidR="00D55107" w:rsidRDefault="00D55107">
      <w:r>
        <w:rPr>
          <w:rFonts w:hint="eastAsia"/>
        </w:rPr>
        <w:t>F</w:t>
      </w:r>
      <w:r>
        <w:t>or BQ, center is the medium, spread is the smallest.</w:t>
      </w:r>
    </w:p>
    <w:p w14:paraId="2B5EFD05" w14:textId="02AD8340" w:rsidR="00D55107" w:rsidRDefault="00D55107">
      <w:r>
        <w:rPr>
          <w:rFonts w:hint="eastAsia"/>
        </w:rPr>
        <w:t>F</w:t>
      </w:r>
      <w:r>
        <w:t>or BBBQ, center is the highest, spread is the medium.</w:t>
      </w:r>
    </w:p>
    <w:p w14:paraId="1FD8A01F" w14:textId="77777777" w:rsidR="001E7C2A" w:rsidRDefault="00D55107" w:rsidP="001E7C2A">
      <w:r>
        <w:rPr>
          <w:rFonts w:hint="eastAsia"/>
        </w:rPr>
        <w:t>(</w:t>
      </w:r>
      <w:r>
        <w:t xml:space="preserve">d) </w:t>
      </w:r>
      <w:proofErr w:type="gramStart"/>
      <w:r w:rsidR="001E7C2A">
        <w:rPr>
          <w:rFonts w:hint="eastAsia"/>
        </w:rPr>
        <w:t>M</w:t>
      </w:r>
      <w:r w:rsidR="001E7C2A">
        <w:t>odes</w:t>
      </w:r>
      <w:proofErr w:type="gramEnd"/>
      <w:r w:rsidR="001E7C2A">
        <w:t xml:space="preserve"> analysis is consistent with Q2(c).</w:t>
      </w:r>
    </w:p>
    <w:p w14:paraId="53FCAF29" w14:textId="70E77407" w:rsidR="001E7C2A" w:rsidRPr="001E7C2A" w:rsidRDefault="001E7C2A">
      <w:r>
        <w:t>Ranges analysis is not consistent with Q2(c)</w:t>
      </w:r>
      <w:r>
        <w:rPr>
          <w:rFonts w:hint="eastAsia"/>
        </w:rPr>
        <w:t>.</w:t>
      </w:r>
    </w:p>
    <w:p w14:paraId="26543647" w14:textId="74113A76" w:rsidR="00D55107" w:rsidRDefault="001E7C2A">
      <w:r>
        <w:t>I</w:t>
      </w:r>
      <w:r w:rsidR="003003D5">
        <w:t>n boxplot, spread is the medium instead of largest for distribution of BBBQ.</w:t>
      </w:r>
    </w:p>
    <w:p w14:paraId="4A539E9D" w14:textId="77777777" w:rsidR="003003D5" w:rsidRDefault="003003D5"/>
    <w:p w14:paraId="59E64F08" w14:textId="0481C412" w:rsidR="003003D5" w:rsidRDefault="003003D5">
      <w:r>
        <w:rPr>
          <w:rFonts w:hint="eastAsia"/>
        </w:rPr>
        <w:t>Q</w:t>
      </w:r>
      <w:r>
        <w:t xml:space="preserve">4. (a) </w:t>
      </w:r>
    </w:p>
    <w:tbl>
      <w:tblPr>
        <w:tblW w:w="5389" w:type="dxa"/>
        <w:tblLook w:val="04A0" w:firstRow="1" w:lastRow="0" w:firstColumn="1" w:lastColumn="0" w:noHBand="0" w:noVBand="1"/>
      </w:tblPr>
      <w:tblGrid>
        <w:gridCol w:w="1050"/>
        <w:gridCol w:w="1380"/>
        <w:gridCol w:w="2080"/>
        <w:gridCol w:w="960"/>
      </w:tblGrid>
      <w:tr w:rsidR="003003D5" w:rsidRPr="003003D5" w14:paraId="3EA642AB" w14:textId="77777777" w:rsidTr="003003D5">
        <w:trPr>
          <w:trHeight w:val="26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0818" w14:textId="77777777" w:rsidR="003003D5" w:rsidRPr="003003D5" w:rsidRDefault="003003D5" w:rsidP="003003D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3003D5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BRAND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474E" w14:textId="77777777" w:rsidR="003003D5" w:rsidRPr="003003D5" w:rsidRDefault="003003D5" w:rsidP="003003D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3003D5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Greystone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32DB" w14:textId="77777777" w:rsidR="003003D5" w:rsidRPr="003003D5" w:rsidRDefault="003003D5" w:rsidP="003003D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3003D5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Broil Queen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EC40" w14:textId="77777777" w:rsidR="003003D5" w:rsidRPr="003003D5" w:rsidRDefault="003003D5" w:rsidP="003003D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3003D5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BBBQ</w:t>
            </w:r>
          </w:p>
        </w:tc>
      </w:tr>
      <w:tr w:rsidR="003003D5" w:rsidRPr="003003D5" w14:paraId="55FDDC5A" w14:textId="77777777" w:rsidTr="003003D5">
        <w:trPr>
          <w:trHeight w:val="264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877C9" w14:textId="77777777" w:rsidR="003003D5" w:rsidRPr="003003D5" w:rsidRDefault="003003D5" w:rsidP="003003D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003D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MEAN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0F71" w14:textId="77777777" w:rsidR="003003D5" w:rsidRPr="003003D5" w:rsidRDefault="003003D5" w:rsidP="003003D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003D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10.263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4F72" w14:textId="77777777" w:rsidR="003003D5" w:rsidRPr="003003D5" w:rsidRDefault="003003D5" w:rsidP="003003D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003D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10.494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A9BE" w14:textId="77777777" w:rsidR="003003D5" w:rsidRPr="003003D5" w:rsidRDefault="003003D5" w:rsidP="003003D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003D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10.868</w:t>
            </w:r>
          </w:p>
        </w:tc>
      </w:tr>
      <w:tr w:rsidR="003003D5" w:rsidRPr="003003D5" w14:paraId="29494EA6" w14:textId="77777777" w:rsidTr="003003D5">
        <w:trPr>
          <w:trHeight w:val="264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4C21" w14:textId="77777777" w:rsidR="003003D5" w:rsidRPr="003003D5" w:rsidRDefault="003003D5" w:rsidP="003003D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003D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STD. DEV.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42E3" w14:textId="49FAB058" w:rsidR="003003D5" w:rsidRPr="003003D5" w:rsidRDefault="003003D5" w:rsidP="003003D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003D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4130F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564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E172" w14:textId="4FFBE558" w:rsidR="003003D5" w:rsidRPr="003003D5" w:rsidRDefault="003003D5" w:rsidP="003003D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003D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4130F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AA4E" w14:textId="109A4E4F" w:rsidR="003003D5" w:rsidRPr="003003D5" w:rsidRDefault="003003D5" w:rsidP="003003D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003D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4130F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519</w:t>
            </w:r>
          </w:p>
        </w:tc>
      </w:tr>
      <w:tr w:rsidR="003003D5" w:rsidRPr="003003D5" w14:paraId="4F79FA5C" w14:textId="77777777" w:rsidTr="003003D5">
        <w:trPr>
          <w:trHeight w:val="264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07C0" w14:textId="77777777" w:rsidR="003003D5" w:rsidRPr="003003D5" w:rsidRDefault="003003D5" w:rsidP="003003D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003D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MODE(S)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53B99" w14:textId="77777777" w:rsidR="003003D5" w:rsidRPr="003003D5" w:rsidRDefault="003003D5" w:rsidP="003003D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003D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10.08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3752" w14:textId="77777777" w:rsidR="003003D5" w:rsidRPr="003003D5" w:rsidRDefault="003003D5" w:rsidP="003003D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003D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10.432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31D5C" w14:textId="77777777" w:rsidR="003003D5" w:rsidRPr="003003D5" w:rsidRDefault="003003D5" w:rsidP="003003D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003D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10.912</w:t>
            </w:r>
          </w:p>
        </w:tc>
      </w:tr>
      <w:tr w:rsidR="003003D5" w:rsidRPr="003003D5" w14:paraId="5CFC4197" w14:textId="77777777" w:rsidTr="003003D5">
        <w:trPr>
          <w:trHeight w:val="264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6E26" w14:textId="77777777" w:rsidR="003003D5" w:rsidRPr="003003D5" w:rsidRDefault="003003D5" w:rsidP="003003D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003D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RANGE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C604D" w14:textId="02007243" w:rsidR="003003D5" w:rsidRPr="003003D5" w:rsidRDefault="003003D5" w:rsidP="003003D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003D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1.96</w:t>
            </w:r>
            <w:r w:rsidR="004130F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4229" w14:textId="77777777" w:rsidR="003003D5" w:rsidRPr="003003D5" w:rsidRDefault="003003D5" w:rsidP="003003D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003D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1.288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1715" w14:textId="287A9705" w:rsidR="003003D5" w:rsidRPr="003003D5" w:rsidRDefault="003003D5" w:rsidP="003003D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003D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1.92</w:t>
            </w:r>
            <w:r w:rsidR="004130F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</w:p>
        </w:tc>
      </w:tr>
    </w:tbl>
    <w:p w14:paraId="0DBC1184" w14:textId="53098DF0" w:rsidR="003003D5" w:rsidRDefault="003003D5">
      <w:r>
        <w:rPr>
          <w:rFonts w:hint="eastAsia"/>
        </w:rPr>
        <w:t>F</w:t>
      </w:r>
      <w:r>
        <w:t>or means, BBBQ &gt; BQ &gt; GS. For STD. DEV., GS &gt; BBBQ &gt; BQ</w:t>
      </w:r>
    </w:p>
    <w:p w14:paraId="2BD61252" w14:textId="6C9D3F37" w:rsidR="003003D5" w:rsidRDefault="003003D5">
      <w:r>
        <w:rPr>
          <w:rFonts w:hint="eastAsia"/>
        </w:rPr>
        <w:t>F</w:t>
      </w:r>
      <w:r>
        <w:t xml:space="preserve">or </w:t>
      </w:r>
      <w:r w:rsidR="001E7C2A">
        <w:t>modes, BBBQ &gt; BQ &gt; GS. For ranges, GS &gt; BBBQ &gt; BQ</w:t>
      </w:r>
    </w:p>
    <w:p w14:paraId="79439675" w14:textId="7BE2BE17" w:rsidR="001E7C2A" w:rsidRDefault="001E7C2A">
      <w:proofErr w:type="gramStart"/>
      <w:r>
        <w:rPr>
          <w:rFonts w:hint="eastAsia"/>
        </w:rPr>
        <w:t>M</w:t>
      </w:r>
      <w:r>
        <w:t>odes</w:t>
      </w:r>
      <w:proofErr w:type="gramEnd"/>
      <w:r>
        <w:t xml:space="preserve"> analysis is consistent with Q2(c).</w:t>
      </w:r>
    </w:p>
    <w:p w14:paraId="4FADC82D" w14:textId="6FE8C4A4" w:rsidR="001E7C2A" w:rsidRPr="001E7C2A" w:rsidRDefault="001E7C2A">
      <w:r>
        <w:t>Ranges analysis is not consistent with Q2(c)</w:t>
      </w:r>
    </w:p>
    <w:p w14:paraId="0B2CA433" w14:textId="4C0BEFA5" w:rsidR="001E7C2A" w:rsidRDefault="001E7C2A">
      <w:r>
        <w:lastRenderedPageBreak/>
        <w:t>In Q2(c), for ranges, BBBQ = GS &gt; BQ</w:t>
      </w:r>
    </w:p>
    <w:p w14:paraId="4A7A92FB" w14:textId="565D1129" w:rsidR="003003D5" w:rsidRDefault="003003D5">
      <w:r>
        <w:rPr>
          <w:rFonts w:hint="eastAsia"/>
        </w:rPr>
        <w:t>(</w:t>
      </w:r>
      <w:r>
        <w:t xml:space="preserve">b) </w:t>
      </w:r>
    </w:p>
    <w:tbl>
      <w:tblPr>
        <w:tblW w:w="5380" w:type="dxa"/>
        <w:tblLook w:val="04A0" w:firstRow="1" w:lastRow="0" w:firstColumn="1" w:lastColumn="0" w:noHBand="0" w:noVBand="1"/>
      </w:tblPr>
      <w:tblGrid>
        <w:gridCol w:w="1016"/>
        <w:gridCol w:w="1380"/>
        <w:gridCol w:w="2080"/>
        <w:gridCol w:w="960"/>
      </w:tblGrid>
      <w:tr w:rsidR="001E7C2A" w:rsidRPr="001E7C2A" w14:paraId="00408858" w14:textId="77777777" w:rsidTr="001E7C2A">
        <w:trPr>
          <w:trHeight w:val="2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EE8C" w14:textId="77777777" w:rsidR="001E7C2A" w:rsidRPr="001E7C2A" w:rsidRDefault="001E7C2A" w:rsidP="001E7C2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1E7C2A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BRAND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5C28" w14:textId="77777777" w:rsidR="001E7C2A" w:rsidRPr="001E7C2A" w:rsidRDefault="001E7C2A" w:rsidP="001E7C2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1E7C2A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Greystone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4891" w14:textId="77777777" w:rsidR="001E7C2A" w:rsidRPr="001E7C2A" w:rsidRDefault="001E7C2A" w:rsidP="001E7C2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1E7C2A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Broil Queen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BAF0" w14:textId="77777777" w:rsidR="001E7C2A" w:rsidRPr="001E7C2A" w:rsidRDefault="001E7C2A" w:rsidP="001E7C2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1E7C2A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BBBQ</w:t>
            </w:r>
          </w:p>
        </w:tc>
      </w:tr>
      <w:tr w:rsidR="001E7C2A" w:rsidRPr="001E7C2A" w14:paraId="09D1306C" w14:textId="77777777" w:rsidTr="001E7C2A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B54E3" w14:textId="77777777" w:rsidR="001E7C2A" w:rsidRPr="001E7C2A" w:rsidRDefault="001E7C2A" w:rsidP="001E7C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E7C2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MIN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55CB" w14:textId="77777777" w:rsidR="001E7C2A" w:rsidRPr="001E7C2A" w:rsidRDefault="001E7C2A" w:rsidP="001E7C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E7C2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9.464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1FFD" w14:textId="77777777" w:rsidR="001E7C2A" w:rsidRPr="001E7C2A" w:rsidRDefault="001E7C2A" w:rsidP="001E7C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E7C2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9.824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4258C" w14:textId="77777777" w:rsidR="001E7C2A" w:rsidRPr="001E7C2A" w:rsidRDefault="001E7C2A" w:rsidP="001E7C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E7C2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9.504</w:t>
            </w:r>
          </w:p>
        </w:tc>
      </w:tr>
      <w:tr w:rsidR="001E7C2A" w:rsidRPr="001E7C2A" w14:paraId="2480B64B" w14:textId="77777777" w:rsidTr="001E7C2A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5A6E" w14:textId="77777777" w:rsidR="001E7C2A" w:rsidRPr="001E7C2A" w:rsidRDefault="001E7C2A" w:rsidP="001E7C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E7C2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Q1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F478" w14:textId="77777777" w:rsidR="001E7C2A" w:rsidRPr="001E7C2A" w:rsidRDefault="001E7C2A" w:rsidP="001E7C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E7C2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9.888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7683" w14:textId="77777777" w:rsidR="001E7C2A" w:rsidRPr="001E7C2A" w:rsidRDefault="001E7C2A" w:rsidP="001E7C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E7C2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10.272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4E0A" w14:textId="77777777" w:rsidR="001E7C2A" w:rsidRPr="001E7C2A" w:rsidRDefault="001E7C2A" w:rsidP="001E7C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E7C2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10.72</w:t>
            </w:r>
          </w:p>
        </w:tc>
      </w:tr>
      <w:tr w:rsidR="001E7C2A" w:rsidRPr="001E7C2A" w14:paraId="62F5EC61" w14:textId="77777777" w:rsidTr="001E7C2A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E1ADB" w14:textId="77777777" w:rsidR="001E7C2A" w:rsidRPr="001E7C2A" w:rsidRDefault="001E7C2A" w:rsidP="001E7C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E7C2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MEDIAN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4BED" w14:textId="77777777" w:rsidR="001E7C2A" w:rsidRPr="001E7C2A" w:rsidRDefault="001E7C2A" w:rsidP="001E7C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E7C2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10.084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2B36B" w14:textId="77777777" w:rsidR="001E7C2A" w:rsidRPr="001E7C2A" w:rsidRDefault="001E7C2A" w:rsidP="001E7C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E7C2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10.504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CE24" w14:textId="77777777" w:rsidR="001E7C2A" w:rsidRPr="001E7C2A" w:rsidRDefault="001E7C2A" w:rsidP="001E7C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E7C2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11.04</w:t>
            </w:r>
          </w:p>
        </w:tc>
      </w:tr>
      <w:tr w:rsidR="001E7C2A" w:rsidRPr="001E7C2A" w14:paraId="1528822F" w14:textId="77777777" w:rsidTr="001E7C2A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3303" w14:textId="77777777" w:rsidR="001E7C2A" w:rsidRPr="001E7C2A" w:rsidRDefault="001E7C2A" w:rsidP="001E7C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E7C2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Q3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B189" w14:textId="77777777" w:rsidR="001E7C2A" w:rsidRPr="001E7C2A" w:rsidRDefault="001E7C2A" w:rsidP="001E7C2A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E7C2A">
              <w:rPr>
                <w:rFonts w:ascii="Arial" w:eastAsia="宋体" w:hAnsi="Arial" w:cs="Arial"/>
                <w:kern w:val="0"/>
                <w:sz w:val="20"/>
                <w:szCs w:val="20"/>
              </w:rPr>
              <w:t>10.272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EBE7E" w14:textId="77777777" w:rsidR="001E7C2A" w:rsidRPr="001E7C2A" w:rsidRDefault="001E7C2A" w:rsidP="001E7C2A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E7C2A">
              <w:rPr>
                <w:rFonts w:ascii="Arial" w:eastAsia="宋体" w:hAnsi="Arial" w:cs="Arial"/>
                <w:kern w:val="0"/>
                <w:sz w:val="20"/>
                <w:szCs w:val="20"/>
              </w:rPr>
              <w:t>10.728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CCEE" w14:textId="77777777" w:rsidR="001E7C2A" w:rsidRPr="001E7C2A" w:rsidRDefault="001E7C2A" w:rsidP="001E7C2A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E7C2A">
              <w:rPr>
                <w:rFonts w:ascii="Arial" w:eastAsia="宋体" w:hAnsi="Arial" w:cs="Arial"/>
                <w:kern w:val="0"/>
                <w:sz w:val="20"/>
                <w:szCs w:val="20"/>
              </w:rPr>
              <w:t>11.2</w:t>
            </w:r>
          </w:p>
        </w:tc>
      </w:tr>
      <w:tr w:rsidR="001E7C2A" w:rsidRPr="001E7C2A" w14:paraId="1A71D7E7" w14:textId="77777777" w:rsidTr="001E7C2A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EFA2" w14:textId="77777777" w:rsidR="001E7C2A" w:rsidRPr="001E7C2A" w:rsidRDefault="001E7C2A" w:rsidP="001E7C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E7C2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MAX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FA48" w14:textId="77777777" w:rsidR="001E7C2A" w:rsidRPr="001E7C2A" w:rsidRDefault="001E7C2A" w:rsidP="001E7C2A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E7C2A">
              <w:rPr>
                <w:rFonts w:ascii="Arial" w:eastAsia="宋体" w:hAnsi="Arial" w:cs="Arial"/>
                <w:kern w:val="0"/>
                <w:sz w:val="20"/>
                <w:szCs w:val="20"/>
              </w:rPr>
              <w:t>11.424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9398" w14:textId="77777777" w:rsidR="001E7C2A" w:rsidRPr="001E7C2A" w:rsidRDefault="001E7C2A" w:rsidP="001E7C2A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E7C2A">
              <w:rPr>
                <w:rFonts w:ascii="Arial" w:eastAsia="宋体" w:hAnsi="Arial" w:cs="Arial"/>
                <w:kern w:val="0"/>
                <w:sz w:val="20"/>
                <w:szCs w:val="20"/>
              </w:rPr>
              <w:t>11.112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F63A" w14:textId="77777777" w:rsidR="001E7C2A" w:rsidRPr="001E7C2A" w:rsidRDefault="001E7C2A" w:rsidP="001E7C2A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E7C2A">
              <w:rPr>
                <w:rFonts w:ascii="Arial" w:eastAsia="宋体" w:hAnsi="Arial" w:cs="Arial"/>
                <w:kern w:val="0"/>
                <w:sz w:val="20"/>
                <w:szCs w:val="20"/>
              </w:rPr>
              <w:t>11.424</w:t>
            </w:r>
          </w:p>
        </w:tc>
      </w:tr>
      <w:tr w:rsidR="001E7C2A" w:rsidRPr="001E7C2A" w14:paraId="448C5CF3" w14:textId="77777777" w:rsidTr="001E7C2A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481AD" w14:textId="77777777" w:rsidR="001E7C2A" w:rsidRPr="001E7C2A" w:rsidRDefault="001E7C2A" w:rsidP="001E7C2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E7C2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IQR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8BA3" w14:textId="77777777" w:rsidR="001E7C2A" w:rsidRPr="001E7C2A" w:rsidRDefault="001E7C2A" w:rsidP="001E7C2A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E7C2A">
              <w:rPr>
                <w:rFonts w:ascii="Arial" w:eastAsia="宋体" w:hAnsi="Arial" w:cs="Arial"/>
                <w:kern w:val="0"/>
                <w:sz w:val="20"/>
                <w:szCs w:val="20"/>
              </w:rPr>
              <w:t>0.384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B21F" w14:textId="77777777" w:rsidR="001E7C2A" w:rsidRPr="001E7C2A" w:rsidRDefault="001E7C2A" w:rsidP="001E7C2A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E7C2A">
              <w:rPr>
                <w:rFonts w:ascii="Arial" w:eastAsia="宋体" w:hAnsi="Arial" w:cs="Arial"/>
                <w:kern w:val="0"/>
                <w:sz w:val="20"/>
                <w:szCs w:val="20"/>
              </w:rPr>
              <w:t>0.456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3B29" w14:textId="77777777" w:rsidR="001E7C2A" w:rsidRPr="001E7C2A" w:rsidRDefault="001E7C2A" w:rsidP="001E7C2A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E7C2A">
              <w:rPr>
                <w:rFonts w:ascii="Arial" w:eastAsia="宋体" w:hAnsi="Arial" w:cs="Arial"/>
                <w:kern w:val="0"/>
                <w:sz w:val="20"/>
                <w:szCs w:val="20"/>
              </w:rPr>
              <w:t>0.48</w:t>
            </w:r>
          </w:p>
        </w:tc>
      </w:tr>
    </w:tbl>
    <w:p w14:paraId="64B392F3" w14:textId="5F717D61" w:rsidR="001E7C2A" w:rsidRDefault="00D37FE3">
      <w:r>
        <w:rPr>
          <w:rFonts w:hint="eastAsia"/>
        </w:rPr>
        <w:t>T</w:t>
      </w:r>
      <w:r>
        <w:t>he 5-number summary is consistent with conclusions about the shape in Q3, but not Q2.</w:t>
      </w:r>
    </w:p>
    <w:p w14:paraId="4D068718" w14:textId="37BBB6E7" w:rsidR="00D37FE3" w:rsidRDefault="00D37FE3">
      <w:r>
        <w:rPr>
          <w:rFonts w:hint="eastAsia"/>
        </w:rPr>
        <w:t>F</w:t>
      </w:r>
      <w:r>
        <w:t>or GS, median=10.084 &lt; mean=10.263, so right-skewed.</w:t>
      </w:r>
    </w:p>
    <w:p w14:paraId="2A4A9435" w14:textId="2E81487B" w:rsidR="00D37FE3" w:rsidRDefault="00D37FE3">
      <w:r>
        <w:rPr>
          <w:rFonts w:hint="eastAsia"/>
        </w:rPr>
        <w:t>F</w:t>
      </w:r>
      <w:r>
        <w:t>or BQ, median=10.504 &gt; mean=10.494. so left-skewed not symmetric</w:t>
      </w:r>
    </w:p>
    <w:p w14:paraId="465667AE" w14:textId="4B4CDFA3" w:rsidR="00D37FE3" w:rsidRDefault="002A5B46">
      <w:r>
        <w:rPr>
          <w:rFonts w:hint="eastAsia"/>
        </w:rPr>
        <w:t>F</w:t>
      </w:r>
      <w:r>
        <w:t>or BBBQ, median=11.04 &gt; mean=10.868, so left-skewed.</w:t>
      </w:r>
    </w:p>
    <w:p w14:paraId="0C872BB7" w14:textId="5FD9C2E3" w:rsidR="002A5B46" w:rsidRDefault="002A5B46">
      <w:r>
        <w:rPr>
          <w:rFonts w:hint="eastAsia"/>
        </w:rPr>
        <w:t>(</w:t>
      </w:r>
      <w:r>
        <w:t xml:space="preserve">c) </w:t>
      </w:r>
    </w:p>
    <w:tbl>
      <w:tblPr>
        <w:tblW w:w="4400" w:type="dxa"/>
        <w:tblLook w:val="04A0" w:firstRow="1" w:lastRow="0" w:firstColumn="1" w:lastColumn="0" w:noHBand="0" w:noVBand="1"/>
      </w:tblPr>
      <w:tblGrid>
        <w:gridCol w:w="960"/>
        <w:gridCol w:w="966"/>
        <w:gridCol w:w="960"/>
        <w:gridCol w:w="1520"/>
      </w:tblGrid>
      <w:tr w:rsidR="00850C1C" w:rsidRPr="00850C1C" w14:paraId="5AFB64DB" w14:textId="77777777" w:rsidTr="00850C1C">
        <w:trPr>
          <w:trHeight w:val="2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A1C8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MASS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46BC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33BF1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STD. DEV.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5562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MEAN CHANGE</w:t>
            </w:r>
          </w:p>
        </w:tc>
      </w:tr>
      <w:tr w:rsidR="00850C1C" w:rsidRPr="00850C1C" w14:paraId="4D3AAEC4" w14:textId="77777777" w:rsidTr="00850C1C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91C5B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BBB4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9.59733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D0EA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0.19732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89C3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NaN</w:t>
            </w:r>
            <w:proofErr w:type="spellEnd"/>
          </w:p>
        </w:tc>
      </w:tr>
      <w:tr w:rsidR="00850C1C" w:rsidRPr="00850C1C" w14:paraId="6F62B62C" w14:textId="77777777" w:rsidTr="00850C1C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867E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2.125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8231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9.90933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534A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0.18475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0E48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0.31200</w:t>
            </w:r>
          </w:p>
        </w:tc>
      </w:tr>
      <w:tr w:rsidR="00850C1C" w:rsidRPr="00850C1C" w14:paraId="3D9E25CC" w14:textId="77777777" w:rsidTr="00850C1C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A3E8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2.250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C0BD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10.19733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5FB1C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0.37908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431B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0.28800</w:t>
            </w:r>
          </w:p>
        </w:tc>
      </w:tr>
      <w:tr w:rsidR="00850C1C" w:rsidRPr="00850C1C" w14:paraId="3A624C39" w14:textId="77777777" w:rsidTr="00850C1C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C56B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2.375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908F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10.19733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8D01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0.33307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04AE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0.00000</w:t>
            </w:r>
          </w:p>
        </w:tc>
      </w:tr>
      <w:tr w:rsidR="00850C1C" w:rsidRPr="00850C1C" w14:paraId="0649AD18" w14:textId="77777777" w:rsidTr="00850C1C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F0D9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2.500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9797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10.30933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3EC3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0.44119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C6EA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0.11200</w:t>
            </w:r>
          </w:p>
        </w:tc>
      </w:tr>
      <w:tr w:rsidR="00850C1C" w:rsidRPr="00850C1C" w14:paraId="3E2E708A" w14:textId="77777777" w:rsidTr="00850C1C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1A08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2.625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741B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10.58400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096D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0.64374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575D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0.27467</w:t>
            </w:r>
          </w:p>
        </w:tc>
      </w:tr>
      <w:tr w:rsidR="00850C1C" w:rsidRPr="00850C1C" w14:paraId="7C782B40" w14:textId="77777777" w:rsidTr="00850C1C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2B3D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2.750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731E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10.44400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802F7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0.57236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98FF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-0.14000</w:t>
            </w:r>
          </w:p>
        </w:tc>
      </w:tr>
      <w:tr w:rsidR="00850C1C" w:rsidRPr="00850C1C" w14:paraId="5F12B870" w14:textId="77777777" w:rsidTr="00850C1C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346E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2.875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8354E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10.50933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C6E8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0.37184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7664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0.06533</w:t>
            </w:r>
          </w:p>
        </w:tc>
      </w:tr>
      <w:tr w:rsidR="00850C1C" w:rsidRPr="00850C1C" w14:paraId="79880E42" w14:textId="77777777" w:rsidTr="00850C1C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7FEB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A5568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10.46400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3427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0.50798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6693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-0.04533</w:t>
            </w:r>
          </w:p>
        </w:tc>
      </w:tr>
      <w:tr w:rsidR="00850C1C" w:rsidRPr="00850C1C" w14:paraId="11B09690" w14:textId="77777777" w:rsidTr="00850C1C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7F9A7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3.125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1694A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10.70933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10BD5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0.56914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FBCF4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0.24533</w:t>
            </w:r>
          </w:p>
        </w:tc>
      </w:tr>
      <w:tr w:rsidR="00850C1C" w:rsidRPr="00850C1C" w14:paraId="4C65E2CE" w14:textId="77777777" w:rsidTr="00850C1C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D573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3.250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6D07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10.80000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6D9F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0.49960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E62ED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0.09067</w:t>
            </w:r>
          </w:p>
        </w:tc>
      </w:tr>
      <w:tr w:rsidR="00850C1C" w:rsidRPr="00850C1C" w14:paraId="1C97749E" w14:textId="77777777" w:rsidTr="00850C1C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AE853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3.375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C325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10.59200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E3A2E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0.32000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EB73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-0.20800</w:t>
            </w:r>
          </w:p>
        </w:tc>
      </w:tr>
      <w:tr w:rsidR="00850C1C" w:rsidRPr="00850C1C" w14:paraId="5EE15D2B" w14:textId="77777777" w:rsidTr="00850C1C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A311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3.500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9C2EE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10.59867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F2C3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0.32021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8F590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0.00667</w:t>
            </w:r>
          </w:p>
        </w:tc>
      </w:tr>
      <w:tr w:rsidR="00850C1C" w:rsidRPr="00850C1C" w14:paraId="5553C690" w14:textId="77777777" w:rsidTr="00850C1C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1BE2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3.625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A57BD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10.92267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4AEB3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0.18475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ED5FB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0.32400</w:t>
            </w:r>
          </w:p>
        </w:tc>
      </w:tr>
      <w:tr w:rsidR="00850C1C" w:rsidRPr="00850C1C" w14:paraId="63A0755B" w14:textId="77777777" w:rsidTr="00850C1C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6DFD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3.750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3710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11.14933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22479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0.03233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E10A0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0.22667</w:t>
            </w:r>
          </w:p>
        </w:tc>
      </w:tr>
      <w:tr w:rsidR="00850C1C" w:rsidRPr="00850C1C" w14:paraId="51E894F1" w14:textId="77777777" w:rsidTr="00850C1C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1CD8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3.875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5CD0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11.13733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3894D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0.32517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44D6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-0.01200</w:t>
            </w:r>
          </w:p>
        </w:tc>
      </w:tr>
      <w:tr w:rsidR="00850C1C" w:rsidRPr="00850C1C" w14:paraId="2A76013C" w14:textId="77777777" w:rsidTr="00850C1C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BB2A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71D64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11.08267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F44B7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0.56372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13F3" w14:textId="77777777" w:rsidR="00850C1C" w:rsidRPr="00850C1C" w:rsidRDefault="00850C1C" w:rsidP="00850C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50C1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-0.05467</w:t>
            </w:r>
          </w:p>
        </w:tc>
      </w:tr>
    </w:tbl>
    <w:p w14:paraId="378AF460" w14:textId="1FB04CEC" w:rsidR="002A5B46" w:rsidRDefault="007D660D">
      <w:r>
        <w:t>Highest mean change is 0.324</w:t>
      </w:r>
      <w:r w:rsidR="00850C1C">
        <w:t>00</w:t>
      </w:r>
      <w:r>
        <w:t xml:space="preserve"> as mass=3.625.</w:t>
      </w:r>
    </w:p>
    <w:p w14:paraId="798FF3EF" w14:textId="6012548C" w:rsidR="007D660D" w:rsidRDefault="007D660D">
      <w:r>
        <w:t>Lowest mean change is -0.208</w:t>
      </w:r>
      <w:r w:rsidR="00850C1C">
        <w:t>00</w:t>
      </w:r>
      <w:r>
        <w:t xml:space="preserve"> as mass=3.375.</w:t>
      </w:r>
    </w:p>
    <w:p w14:paraId="38DD22DD" w14:textId="4CDE5E14" w:rsidR="007D660D" w:rsidRDefault="00850C1C">
      <w:r>
        <w:t>Average mean change is 0.09283.</w:t>
      </w:r>
    </w:p>
    <w:p w14:paraId="7228FEED" w14:textId="77777777" w:rsidR="00850C1C" w:rsidRDefault="00850C1C"/>
    <w:p w14:paraId="154B11A3" w14:textId="573C52AF" w:rsidR="00850C1C" w:rsidRDefault="00850C1C">
      <w:r>
        <w:rPr>
          <w:rFonts w:hint="eastAsia"/>
        </w:rPr>
        <w:t>Q</w:t>
      </w:r>
      <w:r>
        <w:t>5. In terms of variation, the lower variation the best, BQ is the best brand with an STDEV of 0.</w:t>
      </w:r>
      <w:r w:rsidR="004130F1">
        <w:t>33</w:t>
      </w:r>
      <w:r w:rsidR="004130F1">
        <w:rPr>
          <w:rFonts w:hint="eastAsia"/>
        </w:rPr>
        <w:t>7</w:t>
      </w:r>
      <w:r>
        <w:t>.</w:t>
      </w:r>
    </w:p>
    <w:p w14:paraId="32797884" w14:textId="79163C01" w:rsidR="00850C1C" w:rsidRDefault="00850C1C">
      <w:r>
        <w:rPr>
          <w:rFonts w:hint="eastAsia"/>
        </w:rPr>
        <w:t>I</w:t>
      </w:r>
      <w:r>
        <w:t>n terms of fastest time, GS is the best brand with a MEAN of 10.263 and a smallest range (spread).</w:t>
      </w:r>
    </w:p>
    <w:p w14:paraId="21884ADC" w14:textId="2023B7FF" w:rsidR="00850C1C" w:rsidRPr="00850C1C" w:rsidRDefault="00850C1C">
      <w:r>
        <w:rPr>
          <w:rFonts w:hint="eastAsia"/>
        </w:rPr>
        <w:t>T</w:t>
      </w:r>
      <w:r>
        <w:t>he trend in Q4(c) does not impact the choice of best brand because it analyze</w:t>
      </w:r>
      <w:r w:rsidR="00F05D44">
        <w:t xml:space="preserve">s </w:t>
      </w:r>
      <w:r>
        <w:t>the mean and STDEV of the three brands in total, the resul</w:t>
      </w:r>
      <w:r w:rsidR="00F05D44">
        <w:t xml:space="preserve">t is the performance of the three brand </w:t>
      </w:r>
      <w:r w:rsidR="00F05D44">
        <w:lastRenderedPageBreak/>
        <w:t>together. We cannot identify which one is the best brand according to this.</w:t>
      </w:r>
    </w:p>
    <w:sectPr w:rsidR="00850C1C" w:rsidRPr="00850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88"/>
    <w:rsid w:val="001C64D8"/>
    <w:rsid w:val="001E7C2A"/>
    <w:rsid w:val="002A5B46"/>
    <w:rsid w:val="002B5BD5"/>
    <w:rsid w:val="003003D5"/>
    <w:rsid w:val="00400F65"/>
    <w:rsid w:val="004130F1"/>
    <w:rsid w:val="007D660D"/>
    <w:rsid w:val="00850C1C"/>
    <w:rsid w:val="008F2688"/>
    <w:rsid w:val="009F18A5"/>
    <w:rsid w:val="00D37FE3"/>
    <w:rsid w:val="00D55107"/>
    <w:rsid w:val="00E428DD"/>
    <w:rsid w:val="00EF79D0"/>
    <w:rsid w:val="00F05D44"/>
    <w:rsid w:val="00F7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EC16"/>
  <w15:chartTrackingRefBased/>
  <w15:docId w15:val="{6E25B725-18C6-4804-8F84-21362836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4/relationships/chartEx" Target="charts/chart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nas\AppData\Local\Temp\MicrosoftEdgeDownloads\675fc41c-afce-4edd-8a70-9cc7d1ada21c\lab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nas\AppData\Local\Temp\MicrosoftEdgeDownloads\675fc41c-afce-4edd-8a70-9cc7d1ada21c\lab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nas\AppData\Local\Temp\MicrosoftEdgeDownloads\675fc41c-afce-4edd-8a70-9cc7d1ada21c\lab1.xlsx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Jonas\AppData\Local\Temp\MicrosoftEdgeDownloads\675fc41c-afce-4edd-8a70-9cc7d1ada21c\lab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Distribution</a:t>
            </a:r>
            <a:r>
              <a:rPr lang="en-US" altLang="zh-CN" baseline="0"/>
              <a:t> of Time of Greystone </a:t>
            </a:r>
            <a:endParaRPr lang="en-US" altLang="zh-CN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Data!$K$2:$K$15</c:f>
              <c:strCache>
                <c:ptCount val="14"/>
                <c:pt idx="0">
                  <c:v>9.4</c:v>
                </c:pt>
                <c:pt idx="1">
                  <c:v>9.6</c:v>
                </c:pt>
                <c:pt idx="2">
                  <c:v>9.8</c:v>
                </c:pt>
                <c:pt idx="3">
                  <c:v>10</c:v>
                </c:pt>
                <c:pt idx="4">
                  <c:v>10.2</c:v>
                </c:pt>
                <c:pt idx="5">
                  <c:v>10.4</c:v>
                </c:pt>
                <c:pt idx="6">
                  <c:v>10.6</c:v>
                </c:pt>
                <c:pt idx="7">
                  <c:v>10.8</c:v>
                </c:pt>
                <c:pt idx="8">
                  <c:v>11</c:v>
                </c:pt>
                <c:pt idx="9">
                  <c:v>11.2</c:v>
                </c:pt>
                <c:pt idx="10">
                  <c:v>11.4</c:v>
                </c:pt>
                <c:pt idx="11">
                  <c:v>11.6</c:v>
                </c:pt>
                <c:pt idx="12">
                  <c:v>11.8</c:v>
                </c:pt>
                <c:pt idx="13">
                  <c:v>More</c:v>
                </c:pt>
              </c:strCache>
            </c:strRef>
          </c:cat>
          <c:val>
            <c:numRef>
              <c:f>Data!$L$2:$L$15</c:f>
              <c:numCache>
                <c:formatCode>General</c:formatCode>
                <c:ptCount val="1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4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96-4582-94B1-66CC70E940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47869280"/>
        <c:axId val="247862080"/>
      </c:barChart>
      <c:catAx>
        <c:axId val="2478692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Times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7862080"/>
        <c:crosses val="autoZero"/>
        <c:auto val="1"/>
        <c:lblAlgn val="ctr"/>
        <c:lblOffset val="100"/>
        <c:noMultiLvlLbl val="0"/>
      </c:catAx>
      <c:valAx>
        <c:axId val="24786208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7869280"/>
        <c:crosses val="autoZero"/>
        <c:crossBetween val="between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Distribution of Tim</a:t>
            </a:r>
            <a:r>
              <a:rPr lang="en-US" altLang="zh-CN" baseline="0"/>
              <a:t>e of Broil Queen</a:t>
            </a:r>
            <a:endParaRPr lang="en-US" altLang="zh-CN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Data!$K$18:$K$31</c:f>
              <c:strCache>
                <c:ptCount val="14"/>
                <c:pt idx="0">
                  <c:v>9.4</c:v>
                </c:pt>
                <c:pt idx="1">
                  <c:v>9.6</c:v>
                </c:pt>
                <c:pt idx="2">
                  <c:v>9.8</c:v>
                </c:pt>
                <c:pt idx="3">
                  <c:v>10.0</c:v>
                </c:pt>
                <c:pt idx="4">
                  <c:v>10.2</c:v>
                </c:pt>
                <c:pt idx="5">
                  <c:v>10.4</c:v>
                </c:pt>
                <c:pt idx="6">
                  <c:v>10.6</c:v>
                </c:pt>
                <c:pt idx="7">
                  <c:v>10.8</c:v>
                </c:pt>
                <c:pt idx="8">
                  <c:v>11.0</c:v>
                </c:pt>
                <c:pt idx="9">
                  <c:v>11.2</c:v>
                </c:pt>
                <c:pt idx="10">
                  <c:v>11.4</c:v>
                </c:pt>
                <c:pt idx="11">
                  <c:v>11.6</c:v>
                </c:pt>
                <c:pt idx="12">
                  <c:v>11.8</c:v>
                </c:pt>
                <c:pt idx="13">
                  <c:v>More</c:v>
                </c:pt>
              </c:strCache>
            </c:strRef>
          </c:cat>
          <c:val>
            <c:numRef>
              <c:f>Data!$L$18:$L$31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C6-4D26-8A02-C2B92A6269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612933232"/>
        <c:axId val="612932512"/>
      </c:barChart>
      <c:catAx>
        <c:axId val="6129332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Times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12932512"/>
        <c:crosses val="autoZero"/>
        <c:auto val="1"/>
        <c:lblAlgn val="ctr"/>
        <c:lblOffset val="100"/>
        <c:noMultiLvlLbl val="0"/>
      </c:catAx>
      <c:valAx>
        <c:axId val="61293251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12933232"/>
        <c:crosses val="autoZero"/>
        <c:crossBetween val="between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Distribution</a:t>
            </a:r>
            <a:r>
              <a:rPr lang="en-US" altLang="zh-CN" baseline="0"/>
              <a:t> of Time of BBBQ</a:t>
            </a:r>
            <a:endParaRPr lang="en-US" altLang="zh-CN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Data!$K$34:$K$47</c:f>
              <c:strCache>
                <c:ptCount val="14"/>
                <c:pt idx="0">
                  <c:v>9.4</c:v>
                </c:pt>
                <c:pt idx="1">
                  <c:v>9.6</c:v>
                </c:pt>
                <c:pt idx="2">
                  <c:v>9.8</c:v>
                </c:pt>
                <c:pt idx="3">
                  <c:v>10.0</c:v>
                </c:pt>
                <c:pt idx="4">
                  <c:v>10.2</c:v>
                </c:pt>
                <c:pt idx="5">
                  <c:v>10.4</c:v>
                </c:pt>
                <c:pt idx="6">
                  <c:v>10.6</c:v>
                </c:pt>
                <c:pt idx="7">
                  <c:v>10.8</c:v>
                </c:pt>
                <c:pt idx="8">
                  <c:v>11.0</c:v>
                </c:pt>
                <c:pt idx="9">
                  <c:v>11.2</c:v>
                </c:pt>
                <c:pt idx="10">
                  <c:v>11.4</c:v>
                </c:pt>
                <c:pt idx="11">
                  <c:v>11.6</c:v>
                </c:pt>
                <c:pt idx="12">
                  <c:v>11.8</c:v>
                </c:pt>
                <c:pt idx="13">
                  <c:v>More</c:v>
                </c:pt>
              </c:strCache>
            </c:strRef>
          </c:cat>
          <c:val>
            <c:numRef>
              <c:f>Data!$L$34:$L$47</c:f>
              <c:numCache>
                <c:formatCode>General</c:formatCode>
                <c:ptCount val="1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5</c:v>
                </c:pt>
                <c:pt idx="10">
                  <c:v>3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16-40A7-8B05-32FFFD1200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612933952"/>
        <c:axId val="612941152"/>
      </c:barChart>
      <c:catAx>
        <c:axId val="6129339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Times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12941152"/>
        <c:crosses val="autoZero"/>
        <c:auto val="1"/>
        <c:lblAlgn val="ctr"/>
        <c:lblOffset val="100"/>
        <c:noMultiLvlLbl val="0"/>
      </c:catAx>
      <c:valAx>
        <c:axId val="61294115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12933952"/>
        <c:crosses val="autoZero"/>
        <c:crossBetween val="between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Data!$G$2:$G$18</cx:f>
        <cx:lvl ptCount="17" formatCode="0.000">
          <cx:pt idx="0">9.4640000000000004</cx:pt>
          <cx:pt idx="1">9.6959999999999997</cx:pt>
          <cx:pt idx="2">9.7599999999999998</cx:pt>
          <cx:pt idx="3">9.8239999999999998</cx:pt>
          <cx:pt idx="4">9.8879999999999999</cx:pt>
          <cx:pt idx="5">9.984</cx:pt>
          <cx:pt idx="6">10.084</cx:pt>
          <cx:pt idx="7">10.08</cx:pt>
          <cx:pt idx="8">10.08</cx:pt>
          <cx:pt idx="9">10.208</cx:pt>
          <cx:pt idx="10">10.24</cx:pt>
          <cx:pt idx="11">10.272</cx:pt>
          <cx:pt idx="12">10.272</cx:pt>
          <cx:pt idx="13">10.816000000000001</cx:pt>
          <cx:pt idx="14">11.167999999999999</cx:pt>
          <cx:pt idx="15">11.204000000000001</cx:pt>
          <cx:pt idx="16">11.423999999999999</cx:pt>
        </cx:lvl>
      </cx:numDim>
    </cx:data>
    <cx:data id="1">
      <cx:numDim type="val">
        <cx:f>Data!$H$2:$H$18</cx:f>
        <cx:lvl ptCount="17" formatCode="0.000;[Red]0.000">
          <cx:pt idx="0">9.8239999999999998</cx:pt>
          <cx:pt idx="1">10.016</cx:pt>
          <cx:pt idx="2">10.432</cx:pt>
          <cx:pt idx="3">10.304</cx:pt>
          <cx:pt idx="4">10.272</cx:pt>
          <cx:pt idx="5">10.504</cx:pt>
          <cx:pt idx="6">10.144</cx:pt>
          <cx:pt idx="7">10.728</cx:pt>
          <cx:pt idx="8">10.272</cx:pt>
          <cx:pt idx="9">10.592000000000001</cx:pt>
          <cx:pt idx="10">10.960000000000001</cx:pt>
          <cx:pt idx="11">10.592000000000001</cx:pt>
          <cx:pt idx="12">10.612</cx:pt>
          <cx:pt idx="13">10.816000000000001</cx:pt>
          <cx:pt idx="14">11.112</cx:pt>
          <cx:pt idx="15">10.784000000000001</cx:pt>
          <cx:pt idx="16">10.432</cx:pt>
        </cx:lvl>
      </cx:numDim>
    </cx:data>
    <cx:data id="2">
      <cx:numDim type="val">
        <cx:f>Data!$I$2:$I$18</cx:f>
        <cx:lvl ptCount="17" formatCode="0.000">
          <cx:pt idx="0">9.5039999999999996</cx:pt>
          <cx:pt idx="1">10.016</cx:pt>
          <cx:pt idx="2">10.4</cx:pt>
          <cx:pt idx="3">10.464</cx:pt>
          <cx:pt idx="4">10.768000000000001</cx:pt>
          <cx:pt idx="5">11.263999999999999</cx:pt>
          <cx:pt idx="6">11.103999999999999</cx:pt>
          <cx:pt idx="7">10.720000000000001</cx:pt>
          <cx:pt idx="8">11.039999999999999</cx:pt>
          <cx:pt idx="9">11.327999999999999</cx:pt>
          <cx:pt idx="10">11.199999999999999</cx:pt>
          <cx:pt idx="11">10.912000000000001</cx:pt>
          <cx:pt idx="12">10.912000000000001</cx:pt>
          <cx:pt idx="13">11.135999999999999</cx:pt>
          <cx:pt idx="14">11.167999999999999</cx:pt>
          <cx:pt idx="15">11.423999999999999</cx:pt>
          <cx:pt idx="16">11.391999999999999</cx:pt>
        </cx:lvl>
      </cx:numDim>
    </cx:data>
  </cx:chartData>
  <cx:chart>
    <cx:title pos="t" align="ctr" overlay="0">
      <cx:tx>
        <cx:txData>
          <cx:v>Time for the three brands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altLang="zh-CN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/>
            </a:rPr>
            <a:t>Time for the three brands</a:t>
          </a:r>
        </a:p>
      </cx:txPr>
    </cx:title>
    <cx:plotArea>
      <cx:plotAreaRegion>
        <cx:series layoutId="boxWhisker" uniqueId="{E16CB1F3-2B50-4AE2-9FA4-955FA68AA198}">
          <cx:tx>
            <cx:txData>
              <cx:f>Data!$G$1</cx:f>
              <cx:v>TimeGS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DEA9F97C-C52E-40FD-9220-70E485FAEB24}">
          <cx:tx>
            <cx:txData>
              <cx:f>Data!$H$1</cx:f>
              <cx:v>TimeBQ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F4988EB4-B68A-4C78-AB9D-5422082B7204}">
          <cx:tx>
            <cx:txData>
              <cx:f>Data!$I$1</cx:f>
              <cx:v>TimeBBBQ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 max="11.5" min="9.4000000000000004"/>
        <cx:title>
          <cx:tx>
            <cx:txData>
              <cx:v>Times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altLang="zh-CN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/>
                </a:rPr>
                <a:t>Times</a:t>
              </a:r>
            </a:p>
          </cx:txPr>
        </cx:title>
        <cx:majorGridlines/>
        <cx:tickLabels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Jiannan Lu</dc:creator>
  <cp:keywords/>
  <dc:description/>
  <cp:lastModifiedBy>Jiannan Lu</cp:lastModifiedBy>
  <cp:revision>4</cp:revision>
  <dcterms:created xsi:type="dcterms:W3CDTF">2023-10-01T14:40:00Z</dcterms:created>
  <dcterms:modified xsi:type="dcterms:W3CDTF">2023-10-02T06:05:00Z</dcterms:modified>
</cp:coreProperties>
</file>