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A8D54" w14:textId="4676F943" w:rsidR="00483C7B" w:rsidRDefault="00C84ABE">
      <w:r>
        <w:rPr>
          <w:rFonts w:hint="eastAsia"/>
        </w:rPr>
        <w:t>P</w:t>
      </w:r>
      <w:r>
        <w:t xml:space="preserve">1. The study is an experiment since researchers control certain variables to observe effects on others. Population inference is applicable since steel pieces </w:t>
      </w:r>
      <w:r w:rsidR="00D360EE">
        <w:t>are</w:t>
      </w:r>
      <w:r>
        <w:t xml:space="preserve"> randomly selected, random sampling applies. </w:t>
      </w:r>
      <w:r w:rsidR="00D360EE">
        <w:t>Casual inference is not applicable due to no random assignment.</w:t>
      </w:r>
    </w:p>
    <w:p w14:paraId="4ACB30BE" w14:textId="77777777" w:rsidR="00D360EE" w:rsidRDefault="00D360EE"/>
    <w:p w14:paraId="26867345" w14:textId="4886A847" w:rsidR="00D360EE" w:rsidRDefault="00D360EE">
      <w:r>
        <w:rPr>
          <w:rFonts w:hint="eastAsia"/>
        </w:rPr>
        <w:t>P</w:t>
      </w:r>
      <w:r>
        <w:t>2. (a)</w:t>
      </w:r>
    </w:p>
    <w:p w14:paraId="23ACC1A3" w14:textId="20E14C91" w:rsidR="00D360EE" w:rsidRDefault="00783E4A">
      <w:r w:rsidRPr="00783E4A">
        <w:drawing>
          <wp:inline distT="0" distB="0" distL="0" distR="0" wp14:anchorId="15AF6BBD" wp14:editId="3168B219">
            <wp:extent cx="1749425" cy="2632075"/>
            <wp:effectExtent l="0" t="0" r="3175" b="0"/>
            <wp:docPr id="1578671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60EE">
        <w:tab/>
      </w:r>
      <w:r w:rsidRPr="00783E4A">
        <w:drawing>
          <wp:inline distT="0" distB="0" distL="0" distR="0" wp14:anchorId="22869732" wp14:editId="5B4FD668">
            <wp:extent cx="1837055" cy="2632075"/>
            <wp:effectExtent l="0" t="0" r="0" b="0"/>
            <wp:docPr id="15402055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4908A" w14:textId="2C973066" w:rsidR="00D360EE" w:rsidRDefault="00D360EE">
      <w:r>
        <w:rPr>
          <w:rFonts w:hint="eastAsia"/>
        </w:rPr>
        <w:t>T</w:t>
      </w:r>
      <w:r>
        <w:t>he mean for Steel B is a little bit higher than the one for Steel A, and the standard deviation for Steel A is higher than the one for Steel B.</w:t>
      </w:r>
    </w:p>
    <w:p w14:paraId="1050A71F" w14:textId="47F81F8E" w:rsidR="00D360EE" w:rsidRDefault="005A0362">
      <w:r>
        <w:t>Steel B has a better conductivity with a higher mean, and a lower standard deviation as well.</w:t>
      </w:r>
    </w:p>
    <w:p w14:paraId="5A390E77" w14:textId="1AAF635E" w:rsidR="005A0362" w:rsidRDefault="005A0362">
      <w:r>
        <w:rPr>
          <w:rFonts w:hint="eastAsia"/>
        </w:rPr>
        <w:t>(</w:t>
      </w:r>
      <w:r>
        <w:t>b)</w:t>
      </w:r>
    </w:p>
    <w:p w14:paraId="3DF6E3F7" w14:textId="5F530BD1" w:rsidR="005A0362" w:rsidRDefault="003A15CF">
      <w:r>
        <w:rPr>
          <w:noProof/>
        </w:rPr>
        <mc:AlternateContent>
          <mc:Choice Requires="cx1">
            <w:drawing>
              <wp:inline distT="0" distB="0" distL="0" distR="0" wp14:anchorId="0FF93495" wp14:editId="02E7D413">
                <wp:extent cx="3716020" cy="2428646"/>
                <wp:effectExtent l="0" t="0" r="17780" b="10160"/>
                <wp:docPr id="1150531967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4684490-B846-2AC9-D246-6741774254E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6"/>
                  </a:graphicData>
                </a:graphic>
              </wp:inline>
            </w:drawing>
          </mc:Choice>
          <mc:Fallback>
            <w:drawing>
              <wp:inline distT="0" distB="0" distL="0" distR="0" wp14:anchorId="0FF93495" wp14:editId="02E7D413">
                <wp:extent cx="3716020" cy="2428646"/>
                <wp:effectExtent l="0" t="0" r="17780" b="10160"/>
                <wp:docPr id="1150531967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4684490-B846-2AC9-D246-6741774254E3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0531967" name="Chart 1">
                          <a:extLst>
                            <a:ext uri="{FF2B5EF4-FFF2-40B4-BE49-F238E27FC236}">
                              <a16:creationId xmlns:a16="http://schemas.microsoft.com/office/drawing/2014/main" id="{C4684490-B846-2AC9-D246-6741774254E3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6020" cy="2428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3A5F1EC" w14:textId="4721B8BD" w:rsidR="003A15CF" w:rsidRDefault="003A15CF">
      <w:r>
        <w:rPr>
          <w:rFonts w:hint="eastAsia"/>
        </w:rPr>
        <w:t>The</w:t>
      </w:r>
      <w:r>
        <w:t xml:space="preserve"> distribution for Steel A is almost symmetric (a little bit right-skewed), and the one for Steel B is right-skewed. </w:t>
      </w:r>
      <w:r w:rsidR="00A126D8">
        <w:t xml:space="preserve">One outlier </w:t>
      </w:r>
      <w:proofErr w:type="spellStart"/>
      <w:r w:rsidR="00A126D8">
        <w:t>exsits</w:t>
      </w:r>
      <w:proofErr w:type="spellEnd"/>
      <w:r w:rsidR="00A126D8">
        <w:t xml:space="preserve"> for the plot of Steel B.</w:t>
      </w:r>
    </w:p>
    <w:p w14:paraId="54C222A9" w14:textId="06348044" w:rsidR="00A126D8" w:rsidRDefault="00A126D8">
      <w:r>
        <w:rPr>
          <w:rFonts w:hint="eastAsia"/>
        </w:rPr>
        <w:t>M</w:t>
      </w:r>
      <w:r>
        <w:t>edian value for Steel B is greater than that for Steel A, IQR for Steel B is smaller than that for Steel A.</w:t>
      </w:r>
    </w:p>
    <w:p w14:paraId="7B0BDDD6" w14:textId="04990394" w:rsidR="00A126D8" w:rsidRDefault="00A126D8">
      <w:r>
        <w:rPr>
          <w:rFonts w:hint="eastAsia"/>
        </w:rPr>
        <w:t>(</w:t>
      </w:r>
      <w:r>
        <w:t xml:space="preserve">c) </w:t>
      </w:r>
    </w:p>
    <w:p w14:paraId="72155020" w14:textId="372C38CA" w:rsidR="00A126D8" w:rsidRDefault="00A126D8">
      <w:r>
        <w:rPr>
          <w:noProof/>
        </w:rPr>
        <w:lastRenderedPageBreak/>
        <w:drawing>
          <wp:inline distT="0" distB="0" distL="0" distR="0" wp14:anchorId="368B7D84" wp14:editId="7ED6A1DF">
            <wp:extent cx="3854239" cy="2401294"/>
            <wp:effectExtent l="0" t="0" r="13335" b="18415"/>
            <wp:docPr id="183410248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44D6D92-8769-D436-471D-FBE5BCB64B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A301D7B" w14:textId="60C6D672" w:rsidR="00A126D8" w:rsidRDefault="00A126D8">
      <w:r>
        <w:rPr>
          <w:noProof/>
        </w:rPr>
        <w:drawing>
          <wp:inline distT="0" distB="0" distL="0" distR="0" wp14:anchorId="471DB8DE" wp14:editId="30D62C00">
            <wp:extent cx="3872230" cy="2512612"/>
            <wp:effectExtent l="0" t="0" r="13970" b="2540"/>
            <wp:docPr id="14748696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F2A5A33-A718-9B22-C10B-A99E52F9CA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CCCED67" w14:textId="129E22E6" w:rsidR="00A126D8" w:rsidRDefault="00A126D8">
      <w:r>
        <w:rPr>
          <w:rFonts w:hint="eastAsia"/>
        </w:rPr>
        <w:t>H</w:t>
      </w:r>
      <w:r>
        <w:t>istogram for Steel A is symmetric, for Steel B is right</w:t>
      </w:r>
      <w:r w:rsidR="00AD105F">
        <w:t>-skewed.</w:t>
      </w:r>
    </w:p>
    <w:p w14:paraId="355426E9" w14:textId="1FA3EA0A" w:rsidR="00AD105F" w:rsidRDefault="00AD105F">
      <w:r>
        <w:rPr>
          <w:rFonts w:hint="eastAsia"/>
        </w:rPr>
        <w:t>B</w:t>
      </w:r>
      <w:r>
        <w:t>oth of them are unimodal without outliers.</w:t>
      </w:r>
    </w:p>
    <w:p w14:paraId="6C58D8A4" w14:textId="452D3A50" w:rsidR="00AD105F" w:rsidRDefault="00AD105F">
      <w:r>
        <w:rPr>
          <w:rFonts w:hint="eastAsia"/>
        </w:rPr>
        <w:t>T</w:t>
      </w:r>
      <w:r>
        <w:t>he assumption is satisfied in distribution of Steel A due to its normality, and the one is not satisfied in distribution of Steel B due to its right-skewed property.</w:t>
      </w:r>
    </w:p>
    <w:p w14:paraId="1CF64728" w14:textId="77777777" w:rsidR="00AD105F" w:rsidRDefault="00AD105F"/>
    <w:p w14:paraId="5A83A792" w14:textId="6DA2FD5D" w:rsidR="00C43694" w:rsidRDefault="00AD105F">
      <w:r>
        <w:rPr>
          <w:rFonts w:hint="eastAsia"/>
        </w:rPr>
        <w:t>P</w:t>
      </w:r>
      <w:r>
        <w:t xml:space="preserve">3. </w:t>
      </w:r>
      <w:r w:rsidR="00C43694" w:rsidRPr="00D2547B">
        <w:rPr>
          <w:u w:val="single"/>
        </w:rPr>
        <w:t xml:space="preserve">We take </w:t>
      </w:r>
      <w:r w:rsidR="00D2547B" w:rsidRPr="00D2547B">
        <w:rPr>
          <w:u w:val="single"/>
        </w:rPr>
        <w:t>5 decimal places for value of variables in progress</w:t>
      </w:r>
      <w:r w:rsidR="00D2547B">
        <w:rPr>
          <w:u w:val="single"/>
        </w:rPr>
        <w:t xml:space="preserve"> and </w:t>
      </w:r>
      <w:r w:rsidR="00D2547B">
        <w:rPr>
          <w:u w:val="single"/>
        </w:rPr>
        <w:t>4 decimal places for result</w:t>
      </w:r>
      <w:r w:rsidR="00D2547B" w:rsidRPr="00D2547B">
        <w:rPr>
          <w:u w:val="single"/>
        </w:rPr>
        <w:t>.</w:t>
      </w:r>
    </w:p>
    <w:p w14:paraId="40B33FE6" w14:textId="0CEF7C63" w:rsidR="00AD105F" w:rsidRDefault="00AD105F">
      <w:r>
        <w:t xml:space="preserve">(a) </w:t>
      </w:r>
      <w:r w:rsidR="00C876B2">
        <w:t>98% two-sided confidence interval, 1-alpha = 0.98</w:t>
      </w:r>
    </w:p>
    <w:p w14:paraId="088E8F31" w14:textId="0DBA743D" w:rsidR="00C97BF0" w:rsidRDefault="00F41E3B">
      <w:r>
        <w:t>t</w:t>
      </w:r>
      <w:r w:rsidR="00F97929">
        <w:t xml:space="preserve"> =</w:t>
      </w:r>
      <w:r w:rsidR="000E00C6" w:rsidRPr="000E00C6">
        <w:t xml:space="preserve"> </w:t>
      </w:r>
      <w:r w:rsidR="000E00C6">
        <w:t>T.INV(</w:t>
      </w:r>
      <w:r w:rsidR="000E00C6">
        <w:rPr>
          <w:rFonts w:hint="eastAsia"/>
        </w:rPr>
        <w:t>α</w:t>
      </w:r>
      <w:r w:rsidR="000E00C6">
        <w:t>/2</w:t>
      </w:r>
      <w:r w:rsidR="000E00C6">
        <w:t>,</w:t>
      </w:r>
      <w:r w:rsidR="000E00C6">
        <w:t>df</w:t>
      </w:r>
      <w:r w:rsidR="000E00C6">
        <w:t xml:space="preserve">) </w:t>
      </w:r>
      <w:r w:rsidR="000E00C6">
        <w:t>=</w:t>
      </w:r>
      <w:r w:rsidR="00F97929">
        <w:t xml:space="preserve"> </w:t>
      </w:r>
      <w:r>
        <w:t>T</w:t>
      </w:r>
      <w:r w:rsidR="00F97929">
        <w:t>.</w:t>
      </w:r>
      <w:proofErr w:type="gramStart"/>
      <w:r w:rsidR="00F97929">
        <w:t>INV(</w:t>
      </w:r>
      <w:proofErr w:type="gramEnd"/>
      <w:r w:rsidR="00F97929">
        <w:t>0.01</w:t>
      </w:r>
      <w:r w:rsidR="000E00C6">
        <w:t>,29</w:t>
      </w:r>
      <w:r w:rsidR="00F97929">
        <w:t xml:space="preserve">) = </w:t>
      </w:r>
      <w:r w:rsidR="00A916DF">
        <w:t>-2.46202</w:t>
      </w:r>
    </w:p>
    <w:p w14:paraId="320D7BDA" w14:textId="5B1672C2" w:rsidR="00C97BF0" w:rsidRDefault="00C97BF0">
      <w:r>
        <w:t>Conductivity for Steel A = 6.1824</w:t>
      </w:r>
      <w:r>
        <w:rPr>
          <w:rFonts w:hint="eastAsia"/>
        </w:rPr>
        <w:t>±</w:t>
      </w:r>
      <w:r>
        <w:t>2.</w:t>
      </w:r>
      <w:r w:rsidR="00A916DF">
        <w:t>46202</w:t>
      </w:r>
      <w:r>
        <w:t>*0.00709 = 6.1824</w:t>
      </w:r>
      <w:r>
        <w:rPr>
          <w:rFonts w:hint="eastAsia"/>
        </w:rPr>
        <w:t>±0</w:t>
      </w:r>
      <w:r>
        <w:t>.0</w:t>
      </w:r>
      <w:r w:rsidR="00A916DF">
        <w:t>175</w:t>
      </w:r>
      <w:r w:rsidR="00787417">
        <w:t xml:space="preserve"> -&gt; (6.1649, 6.1999)</w:t>
      </w:r>
    </w:p>
    <w:p w14:paraId="132F895C" w14:textId="45EEA313" w:rsidR="00C43694" w:rsidRDefault="00C97BF0" w:rsidP="00C97BF0">
      <w:pPr>
        <w:rPr>
          <w:rFonts w:hint="eastAsia"/>
        </w:rPr>
      </w:pPr>
      <w:r>
        <w:t>Conductivity for Steel B = 6.1960</w:t>
      </w:r>
      <w:r>
        <w:rPr>
          <w:rFonts w:hint="eastAsia"/>
        </w:rPr>
        <w:t>±</w:t>
      </w:r>
      <w:r>
        <w:t>2.</w:t>
      </w:r>
      <w:r w:rsidR="00A916DF">
        <w:t>46202</w:t>
      </w:r>
      <w:r>
        <w:t>*0.00479 = 6.1</w:t>
      </w:r>
      <w:r w:rsidR="009E76E1">
        <w:t>960</w:t>
      </w:r>
      <w:r>
        <w:rPr>
          <w:rFonts w:hint="eastAsia"/>
        </w:rPr>
        <w:t>±</w:t>
      </w:r>
      <w:r>
        <w:t>0.0</w:t>
      </w:r>
      <w:r w:rsidR="00A916DF">
        <w:t>118</w:t>
      </w:r>
      <w:r w:rsidR="00787417">
        <w:t xml:space="preserve"> -&gt; (6.1842, 6.2078)</w:t>
      </w:r>
    </w:p>
    <w:p w14:paraId="7A15D833" w14:textId="0EF273F4" w:rsidR="00C97BF0" w:rsidRDefault="009E76E1">
      <w:r>
        <w:rPr>
          <w:rFonts w:hint="eastAsia"/>
        </w:rPr>
        <w:t>(</w:t>
      </w:r>
      <w:r>
        <w:t>b) For Steel A, 6.20 is not included in the 98% two-sided confidence interval, the mean conductivity of Steel A does not meet this target.</w:t>
      </w:r>
    </w:p>
    <w:p w14:paraId="542A1161" w14:textId="51A78725" w:rsidR="009E76E1" w:rsidRDefault="009E76E1">
      <w:r>
        <w:t>For Steel A, 6.20 is included in the 98% two-sided confidence interval, the mean conductivity of Steel A meets this target.</w:t>
      </w:r>
    </w:p>
    <w:p w14:paraId="2ED31905" w14:textId="77777777" w:rsidR="009E76E1" w:rsidRDefault="009E76E1"/>
    <w:p w14:paraId="42EE2818" w14:textId="1C8DD1E0" w:rsidR="00D2547B" w:rsidRDefault="009E76E1">
      <w:r>
        <w:rPr>
          <w:rFonts w:hint="eastAsia"/>
        </w:rPr>
        <w:t>P</w:t>
      </w:r>
      <w:r>
        <w:t xml:space="preserve">4. </w:t>
      </w:r>
      <w:r w:rsidR="00D2547B" w:rsidRPr="00D2547B">
        <w:rPr>
          <w:u w:val="single"/>
        </w:rPr>
        <w:t xml:space="preserve">We take 5 decimal places for value of variables </w:t>
      </w:r>
      <w:r w:rsidR="00D2547B">
        <w:rPr>
          <w:u w:val="single"/>
        </w:rPr>
        <w:t xml:space="preserve">in </w:t>
      </w:r>
      <w:r w:rsidR="00D2547B" w:rsidRPr="00D2547B">
        <w:rPr>
          <w:u w:val="single"/>
        </w:rPr>
        <w:t>progress</w:t>
      </w:r>
      <w:r w:rsidR="00D2547B">
        <w:rPr>
          <w:u w:val="single"/>
        </w:rPr>
        <w:t xml:space="preserve"> and 4 decimal places for result</w:t>
      </w:r>
      <w:r w:rsidR="00D2547B" w:rsidRPr="00D2547B">
        <w:rPr>
          <w:u w:val="single"/>
        </w:rPr>
        <w:t>.</w:t>
      </w:r>
    </w:p>
    <w:p w14:paraId="37AFB853" w14:textId="3EE3C44A" w:rsidR="009E76E1" w:rsidRDefault="009E76E1">
      <w:r>
        <w:t xml:space="preserve">(a) </w:t>
      </w:r>
      <w:r w:rsidR="004636D7">
        <w:t>Due to unknown population standard deviation, the significance test uses the t distribution instead of the normal distribution.</w:t>
      </w:r>
    </w:p>
    <w:p w14:paraId="53434834" w14:textId="3C29998F" w:rsidR="00C43694" w:rsidRDefault="00C43694">
      <w:r>
        <w:rPr>
          <w:rFonts w:hint="eastAsia"/>
        </w:rPr>
        <w:lastRenderedPageBreak/>
        <w:t>F</w:t>
      </w:r>
      <w:r>
        <w:t>or Steel A:</w:t>
      </w:r>
    </w:p>
    <w:p w14:paraId="2BA313DB" w14:textId="2FC095CA" w:rsidR="004636D7" w:rsidRDefault="004636D7">
      <w:r>
        <w:t>Significance level 0.0</w:t>
      </w:r>
      <w:r w:rsidR="000E00C6">
        <w:t>2</w:t>
      </w:r>
      <w:r>
        <w:t xml:space="preserve"> is chosen.</w:t>
      </w:r>
    </w:p>
    <w:p w14:paraId="47E691F2" w14:textId="46805060" w:rsidR="004636D7" w:rsidRDefault="00721B41">
      <w:r>
        <w:t>H</w:t>
      </w:r>
      <w:r>
        <w:rPr>
          <w:vertAlign w:val="subscript"/>
        </w:rPr>
        <w:t>0</w:t>
      </w:r>
      <w:r>
        <w:t>:</w:t>
      </w:r>
      <w:r w:rsidR="004636D7">
        <w:t xml:space="preserve"> </w:t>
      </w:r>
      <w:r w:rsidR="004636D7">
        <w:rPr>
          <w:rFonts w:hint="eastAsia"/>
        </w:rPr>
        <w:t>μ</w:t>
      </w:r>
      <w:r>
        <w:t xml:space="preserve"> = 6.2. H</w:t>
      </w:r>
      <w:r>
        <w:rPr>
          <w:vertAlign w:val="subscript"/>
        </w:rPr>
        <w:t>A</w:t>
      </w:r>
      <w:r>
        <w:t xml:space="preserve">: </w:t>
      </w:r>
      <w:r>
        <w:rPr>
          <w:rFonts w:hint="eastAsia"/>
        </w:rPr>
        <w:t>μ</w:t>
      </w:r>
      <w:r>
        <w:t xml:space="preserve"> </w:t>
      </w:r>
      <w:r w:rsidR="00A528D8">
        <w:rPr>
          <w:rFonts w:hint="eastAsia"/>
        </w:rPr>
        <w:t>&lt;</w:t>
      </w:r>
      <w:r>
        <w:t xml:space="preserve"> 6.2</w:t>
      </w:r>
    </w:p>
    <w:p w14:paraId="18AE4B6A" w14:textId="68AD16A8" w:rsidR="00721B41" w:rsidRPr="00D2547B" w:rsidRDefault="00C436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6.1824-6.2</m:t>
              </m:r>
            </m:num>
            <m:den>
              <m:r>
                <w:rPr>
                  <w:rFonts w:ascii="Cambria Math" w:hAnsi="Cambria Math"/>
                </w:rPr>
                <m:t>0.00709</m:t>
              </m:r>
            </m:den>
          </m:f>
          <m:r>
            <w:rPr>
              <w:rFonts w:ascii="Cambria Math" w:hAnsi="Cambria Math"/>
            </w:rPr>
            <m:t>=-2.482</m:t>
          </m:r>
          <m:r>
            <w:rPr>
              <w:rFonts w:ascii="Cambria Math" w:hAnsi="Cambria Math"/>
            </w:rPr>
            <m:t>4</m:t>
          </m:r>
        </m:oMath>
      </m:oMathPara>
    </w:p>
    <w:p w14:paraId="36699457" w14:textId="280EE9C5" w:rsidR="00D2547B" w:rsidRPr="00D2547B" w:rsidRDefault="00D2547B">
      <m:oMathPara>
        <m:oMath>
          <m:r>
            <w:rPr>
              <w:rFonts w:ascii="Cambria Math" w:hAnsi="Cambria Math"/>
            </w:rPr>
            <m:t>p-value=TDIST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-2.4826</m:t>
                  </m:r>
                </m:e>
              </m:d>
              <m:r>
                <w:rPr>
                  <w:rFonts w:ascii="Cambria Math" w:hAnsi="Cambria Math"/>
                </w:rPr>
                <m:t>,30-1,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0095</m:t>
          </m:r>
        </m:oMath>
      </m:oMathPara>
    </w:p>
    <w:p w14:paraId="0A8121B9" w14:textId="4AD91581" w:rsidR="00D2547B" w:rsidRDefault="00D2547B">
      <w:r>
        <w:rPr>
          <w:rFonts w:hint="eastAsia"/>
        </w:rPr>
        <w:t>S</w:t>
      </w:r>
      <w:r>
        <w:t>ince the p-value is</w:t>
      </w:r>
      <w:r w:rsidR="0067140C">
        <w:t xml:space="preserve"> </w:t>
      </w:r>
      <w:r w:rsidR="000E00C6">
        <w:t>less than</w:t>
      </w:r>
      <w:r w:rsidR="0067140C">
        <w:t xml:space="preserve"> the value of significance level</w:t>
      </w:r>
      <w:r>
        <w:t>, so H</w:t>
      </w:r>
      <w:r>
        <w:rPr>
          <w:vertAlign w:val="subscript"/>
        </w:rPr>
        <w:t>0</w:t>
      </w:r>
      <w:r>
        <w:t xml:space="preserve"> </w:t>
      </w:r>
      <w:r w:rsidR="000E00C6">
        <w:t>would</w:t>
      </w:r>
      <w:r w:rsidR="0067140C">
        <w:t xml:space="preserve"> </w:t>
      </w:r>
      <w:r>
        <w:t xml:space="preserve">be rejected, that means </w:t>
      </w:r>
      <w:r w:rsidR="00787417">
        <w:t xml:space="preserve">there is sufficient evidence that </w:t>
      </w:r>
      <w:r>
        <w:t xml:space="preserve">the mean conductivity of Steel A </w:t>
      </w:r>
      <w:r w:rsidR="000E00C6">
        <w:t xml:space="preserve">does not </w:t>
      </w:r>
      <w:r>
        <w:t>meet the target value of 6.2.</w:t>
      </w:r>
    </w:p>
    <w:p w14:paraId="2D38EA99" w14:textId="0FC7F7AD" w:rsidR="00D2547B" w:rsidRDefault="00D2547B">
      <w:r>
        <w:rPr>
          <w:rFonts w:hint="eastAsia"/>
        </w:rPr>
        <w:t>F</w:t>
      </w:r>
      <w:r>
        <w:t>or Steel B:</w:t>
      </w:r>
    </w:p>
    <w:p w14:paraId="1882DFC7" w14:textId="3BF8C4A9" w:rsidR="00D2547B" w:rsidRDefault="00D2547B" w:rsidP="00D2547B">
      <w:r>
        <w:t>Significance level 0.0</w:t>
      </w:r>
      <w:r w:rsidR="000E00C6">
        <w:t>2</w:t>
      </w:r>
      <w:r>
        <w:t xml:space="preserve"> is chosen.</w:t>
      </w:r>
    </w:p>
    <w:p w14:paraId="6FCF94FB" w14:textId="4FFD0089" w:rsidR="00D2547B" w:rsidRDefault="00D2547B" w:rsidP="00D2547B">
      <w:r>
        <w:t>H</w:t>
      </w:r>
      <w:r>
        <w:rPr>
          <w:vertAlign w:val="subscript"/>
        </w:rPr>
        <w:t>0</w:t>
      </w:r>
      <w:r>
        <w:t xml:space="preserve">: </w:t>
      </w:r>
      <w:r>
        <w:rPr>
          <w:rFonts w:hint="eastAsia"/>
        </w:rPr>
        <w:t>μ</w:t>
      </w:r>
      <w:r>
        <w:t xml:space="preserve"> = 6.2. H</w:t>
      </w:r>
      <w:r>
        <w:rPr>
          <w:vertAlign w:val="subscript"/>
        </w:rPr>
        <w:t>A</w:t>
      </w:r>
      <w:r>
        <w:t xml:space="preserve">: </w:t>
      </w:r>
      <w:r>
        <w:rPr>
          <w:rFonts w:hint="eastAsia"/>
        </w:rPr>
        <w:t>μ</w:t>
      </w:r>
      <w:r>
        <w:t xml:space="preserve"> </w:t>
      </w:r>
      <w:r w:rsidR="00A528D8">
        <w:rPr>
          <w:rFonts w:hint="eastAsia"/>
        </w:rPr>
        <w:t>&lt;</w:t>
      </w:r>
      <w:r>
        <w:t xml:space="preserve"> 6.2</w:t>
      </w:r>
    </w:p>
    <w:p w14:paraId="6FE52697" w14:textId="09B67CE8" w:rsidR="000E00C6" w:rsidRPr="00D2547B" w:rsidRDefault="000E00C6" w:rsidP="000E00C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6.</m:t>
              </m:r>
              <m:r>
                <w:rPr>
                  <w:rFonts w:ascii="Cambria Math" w:hAnsi="Cambria Math"/>
                </w:rPr>
                <m:t>19597</m:t>
              </m:r>
              <m:r>
                <w:rPr>
                  <w:rFonts w:ascii="Cambria Math" w:hAnsi="Cambria Math"/>
                </w:rPr>
                <m:t>-6.2</m:t>
              </m:r>
            </m:num>
            <m:den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00479</m:t>
              </m:r>
            </m:den>
          </m:f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0.8413</m:t>
          </m:r>
        </m:oMath>
      </m:oMathPara>
    </w:p>
    <w:p w14:paraId="450662EB" w14:textId="5C1D2451" w:rsidR="000E00C6" w:rsidRPr="00D2547B" w:rsidRDefault="000E00C6" w:rsidP="000E00C6">
      <m:oMathPara>
        <m:oMath>
          <m:r>
            <w:rPr>
              <w:rFonts w:ascii="Cambria Math" w:hAnsi="Cambria Math"/>
            </w:rPr>
            <m:t>p-value=TDIST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0.8413</m:t>
                  </m:r>
                </m:e>
              </m:d>
              <m:r>
                <w:rPr>
                  <w:rFonts w:ascii="Cambria Math" w:hAnsi="Cambria Math"/>
                </w:rPr>
                <m:t>,30-1,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2035</m:t>
          </m:r>
        </m:oMath>
      </m:oMathPara>
    </w:p>
    <w:p w14:paraId="05DDC70E" w14:textId="0A7C4934" w:rsidR="00D2547B" w:rsidRDefault="000E00C6">
      <w:r>
        <w:rPr>
          <w:rFonts w:hint="eastAsia"/>
        </w:rPr>
        <w:t>S</w:t>
      </w:r>
      <w:r>
        <w:t xml:space="preserve">ince the </w:t>
      </w:r>
      <w:r>
        <w:t xml:space="preserve">p-value is </w:t>
      </w:r>
      <w:r w:rsidR="00A528D8">
        <w:t xml:space="preserve">much </w:t>
      </w:r>
      <w:r>
        <w:t>higher</w:t>
      </w:r>
      <w:r>
        <w:t xml:space="preserve"> than the value of significance level, so H</w:t>
      </w:r>
      <w:r>
        <w:rPr>
          <w:vertAlign w:val="subscript"/>
        </w:rPr>
        <w:t>0</w:t>
      </w:r>
      <w:r>
        <w:t xml:space="preserve"> would </w:t>
      </w:r>
      <w:r>
        <w:t xml:space="preserve">not </w:t>
      </w:r>
      <w:r>
        <w:t>be rejected, that means the mean conductivity of Steel A</w:t>
      </w:r>
      <w:r>
        <w:t xml:space="preserve"> </w:t>
      </w:r>
      <w:r>
        <w:t>meet</w:t>
      </w:r>
      <w:r>
        <w:t>s</w:t>
      </w:r>
      <w:r>
        <w:t xml:space="preserve"> the target value of 6.2.</w:t>
      </w:r>
    </w:p>
    <w:p w14:paraId="58CF5176" w14:textId="02B57297" w:rsidR="00A04F84" w:rsidRDefault="00A04F84" w:rsidP="006E4DC2">
      <w:r>
        <w:t xml:space="preserve">(b) </w:t>
      </w:r>
      <w:r w:rsidR="006E4DC2">
        <w:t xml:space="preserve">Assumptions: </w:t>
      </w:r>
      <w:r w:rsidR="006E4DC2">
        <w:t>random sample, independent observations, n ≥ 30 OR population is normal</w:t>
      </w:r>
    </w:p>
    <w:p w14:paraId="4D9D2705" w14:textId="1400C841" w:rsidR="006E4DC2" w:rsidRDefault="00665E12">
      <w:r>
        <w:rPr>
          <w:rFonts w:hint="eastAsia"/>
        </w:rPr>
        <w:t>T</w:t>
      </w:r>
      <w:r>
        <w:t>he assumptions hold for test of Steel A</w:t>
      </w:r>
      <w:r w:rsidR="006E4DC2">
        <w:t xml:space="preserve"> and Steel B, </w:t>
      </w:r>
      <w:r w:rsidR="000B0FE7">
        <w:t xml:space="preserve">since the 30 samples are </w:t>
      </w:r>
      <w:r w:rsidR="000B0FE7">
        <w:t>random sample</w:t>
      </w:r>
      <w:r w:rsidR="000B0FE7">
        <w:t>s</w:t>
      </w:r>
      <w:r w:rsidR="000B0FE7">
        <w:t>, independent observations</w:t>
      </w:r>
      <w:r w:rsidR="000B0FE7">
        <w:t>, and sample size is large (30&gt;=30)</w:t>
      </w:r>
    </w:p>
    <w:p w14:paraId="40D74D5B" w14:textId="769A5C33" w:rsidR="00665E12" w:rsidRDefault="000B0FE7">
      <w:r>
        <w:t>The</w:t>
      </w:r>
      <w:r w:rsidR="00665E12">
        <w:t xml:space="preserve"> same assumption </w:t>
      </w:r>
      <w:r>
        <w:t>applies</w:t>
      </w:r>
      <w:r w:rsidR="00665E12">
        <w:t xml:space="preserve"> for confidence intervals</w:t>
      </w:r>
      <w:r>
        <w:t xml:space="preserve"> on One-Sample CI with </w:t>
      </w:r>
      <w:r>
        <w:rPr>
          <w:rFonts w:hint="eastAsia"/>
        </w:rPr>
        <w:t>σ</w:t>
      </w:r>
      <w:r>
        <w:t xml:space="preserve"> </w:t>
      </w:r>
      <w:r>
        <w:rPr>
          <w:rFonts w:hint="eastAsia"/>
        </w:rPr>
        <w:t>unknown</w:t>
      </w:r>
      <w:r>
        <w:t>, and this is exactly what Question three is working on.</w:t>
      </w:r>
    </w:p>
    <w:p w14:paraId="4F71AA7C" w14:textId="77777777" w:rsidR="00665E12" w:rsidRPr="000B0FE7" w:rsidRDefault="00665E12"/>
    <w:p w14:paraId="774DABA4" w14:textId="4F93F05C" w:rsidR="00F337C0" w:rsidRDefault="00665E12">
      <w:r>
        <w:t>P5. (a)</w:t>
      </w:r>
      <w:r w:rsidR="00B501E0">
        <w:t xml:space="preserve"> Because the sample sizes for Steel A and Steel B</w:t>
      </w:r>
      <w:r w:rsidR="00F337C0">
        <w:t xml:space="preserve"> (=30</w:t>
      </w:r>
      <w:r w:rsidR="00F337C0">
        <w:rPr>
          <w:rFonts w:hint="eastAsia"/>
        </w:rPr>
        <w:t>)</w:t>
      </w:r>
      <w:r w:rsidR="00B501E0">
        <w:t xml:space="preserve"> are </w:t>
      </w:r>
      <w:r w:rsidR="00F337C0">
        <w:t xml:space="preserve">equal </w:t>
      </w:r>
      <w:r w:rsidR="00F337C0">
        <w:rPr>
          <w:rFonts w:hint="eastAsia"/>
        </w:rPr>
        <w:t>a</w:t>
      </w:r>
      <w:r w:rsidR="00F337C0">
        <w:t>nd greater than 15, also the ratio of the larger and smaller standard deviations = 0.03883/0.02625 = 1.4792 &lt; 2.</w:t>
      </w:r>
    </w:p>
    <w:p w14:paraId="44689B33" w14:textId="1553BEDC" w:rsidR="00665E12" w:rsidRDefault="00F337C0">
      <w:r>
        <w:t>We apply the t-Test: Two-Sample Assuming Equal Variances</w:t>
      </w:r>
    </w:p>
    <w:p w14:paraId="2F021856" w14:textId="39F958AF" w:rsidR="00F337C0" w:rsidRDefault="00F337C0" w:rsidP="00F337C0">
      <w:pPr>
        <w:rPr>
          <w:vertAlign w:val="subscript"/>
        </w:rPr>
      </w:pPr>
      <w:r>
        <w:t>H</w:t>
      </w:r>
      <w:r>
        <w:rPr>
          <w:vertAlign w:val="subscript"/>
        </w:rPr>
        <w:t>0</w:t>
      </w:r>
      <w:r>
        <w:t xml:space="preserve">: </w:t>
      </w:r>
      <w:r>
        <w:rPr>
          <w:rFonts w:hint="eastAsia"/>
        </w:rPr>
        <w:t>μ</w:t>
      </w:r>
      <w:r>
        <w:rPr>
          <w:rFonts w:hint="eastAsia"/>
          <w:vertAlign w:val="subscript"/>
        </w:rPr>
        <w:t>1</w:t>
      </w:r>
      <w:r>
        <w:t xml:space="preserve"> </w:t>
      </w:r>
      <w:r w:rsidR="003E5629">
        <w:t>&gt;</w:t>
      </w:r>
      <w:r w:rsidR="00787417">
        <w:t>=</w:t>
      </w:r>
      <w:r>
        <w:t xml:space="preserve"> </w:t>
      </w:r>
      <w:r>
        <w:rPr>
          <w:rFonts w:hint="eastAsia"/>
        </w:rPr>
        <w:t>μ</w:t>
      </w:r>
      <w:r>
        <w:rPr>
          <w:vertAlign w:val="subscript"/>
        </w:rPr>
        <w:t>2</w:t>
      </w:r>
      <w:r>
        <w:t>. H</w:t>
      </w:r>
      <w:r>
        <w:rPr>
          <w:vertAlign w:val="subscript"/>
        </w:rPr>
        <w:t>A</w:t>
      </w:r>
      <w:r>
        <w:t xml:space="preserve">: </w:t>
      </w:r>
      <w:r>
        <w:rPr>
          <w:rFonts w:hint="eastAsia"/>
        </w:rPr>
        <w:t>μ</w:t>
      </w:r>
      <w:r>
        <w:rPr>
          <w:rFonts w:hint="eastAsia"/>
          <w:vertAlign w:val="subscript"/>
        </w:rPr>
        <w:t>1</w:t>
      </w:r>
      <w:r>
        <w:t xml:space="preserve"> </w:t>
      </w:r>
      <w:r w:rsidR="00787417">
        <w:rPr>
          <w:rFonts w:hint="eastAsia"/>
        </w:rPr>
        <w:t>&lt;</w:t>
      </w:r>
      <w:r>
        <w:t xml:space="preserve"> </w:t>
      </w:r>
      <w:r>
        <w:rPr>
          <w:rFonts w:hint="eastAsia"/>
        </w:rPr>
        <w:t>μ</w:t>
      </w:r>
      <w:r>
        <w:rPr>
          <w:vertAlign w:val="subscript"/>
        </w:rPr>
        <w:t>2</w:t>
      </w:r>
    </w:p>
    <w:p w14:paraId="783E12A2" w14:textId="25C6A408" w:rsidR="006E4DC2" w:rsidRPr="006E4DC2" w:rsidRDefault="006E4DC2" w:rsidP="00F337C0">
      <w:r>
        <w:rPr>
          <w:rFonts w:hint="eastAsia"/>
        </w:rPr>
        <w:t xml:space="preserve">α </w:t>
      </w:r>
      <w:r>
        <w:t>= 0.0</w:t>
      </w:r>
      <w:r w:rsidR="00277605">
        <w:t>5</w:t>
      </w:r>
    </w:p>
    <w:p w14:paraId="15FBC927" w14:textId="61D27CB3" w:rsidR="00F337C0" w:rsidRDefault="00C108CF">
      <w:r w:rsidRPr="00C108CF">
        <w:drawing>
          <wp:inline distT="0" distB="0" distL="0" distR="0" wp14:anchorId="71A6D0C9" wp14:editId="2F5EC5AE">
            <wp:extent cx="2298065" cy="2305685"/>
            <wp:effectExtent l="0" t="0" r="6985" b="0"/>
            <wp:docPr id="7054982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D8EFD" w14:textId="67F88E05" w:rsidR="000B0FE7" w:rsidRDefault="000B0FE7">
      <w:r>
        <w:t>t</w:t>
      </w:r>
      <w:r>
        <w:rPr>
          <w:vertAlign w:val="subscript"/>
        </w:rPr>
        <w:t>0</w:t>
      </w:r>
      <w:r>
        <w:t xml:space="preserve"> follows a t-distribution with </w:t>
      </w:r>
      <w:proofErr w:type="spellStart"/>
      <w:r>
        <w:t>df</w:t>
      </w:r>
      <w:proofErr w:type="spellEnd"/>
      <w:r>
        <w:t xml:space="preserve"> = n</w:t>
      </w:r>
      <w:r>
        <w:rPr>
          <w:vertAlign w:val="subscript"/>
        </w:rPr>
        <w:t>1</w:t>
      </w:r>
      <w:r>
        <w:t xml:space="preserve"> + n</w:t>
      </w:r>
      <w:r>
        <w:rPr>
          <w:vertAlign w:val="subscript"/>
        </w:rPr>
        <w:t>2</w:t>
      </w:r>
      <w:r>
        <w:t xml:space="preserve"> – 2 = 58, and </w:t>
      </w:r>
      <w:r>
        <w:t>δ</w:t>
      </w:r>
      <w:r>
        <w:t>0 = 0</w:t>
      </w:r>
    </w:p>
    <w:p w14:paraId="36C3E788" w14:textId="448A271E" w:rsidR="000B0FE7" w:rsidRDefault="000B0FE7" w:rsidP="000B0FE7">
      <w:r>
        <w:t>t</w:t>
      </w:r>
      <w:r>
        <w:rPr>
          <w:vertAlign w:val="subscript"/>
        </w:rPr>
        <w:t>0</w:t>
      </w:r>
      <w:r>
        <w:t xml:space="preserve"> = -1.5852</w:t>
      </w:r>
      <w:r w:rsidR="00787417">
        <w:t xml:space="preserve"> for both Steel A and Steel B</w:t>
      </w:r>
    </w:p>
    <w:p w14:paraId="09A1A802" w14:textId="7196A01C" w:rsidR="000B0FE7" w:rsidRDefault="00787417">
      <w:r>
        <w:rPr>
          <w:rFonts w:hint="eastAsia"/>
        </w:rPr>
        <w:t>p</w:t>
      </w:r>
      <w:r>
        <w:t xml:space="preserve">-value = </w:t>
      </w:r>
      <w:r w:rsidR="00B217A0">
        <w:t>0.0592</w:t>
      </w:r>
      <w:r>
        <w:t xml:space="preserve"> for both Steel A and Steel B</w:t>
      </w:r>
    </w:p>
    <w:p w14:paraId="1CA3A806" w14:textId="76668647" w:rsidR="00787417" w:rsidRDefault="00787417">
      <w:r>
        <w:t xml:space="preserve">Because the p-value is </w:t>
      </w:r>
      <w:r w:rsidR="00B217A0">
        <w:t>greater</w:t>
      </w:r>
      <w:r>
        <w:t xml:space="preserve"> than significance level 0.</w:t>
      </w:r>
      <w:r w:rsidR="00B217A0">
        <w:t>0</w:t>
      </w:r>
      <w:r w:rsidR="00277605">
        <w:t>5</w:t>
      </w:r>
      <w:r>
        <w:t xml:space="preserve">, then </w:t>
      </w:r>
      <w:r w:rsidR="00B217A0">
        <w:t>do not</w:t>
      </w:r>
      <w:r>
        <w:t xml:space="preserve"> reject the null </w:t>
      </w:r>
      <w:r>
        <w:lastRenderedPageBreak/>
        <w:t xml:space="preserve">hypothesis, </w:t>
      </w:r>
      <w:r w:rsidR="00B217A0">
        <w:t xml:space="preserve">there is </w:t>
      </w:r>
      <w:r w:rsidR="00277605">
        <w:t>in</w:t>
      </w:r>
      <w:r w:rsidR="00B217A0">
        <w:t>sufficient evidence that the mean conductivity of Steel B is higher than the Steel A.</w:t>
      </w:r>
    </w:p>
    <w:p w14:paraId="299BEDA8" w14:textId="51035BC5" w:rsidR="00A528D8" w:rsidRDefault="00B217A0">
      <w:r>
        <w:rPr>
          <w:rFonts w:hint="eastAsia"/>
        </w:rPr>
        <w:t>(</w:t>
      </w:r>
      <w:r>
        <w:t xml:space="preserve">b) </w:t>
      </w:r>
      <w:r w:rsidR="00A528D8">
        <w:t xml:space="preserve">Assumptions: </w:t>
      </w:r>
    </w:p>
    <w:p w14:paraId="2DB1CB9E" w14:textId="3235D51B" w:rsidR="00A528D8" w:rsidRDefault="00A528D8" w:rsidP="00A528D8">
      <w:r>
        <w:t xml:space="preserve">First: </w:t>
      </w:r>
      <w:r>
        <w:t xml:space="preserve">The sample sizes are approximately equal (within 1-2 observations),  </w:t>
      </w:r>
    </w:p>
    <w:p w14:paraId="18DD48CA" w14:textId="7C8F4A65" w:rsidR="00A528D8" w:rsidRDefault="00A528D8" w:rsidP="00A528D8">
      <w:r>
        <w:t>Second:</w:t>
      </w:r>
      <w:r>
        <w:t xml:space="preserve"> Both sample sizes are at least 15,  </w:t>
      </w:r>
    </w:p>
    <w:p w14:paraId="24D305A6" w14:textId="60E23C33" w:rsidR="00A528D8" w:rsidRDefault="00A528D8" w:rsidP="00A528D8">
      <w:r>
        <w:t>Third:</w:t>
      </w:r>
      <w:r>
        <w:t xml:space="preserve"> The ratio of the larger and smaller standard deviations is less than two (</w:t>
      </w:r>
      <w:proofErr w:type="spellStart"/>
      <w:r>
        <w:t>smax</w:t>
      </w:r>
      <w:proofErr w:type="spellEnd"/>
      <w:r>
        <w:t xml:space="preserve"> / </w:t>
      </w:r>
      <w:proofErr w:type="spellStart"/>
      <w:r>
        <w:t>smin</w:t>
      </w:r>
      <w:proofErr w:type="spellEnd"/>
      <w:r>
        <w:t xml:space="preserve"> &lt; 2).</w:t>
      </w:r>
    </w:p>
    <w:p w14:paraId="781A4950" w14:textId="0D4BA23E" w:rsidR="00B217A0" w:rsidRDefault="00A528D8">
      <w:r>
        <w:t>Because the sample sizes for Steel A and Steel B (=30</w:t>
      </w:r>
      <w:r>
        <w:rPr>
          <w:rFonts w:hint="eastAsia"/>
        </w:rPr>
        <w:t>)</w:t>
      </w:r>
      <w:r>
        <w:t xml:space="preserve"> are equal </w:t>
      </w:r>
      <w:r>
        <w:rPr>
          <w:rFonts w:hint="eastAsia"/>
        </w:rPr>
        <w:t>a</w:t>
      </w:r>
      <w:r>
        <w:t>nd greater than 15, also the ratio of the larger and smaller standard deviations = 0.03883/0.02625 = 1.4792 &lt; 2</w:t>
      </w:r>
      <w:r>
        <w:t>, The assumptions about the distributions required holds.</w:t>
      </w:r>
    </w:p>
    <w:p w14:paraId="730E731E" w14:textId="77777777" w:rsidR="00696368" w:rsidRDefault="00A528D8">
      <w:r>
        <w:rPr>
          <w:rFonts w:hint="eastAsia"/>
        </w:rPr>
        <w:t>(</w:t>
      </w:r>
      <w:r>
        <w:t xml:space="preserve">c) </w:t>
      </w:r>
    </w:p>
    <w:p w14:paraId="5B38C6C6" w14:textId="259F806C" w:rsidR="00A528D8" w:rsidRDefault="00696368">
      <w:r>
        <w:rPr>
          <w:noProof/>
        </w:rPr>
        <w:drawing>
          <wp:inline distT="0" distB="0" distL="0" distR="0" wp14:anchorId="7D495C6A" wp14:editId="29F7E1D5">
            <wp:extent cx="1590261" cy="174929"/>
            <wp:effectExtent l="0" t="0" r="0" b="0"/>
            <wp:docPr id="66266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6631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0469" cy="17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701E7" w14:textId="0BA194B5" w:rsidR="00696368" w:rsidRDefault="00696368">
      <w:r>
        <w:rPr>
          <w:rFonts w:hint="eastAsia"/>
        </w:rPr>
        <w:t>=</w:t>
      </w:r>
      <w:r>
        <w:t xml:space="preserve"> (6.1824-6.1960) </w:t>
      </w:r>
      <w:r w:rsidR="003241D7">
        <w:rPr>
          <w:rFonts w:hint="eastAsia"/>
        </w:rPr>
        <w:t>+</w:t>
      </w:r>
      <w:r>
        <w:t xml:space="preserve"> -1.5852*(</w:t>
      </w:r>
      <w:r w:rsidR="00277605">
        <w:t>0.0071-0.0048</w:t>
      </w:r>
      <w:r>
        <w:t>)</w:t>
      </w:r>
      <w:r w:rsidR="00277605">
        <w:t xml:space="preserve"> = -0.0136 </w:t>
      </w:r>
      <w:r w:rsidR="003241D7">
        <w:rPr>
          <w:rFonts w:hint="eastAsia"/>
        </w:rPr>
        <w:t>+</w:t>
      </w:r>
      <w:r w:rsidR="00277605">
        <w:t xml:space="preserve"> 0.0037 = (-</w:t>
      </w:r>
      <w:r w:rsidR="003241D7">
        <w:rPr>
          <w:rFonts w:hint="eastAsia"/>
        </w:rPr>
        <w:t>∞</w:t>
      </w:r>
      <w:r w:rsidR="00277605">
        <w:t>, -0.0099)</w:t>
      </w:r>
    </w:p>
    <w:p w14:paraId="4E1A8F02" w14:textId="464EB38D" w:rsidR="00277605" w:rsidRDefault="00277605">
      <w:r>
        <w:rPr>
          <w:rFonts w:hint="eastAsia"/>
        </w:rPr>
        <w:t>T</w:t>
      </w:r>
      <w:r>
        <w:t xml:space="preserve">he interval does not include zero, and is negative, hence </w:t>
      </w:r>
      <w:r w:rsidR="003241D7">
        <w:t>we are able to reject the H</w:t>
      </w:r>
      <w:r w:rsidR="003241D7">
        <w:rPr>
          <w:vertAlign w:val="subscript"/>
        </w:rPr>
        <w:t>0</w:t>
      </w:r>
      <w:r w:rsidR="003241D7">
        <w:t xml:space="preserve"> in part a, thus there is sufficient evidence </w:t>
      </w:r>
      <w:r w:rsidR="003241D7">
        <w:t>that the mean conductivity of Steel B is higher than the Steel A</w:t>
      </w:r>
      <w:r w:rsidR="003241D7">
        <w:t>.</w:t>
      </w:r>
    </w:p>
    <w:p w14:paraId="5A8169AB" w14:textId="77777777" w:rsidR="003241D7" w:rsidRDefault="003241D7"/>
    <w:p w14:paraId="36B54DAC" w14:textId="64717ECC" w:rsidR="00C108CF" w:rsidRDefault="003241D7">
      <w:r>
        <w:rPr>
          <w:rFonts w:hint="eastAsia"/>
        </w:rPr>
        <w:t>P</w:t>
      </w:r>
      <w:r>
        <w:t>6.</w:t>
      </w:r>
      <w:r>
        <w:rPr>
          <w:rFonts w:hint="eastAsia"/>
        </w:rPr>
        <w:t xml:space="preserve"> </w:t>
      </w:r>
      <w:r w:rsidR="00C108CF" w:rsidRPr="00D2547B">
        <w:rPr>
          <w:u w:val="single"/>
        </w:rPr>
        <w:t xml:space="preserve">We take 5 decimal places for value of variables </w:t>
      </w:r>
      <w:r w:rsidR="00C108CF">
        <w:rPr>
          <w:u w:val="single"/>
        </w:rPr>
        <w:t xml:space="preserve">in </w:t>
      </w:r>
      <w:r w:rsidR="00C108CF" w:rsidRPr="00D2547B">
        <w:rPr>
          <w:u w:val="single"/>
        </w:rPr>
        <w:t>progress</w:t>
      </w:r>
      <w:r w:rsidR="00C108CF">
        <w:rPr>
          <w:u w:val="single"/>
        </w:rPr>
        <w:t xml:space="preserve"> and 4 decimal places for result</w:t>
      </w:r>
      <w:r w:rsidR="00C108CF" w:rsidRPr="00D2547B">
        <w:rPr>
          <w:u w:val="single"/>
        </w:rPr>
        <w:t>.</w:t>
      </w:r>
    </w:p>
    <w:p w14:paraId="295A4F41" w14:textId="64380AE0" w:rsidR="003241D7" w:rsidRDefault="003241D7">
      <w:r>
        <w:t>(a)</w:t>
      </w:r>
      <w:r w:rsidR="00C108CF">
        <w:t xml:space="preserve"> </w:t>
      </w:r>
      <w:r w:rsidR="00C108CF">
        <w:t>Due to unknown population standard deviation, the significance test uses the t distribution instead of the normal distribution.</w:t>
      </w:r>
    </w:p>
    <w:p w14:paraId="0B65E9AA" w14:textId="119A4A0C" w:rsidR="001923D9" w:rsidRPr="001923D9" w:rsidRDefault="001923D9">
      <w:r>
        <w:t>(</w:t>
      </w:r>
      <w:r>
        <w:rPr>
          <w:rFonts w:hint="eastAsia"/>
        </w:rPr>
        <w:t>μ</w:t>
      </w:r>
      <w:r>
        <w:rPr>
          <w:vertAlign w:val="subscript"/>
        </w:rPr>
        <w:t>1</w:t>
      </w:r>
      <w:r>
        <w:t xml:space="preserve"> is for Steel B, </w:t>
      </w:r>
      <w:r>
        <w:rPr>
          <w:rFonts w:hint="eastAsia"/>
        </w:rPr>
        <w:t>μ</w:t>
      </w:r>
      <w:r>
        <w:rPr>
          <w:vertAlign w:val="subscript"/>
        </w:rPr>
        <w:t>2</w:t>
      </w:r>
      <w:r>
        <w:t xml:space="preserve"> is for Tunqstoid)</w:t>
      </w:r>
    </w:p>
    <w:p w14:paraId="716EAD62" w14:textId="49BEDB8C" w:rsidR="001923D9" w:rsidRDefault="001923D9">
      <w:r>
        <w:t>H</w:t>
      </w:r>
      <w:r>
        <w:rPr>
          <w:vertAlign w:val="subscript"/>
        </w:rPr>
        <w:t>0</w:t>
      </w:r>
      <w:r>
        <w:t xml:space="preserve">: </w:t>
      </w:r>
      <w:r>
        <w:rPr>
          <w:rFonts w:hint="eastAsia"/>
        </w:rPr>
        <w:t>μ</w:t>
      </w:r>
      <w:r>
        <w:rPr>
          <w:vertAlign w:val="subscript"/>
        </w:rPr>
        <w:t>1</w:t>
      </w:r>
      <w:r>
        <w:t xml:space="preserve"> </w:t>
      </w:r>
      <w:r w:rsidR="003E5629">
        <w:t>&gt;</w:t>
      </w:r>
      <w:r>
        <w:t xml:space="preserve">= </w:t>
      </w:r>
      <w:r>
        <w:rPr>
          <w:rFonts w:hint="eastAsia"/>
        </w:rPr>
        <w:t>μ</w:t>
      </w:r>
      <w:r>
        <w:rPr>
          <w:vertAlign w:val="subscript"/>
        </w:rPr>
        <w:t>2</w:t>
      </w:r>
      <w:r>
        <w:t>, H</w:t>
      </w:r>
      <w:r>
        <w:rPr>
          <w:vertAlign w:val="subscript"/>
        </w:rPr>
        <w:t>A</w:t>
      </w:r>
      <w:r>
        <w:t xml:space="preserve">: </w:t>
      </w:r>
      <w:r>
        <w:rPr>
          <w:rFonts w:hint="eastAsia"/>
        </w:rPr>
        <w:t>μ</w:t>
      </w:r>
      <w:r>
        <w:rPr>
          <w:vertAlign w:val="subscript"/>
        </w:rPr>
        <w:t>1</w:t>
      </w:r>
      <w:r>
        <w:t xml:space="preserve"> &lt; </w:t>
      </w:r>
      <w:r>
        <w:rPr>
          <w:rFonts w:hint="eastAsia"/>
        </w:rPr>
        <w:t>μ</w:t>
      </w:r>
      <w:r>
        <w:rPr>
          <w:vertAlign w:val="subscript"/>
        </w:rPr>
        <w:t>2</w:t>
      </w:r>
    </w:p>
    <w:p w14:paraId="07E96942" w14:textId="1E8446C5" w:rsidR="001923D9" w:rsidRDefault="001923D9">
      <w:r>
        <w:rPr>
          <w:rFonts w:hint="eastAsia"/>
        </w:rPr>
        <w:t>α</w:t>
      </w:r>
      <w:r>
        <w:t xml:space="preserve"> = 0.05</w:t>
      </w:r>
    </w:p>
    <w:p w14:paraId="1694D4F6" w14:textId="4C4D9345" w:rsidR="001923D9" w:rsidRDefault="003E5629">
      <w:r w:rsidRPr="003E5629">
        <w:rPr>
          <w:rFonts w:hint="eastAsia"/>
        </w:rPr>
        <w:drawing>
          <wp:inline distT="0" distB="0" distL="0" distR="0" wp14:anchorId="5E068504" wp14:editId="04FBD601">
            <wp:extent cx="2783205" cy="2313940"/>
            <wp:effectExtent l="0" t="0" r="0" b="0"/>
            <wp:docPr id="4487569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CC6BD" w14:textId="77777777" w:rsidR="003E5629" w:rsidRDefault="003E5629" w:rsidP="003E5629">
      <w:r>
        <w:t>t</w:t>
      </w:r>
      <w:r>
        <w:rPr>
          <w:vertAlign w:val="subscript"/>
        </w:rPr>
        <w:t>0</w:t>
      </w:r>
      <w:r>
        <w:t xml:space="preserve"> follows a t-distribution with </w:t>
      </w:r>
      <w:proofErr w:type="spellStart"/>
      <w:r>
        <w:t>df</w:t>
      </w:r>
      <w:proofErr w:type="spellEnd"/>
      <w:r>
        <w:t xml:space="preserve"> = n</w:t>
      </w:r>
      <w:r>
        <w:rPr>
          <w:vertAlign w:val="subscript"/>
        </w:rPr>
        <w:t>1</w:t>
      </w:r>
      <w:r>
        <w:t xml:space="preserve"> + n</w:t>
      </w:r>
      <w:r>
        <w:rPr>
          <w:vertAlign w:val="subscript"/>
        </w:rPr>
        <w:t>2</w:t>
      </w:r>
      <w:r>
        <w:t xml:space="preserve"> – 2 = 58, and δ0 = 0</w:t>
      </w:r>
    </w:p>
    <w:p w14:paraId="6790E8F8" w14:textId="0C3E0688" w:rsidR="003E5629" w:rsidRDefault="003E5629" w:rsidP="003E5629">
      <w:r>
        <w:t>t</w:t>
      </w:r>
      <w:r>
        <w:rPr>
          <w:vertAlign w:val="subscript"/>
        </w:rPr>
        <w:t>0</w:t>
      </w:r>
      <w:r>
        <w:t xml:space="preserve"> = -</w:t>
      </w:r>
      <w:r>
        <w:t>4.0963</w:t>
      </w:r>
      <w:r>
        <w:t xml:space="preserve"> for both Steel A and Steel B</w:t>
      </w:r>
    </w:p>
    <w:p w14:paraId="3D4667A8" w14:textId="52B01FC0" w:rsidR="003E5629" w:rsidRDefault="003E5629" w:rsidP="003E5629">
      <w:r>
        <w:rPr>
          <w:rFonts w:hint="eastAsia"/>
        </w:rPr>
        <w:t>p</w:t>
      </w:r>
      <w:r>
        <w:t>-value = 0.</w:t>
      </w:r>
      <w:r>
        <w:t>0001</w:t>
      </w:r>
      <w:r>
        <w:t xml:space="preserve"> for both Steel A and Steel B</w:t>
      </w:r>
    </w:p>
    <w:p w14:paraId="510371A5" w14:textId="1E1557B5" w:rsidR="003E5629" w:rsidRDefault="003E5629" w:rsidP="003E5629">
      <w:r>
        <w:t xml:space="preserve">Because the p-value is </w:t>
      </w:r>
      <w:r>
        <w:t>much less</w:t>
      </w:r>
      <w:r>
        <w:t xml:space="preserve"> than significance level 0.05, then reject the null hypothesis, there is sufficient evidence that the mean conductivity of</w:t>
      </w:r>
      <w:r>
        <w:t xml:space="preserve"> Tunqstoid</w:t>
      </w:r>
      <w:r>
        <w:t xml:space="preserve"> is higher than the Steel </w:t>
      </w:r>
      <w:r>
        <w:t>B</w:t>
      </w:r>
      <w:r>
        <w:t>.</w:t>
      </w:r>
    </w:p>
    <w:p w14:paraId="3D7C445A" w14:textId="193AE5BE" w:rsidR="003E5629" w:rsidRDefault="003E5629">
      <w:r>
        <w:t xml:space="preserve">(b) </w:t>
      </w:r>
    </w:p>
    <w:p w14:paraId="393A4604" w14:textId="18BD9A21" w:rsidR="003E5629" w:rsidRDefault="0095599E">
      <w:r w:rsidRPr="0095599E">
        <w:rPr>
          <w:rFonts w:hint="eastAsia"/>
        </w:rPr>
        <w:lastRenderedPageBreak/>
        <w:drawing>
          <wp:inline distT="0" distB="0" distL="0" distR="0" wp14:anchorId="5DD18965" wp14:editId="1D3516EF">
            <wp:extent cx="2162810" cy="2616200"/>
            <wp:effectExtent l="0" t="0" r="8890" b="0"/>
            <wp:docPr id="15301595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D3D8F" w14:textId="0B0655CD" w:rsidR="0095599E" w:rsidRDefault="0095599E">
      <w:r>
        <w:rPr>
          <w:rFonts w:hint="eastAsia"/>
        </w:rPr>
        <w:t>T</w:t>
      </w:r>
      <w:r>
        <w:t>he 95% confidence interval for the combination change = 0.0094</w:t>
      </w:r>
    </w:p>
    <w:p w14:paraId="125D9405" w14:textId="77777777" w:rsidR="0095599E" w:rsidRDefault="0095599E" w:rsidP="0095599E">
      <w:r>
        <w:rPr>
          <w:noProof/>
        </w:rPr>
        <w:drawing>
          <wp:inline distT="0" distB="0" distL="0" distR="0" wp14:anchorId="5F5940EC" wp14:editId="7E1C7519">
            <wp:extent cx="1590261" cy="174929"/>
            <wp:effectExtent l="0" t="0" r="0" b="0"/>
            <wp:docPr id="2061138361" name="Picture 2061138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6631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0469" cy="17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F3BE" w14:textId="161D66E8" w:rsidR="0095599E" w:rsidRDefault="0095599E" w:rsidP="0095599E">
      <w:r>
        <w:rPr>
          <w:rFonts w:hint="eastAsia"/>
        </w:rPr>
        <w:t>=</w:t>
      </w:r>
      <w:r>
        <w:t xml:space="preserve"> </w:t>
      </w:r>
      <w:r>
        <w:t>0.0213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t>0.0094</w:t>
      </w:r>
      <w:r>
        <w:t xml:space="preserve"> = </w:t>
      </w:r>
      <w:r>
        <w:t>0.0307</w:t>
      </w:r>
      <w:r>
        <w:t xml:space="preserve"> = (-</w:t>
      </w:r>
      <w:r>
        <w:rPr>
          <w:rFonts w:hint="eastAsia"/>
        </w:rPr>
        <w:t>∞</w:t>
      </w:r>
      <w:r>
        <w:t xml:space="preserve">, </w:t>
      </w:r>
      <w:r>
        <w:t>0.0307</w:t>
      </w:r>
      <w:r>
        <w:t>)</w:t>
      </w:r>
      <w:r>
        <w:t xml:space="preserve"> = (0, 0.0307)</w:t>
      </w:r>
    </w:p>
    <w:p w14:paraId="2A4566F4" w14:textId="0231FD0D" w:rsidR="0095599E" w:rsidRDefault="0095599E">
      <w:r>
        <w:rPr>
          <w:rFonts w:hint="eastAsia"/>
        </w:rPr>
        <w:t>T</w:t>
      </w:r>
      <w:r>
        <w:t>he one side confidence interval includes zero and positive, hence there’s sufficient evidence showing the conductivity of Tunqstoid is higher than Steel B, consistent with that in part A.</w:t>
      </w:r>
    </w:p>
    <w:p w14:paraId="0B77E6F2" w14:textId="30ECABBA" w:rsidR="0095599E" w:rsidRDefault="0095599E">
      <w:r>
        <w:t xml:space="preserve">(c) </w:t>
      </w:r>
      <w:r w:rsidR="009C585C">
        <w:t xml:space="preserve">Assumptions: </w:t>
      </w:r>
      <w:r w:rsidR="009C585C">
        <w:t>random sample, independent observations, n ≥ 30 OR population is normal</w:t>
      </w:r>
    </w:p>
    <w:p w14:paraId="3E383CC4" w14:textId="3A4B9EB7" w:rsidR="009C585C" w:rsidRPr="0095599E" w:rsidRDefault="009C585C">
      <w:pPr>
        <w:rPr>
          <w:rFonts w:hint="eastAsia"/>
        </w:rPr>
      </w:pPr>
      <w:r>
        <w:t xml:space="preserve">The assumptions </w:t>
      </w:r>
      <w:proofErr w:type="gramStart"/>
      <w:r>
        <w:t>does</w:t>
      </w:r>
      <w:proofErr w:type="gramEnd"/>
      <w:r>
        <w:t xml:space="preserve"> not hold for the part a, since the observations for Steel B is not independent with the one for Tunqstoid.</w:t>
      </w:r>
    </w:p>
    <w:sectPr w:rsidR="009C585C" w:rsidRPr="00955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BE"/>
    <w:rsid w:val="000B0FE7"/>
    <w:rsid w:val="000E00C6"/>
    <w:rsid w:val="001923D9"/>
    <w:rsid w:val="00277605"/>
    <w:rsid w:val="003241D7"/>
    <w:rsid w:val="003A15CF"/>
    <w:rsid w:val="003E5629"/>
    <w:rsid w:val="004636D7"/>
    <w:rsid w:val="00474201"/>
    <w:rsid w:val="00483C7B"/>
    <w:rsid w:val="005A0362"/>
    <w:rsid w:val="00665E12"/>
    <w:rsid w:val="0067140C"/>
    <w:rsid w:val="00696368"/>
    <w:rsid w:val="006E4DC2"/>
    <w:rsid w:val="00721B41"/>
    <w:rsid w:val="00783E4A"/>
    <w:rsid w:val="00787417"/>
    <w:rsid w:val="008227BD"/>
    <w:rsid w:val="0095599E"/>
    <w:rsid w:val="009C585C"/>
    <w:rsid w:val="009E76E1"/>
    <w:rsid w:val="00A04F84"/>
    <w:rsid w:val="00A126D8"/>
    <w:rsid w:val="00A528D8"/>
    <w:rsid w:val="00A916DF"/>
    <w:rsid w:val="00AD105F"/>
    <w:rsid w:val="00B217A0"/>
    <w:rsid w:val="00B501E0"/>
    <w:rsid w:val="00C108CF"/>
    <w:rsid w:val="00C43694"/>
    <w:rsid w:val="00C84ABE"/>
    <w:rsid w:val="00C876B2"/>
    <w:rsid w:val="00C97BF0"/>
    <w:rsid w:val="00D2547B"/>
    <w:rsid w:val="00D360EE"/>
    <w:rsid w:val="00F337C0"/>
    <w:rsid w:val="00F41E3B"/>
    <w:rsid w:val="00F9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12FA3"/>
  <w15:chartTrackingRefBased/>
  <w15:docId w15:val="{639B2EC9-3EB4-44D0-9A22-39A9A8072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694"/>
    <w:rPr>
      <w:color w:val="666666"/>
    </w:rPr>
  </w:style>
  <w:style w:type="paragraph" w:styleId="ListParagraph">
    <w:name w:val="List Paragraph"/>
    <w:basedOn w:val="Normal"/>
    <w:uiPriority w:val="34"/>
    <w:qFormat/>
    <w:rsid w:val="001923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6.emf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4/relationships/chartEx" Target="charts/chartEx1.xml"/><Relationship Id="rId11" Type="http://schemas.openxmlformats.org/officeDocument/2006/relationships/image" Target="media/image4.png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image" Target="media/image1.emf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onas\Desktop\STAT235\lab4\lab4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onas\Desktop\STAT235\lab4\lab4.xlsx" TargetMode="Externa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Jonas\Desktop\STAT235\lab4\lab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/>
              <a:t>Histogram for</a:t>
            </a:r>
            <a:r>
              <a:rPr lang="en-US" altLang="zh-CN" baseline="0"/>
              <a:t> Conductivity of Steel A</a:t>
            </a:r>
            <a:endParaRPr lang="en-US" altLang="zh-CN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invertIfNegative val="0"/>
          <c:cat>
            <c:strRef>
              <c:f>Data!$E$38:$E$48</c:f>
              <c:strCache>
                <c:ptCount val="11"/>
                <c:pt idx="0">
                  <c:v>6.1</c:v>
                </c:pt>
                <c:pt idx="1">
                  <c:v>6.12</c:v>
                </c:pt>
                <c:pt idx="2">
                  <c:v>6.14</c:v>
                </c:pt>
                <c:pt idx="3">
                  <c:v>6.16</c:v>
                </c:pt>
                <c:pt idx="4">
                  <c:v>6.18</c:v>
                </c:pt>
                <c:pt idx="5">
                  <c:v>6.2</c:v>
                </c:pt>
                <c:pt idx="6">
                  <c:v>6.22</c:v>
                </c:pt>
                <c:pt idx="7">
                  <c:v>6.24</c:v>
                </c:pt>
                <c:pt idx="8">
                  <c:v>6.26</c:v>
                </c:pt>
                <c:pt idx="9">
                  <c:v>6.28</c:v>
                </c:pt>
                <c:pt idx="10">
                  <c:v>More</c:v>
                </c:pt>
              </c:strCache>
            </c:strRef>
          </c:cat>
          <c:val>
            <c:numRef>
              <c:f>Data!$F$38:$F$48</c:f>
              <c:numCache>
                <c:formatCode>General</c:formatCode>
                <c:ptCount val="11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7</c:v>
                </c:pt>
                <c:pt idx="5">
                  <c:v>7</c:v>
                </c:pt>
                <c:pt idx="6">
                  <c:v>3</c:v>
                </c:pt>
                <c:pt idx="7">
                  <c:v>3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A5-4291-A287-B1099CDC89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597682168"/>
        <c:axId val="597687208"/>
      </c:barChart>
      <c:catAx>
        <c:axId val="5976821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Conductivites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97687208"/>
        <c:crosses val="autoZero"/>
        <c:auto val="1"/>
        <c:lblAlgn val="ctr"/>
        <c:lblOffset val="100"/>
        <c:noMultiLvlLbl val="0"/>
      </c:catAx>
      <c:valAx>
        <c:axId val="59768720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97682168"/>
        <c:crosses val="autoZero"/>
        <c:crossBetween val="between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/>
              <a:t>Histogram </a:t>
            </a:r>
            <a:r>
              <a:rPr lang="en-US" altLang="zh-CN" sz="1800" b="1" i="0" u="none" strike="noStrike" kern="1200" baseline="0">
                <a:solidFill>
                  <a:sysClr val="windowText" lastClr="000000"/>
                </a:solidFill>
              </a:rPr>
              <a:t>for Conductivity of Steel B</a:t>
            </a:r>
            <a:endParaRPr lang="en-US" altLang="zh-CN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invertIfNegative val="0"/>
          <c:cat>
            <c:strRef>
              <c:f>Data!$E$51:$E$61</c:f>
              <c:strCache>
                <c:ptCount val="11"/>
                <c:pt idx="0">
                  <c:v>6.1</c:v>
                </c:pt>
                <c:pt idx="1">
                  <c:v>6.12</c:v>
                </c:pt>
                <c:pt idx="2">
                  <c:v>6.14</c:v>
                </c:pt>
                <c:pt idx="3">
                  <c:v>6.16</c:v>
                </c:pt>
                <c:pt idx="4">
                  <c:v>6.18</c:v>
                </c:pt>
                <c:pt idx="5">
                  <c:v>6.2</c:v>
                </c:pt>
                <c:pt idx="6">
                  <c:v>6.22</c:v>
                </c:pt>
                <c:pt idx="7">
                  <c:v>6.24</c:v>
                </c:pt>
                <c:pt idx="8">
                  <c:v>6.26</c:v>
                </c:pt>
                <c:pt idx="9">
                  <c:v>6.28</c:v>
                </c:pt>
                <c:pt idx="10">
                  <c:v>More</c:v>
                </c:pt>
              </c:strCache>
            </c:strRef>
          </c:cat>
          <c:val>
            <c:numRef>
              <c:f>Data!$F$51:$F$61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5</c:v>
                </c:pt>
                <c:pt idx="5">
                  <c:v>15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2BA-402C-A7A9-6CB536787B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674115696"/>
        <c:axId val="674117496"/>
      </c:barChart>
      <c:catAx>
        <c:axId val="6741156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 sz="800" b="1" i="0" u="none" strike="noStrike" kern="1200" baseline="0">
                    <a:solidFill>
                      <a:sysClr val="windowText" lastClr="000000"/>
                    </a:solidFill>
                  </a:rPr>
                  <a:t>Conductivites</a:t>
                </a:r>
                <a:endParaRPr lang="en-US" altLang="zh-CN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74117496"/>
        <c:crosses val="autoZero"/>
        <c:auto val="1"/>
        <c:lblAlgn val="ctr"/>
        <c:lblOffset val="100"/>
        <c:noMultiLvlLbl val="0"/>
      </c:catAx>
      <c:valAx>
        <c:axId val="67411749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74115696"/>
        <c:crosses val="autoZero"/>
        <c:crossBetween val="between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Data!$K$2:$K$61</cx:f>
        <cx:lvl ptCount="60">
          <cx:pt idx="0">Steel A</cx:pt>
          <cx:pt idx="1">Steel A</cx:pt>
          <cx:pt idx="2">Steel A</cx:pt>
          <cx:pt idx="3">Steel A</cx:pt>
          <cx:pt idx="4">Steel A</cx:pt>
          <cx:pt idx="5">Steel A</cx:pt>
          <cx:pt idx="6">Steel A</cx:pt>
          <cx:pt idx="7">Steel A</cx:pt>
          <cx:pt idx="8">Steel A</cx:pt>
          <cx:pt idx="9">Steel A</cx:pt>
          <cx:pt idx="10">Steel A</cx:pt>
          <cx:pt idx="11">Steel A</cx:pt>
          <cx:pt idx="12">Steel A</cx:pt>
          <cx:pt idx="13">Steel A</cx:pt>
          <cx:pt idx="14">Steel A</cx:pt>
          <cx:pt idx="15">Steel A</cx:pt>
          <cx:pt idx="16">Steel A</cx:pt>
          <cx:pt idx="17">Steel A</cx:pt>
          <cx:pt idx="18">Steel A</cx:pt>
          <cx:pt idx="19">Steel A</cx:pt>
          <cx:pt idx="20">Steel A</cx:pt>
          <cx:pt idx="21">Steel A</cx:pt>
          <cx:pt idx="22">Steel A</cx:pt>
          <cx:pt idx="23">Steel A</cx:pt>
          <cx:pt idx="24">Steel A</cx:pt>
          <cx:pt idx="25">Steel A</cx:pt>
          <cx:pt idx="26">Steel A</cx:pt>
          <cx:pt idx="27">Steel A</cx:pt>
          <cx:pt idx="28">Steel A</cx:pt>
          <cx:pt idx="29">Steel A</cx:pt>
          <cx:pt idx="30">Steel B</cx:pt>
          <cx:pt idx="31">Steel B</cx:pt>
          <cx:pt idx="32">Steel B</cx:pt>
          <cx:pt idx="33">Steel B</cx:pt>
          <cx:pt idx="34">Steel B</cx:pt>
          <cx:pt idx="35">Steel B</cx:pt>
          <cx:pt idx="36">Steel B</cx:pt>
          <cx:pt idx="37">Steel B</cx:pt>
          <cx:pt idx="38">Steel B</cx:pt>
          <cx:pt idx="39">Steel B</cx:pt>
          <cx:pt idx="40">Steel B</cx:pt>
          <cx:pt idx="41">Steel B</cx:pt>
          <cx:pt idx="42">Steel B</cx:pt>
          <cx:pt idx="43">Steel B</cx:pt>
          <cx:pt idx="44">Steel B</cx:pt>
          <cx:pt idx="45">Steel B</cx:pt>
          <cx:pt idx="46">Steel B</cx:pt>
          <cx:pt idx="47">Steel B</cx:pt>
          <cx:pt idx="48">Steel B</cx:pt>
          <cx:pt idx="49">Steel B</cx:pt>
          <cx:pt idx="50">Steel B</cx:pt>
          <cx:pt idx="51">Steel B</cx:pt>
          <cx:pt idx="52">Steel B</cx:pt>
          <cx:pt idx="53">Steel B</cx:pt>
          <cx:pt idx="54">Steel B</cx:pt>
          <cx:pt idx="55">Steel B</cx:pt>
          <cx:pt idx="56">Steel B</cx:pt>
          <cx:pt idx="57">Steel B</cx:pt>
          <cx:pt idx="58">Steel B</cx:pt>
          <cx:pt idx="59">Steel B</cx:pt>
        </cx:lvl>
      </cx:strDim>
      <cx:numDim type="val">
        <cx:f>Data!$L$2:$L$61</cx:f>
        <cx:lvl ptCount="60" formatCode="0.000">
          <cx:pt idx="0">6.117</cx:pt>
          <cx:pt idx="1">6.1200000000000001</cx:pt>
          <cx:pt idx="2">6.21</cx:pt>
          <cx:pt idx="3">6.181</cx:pt>
          <cx:pt idx="4">6.2389999999999999</cx:pt>
          <cx:pt idx="5">6.1630000000000003</cx:pt>
          <cx:pt idx="6">6.1470000000000002</cx:pt>
          <cx:pt idx="7">6.1959999999999997</cx:pt>
          <cx:pt idx="8">6.165</cx:pt>
          <cx:pt idx="9">6.1920000000000002</cx:pt>
          <cx:pt idx="10">6.1980000000000004</cx:pt>
          <cx:pt idx="11">6.1630000000000003</cx:pt>
          <cx:pt idx="12">6.2380000000000004</cx:pt>
          <cx:pt idx="13">6.2450000000000001</cx:pt>
          <cx:pt idx="14">6.218</cx:pt>
          <cx:pt idx="15">6.1920000000000002</cx:pt>
          <cx:pt idx="16">6.1989999999999998</cx:pt>
          <cx:pt idx="17">6.1500000000000004</cx:pt>
          <cx:pt idx="18">6.2599999999999998</cx:pt>
          <cx:pt idx="19">6.1760000000000002</cx:pt>
          <cx:pt idx="20">6.125</cx:pt>
          <cx:pt idx="21">6.1790000000000003</cx:pt>
          <cx:pt idx="22">6.218</cx:pt>
          <cx:pt idx="23">6.2290000000000001</cx:pt>
          <cx:pt idx="24">6.1630000000000003</cx:pt>
          <cx:pt idx="25">6.1890000000000001</cx:pt>
          <cx:pt idx="26">6.1589999999999998</cx:pt>
          <cx:pt idx="27">6.1790000000000003</cx:pt>
          <cx:pt idx="28">6.1319999999999997</cx:pt>
          <cx:pt idx="29">6.1299999999999999</cx:pt>
          <cx:pt idx="30">6.2489999999999997</cx:pt>
          <cx:pt idx="31">6.2329999999999997</cx:pt>
          <cx:pt idx="32">6.242</cx:pt>
          <cx:pt idx="33">6.2370000000000001</cx:pt>
          <cx:pt idx="34">6.1779999999999999</cx:pt>
          <cx:pt idx="35">6.181</cx:pt>
          <cx:pt idx="36">6.1429999999999998</cx:pt>
          <cx:pt idx="37">6.1870000000000003</cx:pt>
          <cx:pt idx="38">6.1829999999999998</cx:pt>
          <cx:pt idx="39">6.2130000000000001</cx:pt>
          <cx:pt idx="40">6.1890000000000001</cx:pt>
          <cx:pt idx="41">6.181</cx:pt>
          <cx:pt idx="42">6.258</cx:pt>
          <cx:pt idx="43">6.2069999999999999</cx:pt>
          <cx:pt idx="44">6.1900000000000004</cx:pt>
          <cx:pt idx="45">6.1870000000000003</cx:pt>
          <cx:pt idx="46">6.1890000000000001</cx:pt>
          <cx:pt idx="47">6.1790000000000003</cx:pt>
          <cx:pt idx="48">6.2039999999999997</cx:pt>
          <cx:pt idx="49">6.1849999999999996</cx:pt>
          <cx:pt idx="50">6.1760000000000002</cx:pt>
          <cx:pt idx="51">6.1849999999999996</cx:pt>
          <cx:pt idx="52">6.1900000000000004</cx:pt>
          <cx:pt idx="53">6.2290000000000001</cx:pt>
          <cx:pt idx="54">6.181</cx:pt>
          <cx:pt idx="55">6.1870000000000003</cx:pt>
          <cx:pt idx="56">6.181</cx:pt>
          <cx:pt idx="57">6.1870000000000003</cx:pt>
          <cx:pt idx="58">6.1719999999999997</cx:pt>
          <cx:pt idx="59">6.1760000000000002</cx:pt>
        </cx:lvl>
      </cx:numDim>
    </cx:data>
  </cx:chartData>
  <cx:chart>
    <cx:title pos="t" align="ctr" overlay="0">
      <cx:tx>
        <cx:txData>
          <cx:v>Distribution of Conductivity for Steel A and Steel B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altLang="zh-CN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/>
            </a:rPr>
            <a:t>Distribution of Conductivity for Steel A and Steel B</a:t>
          </a:r>
        </a:p>
      </cx:txPr>
    </cx:title>
    <cx:plotArea>
      <cx:plotAreaRegion>
        <cx:series layoutId="boxWhisker" uniqueId="{577C1C07-2DA4-407A-8D6B-F5E2A5464D12}"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title>
          <cx:tx>
            <cx:txData>
              <cx:v>Conductivity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altLang="zh-CN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/>
                </a:rPr>
                <a:t>Conductivity</a:t>
              </a:r>
            </a:p>
          </cx:txPr>
        </cx:title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5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Jiannan Lu</dc:creator>
  <cp:keywords/>
  <dc:description/>
  <cp:lastModifiedBy>Jiannan Lu</cp:lastModifiedBy>
  <cp:revision>2</cp:revision>
  <dcterms:created xsi:type="dcterms:W3CDTF">2023-11-16T23:51:00Z</dcterms:created>
  <dcterms:modified xsi:type="dcterms:W3CDTF">2023-11-21T01:11:00Z</dcterms:modified>
</cp:coreProperties>
</file>