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0F99" w14:textId="0C780719" w:rsidR="00172035" w:rsidRDefault="001A00A4">
      <w:r>
        <w:rPr>
          <w:rFonts w:hint="eastAsia"/>
        </w:rPr>
        <w:t>P</w:t>
      </w:r>
      <w:r>
        <w:t xml:space="preserve">1. This is an observational study because no human intervention and no control variables exists. Population inferences is not applicable with 21 selected roller coasters (not randomly selected). Causal inferences </w:t>
      </w:r>
      <w:proofErr w:type="gramStart"/>
      <w:r>
        <w:t>is</w:t>
      </w:r>
      <w:proofErr w:type="gramEnd"/>
      <w:r>
        <w:t xml:space="preserve"> not applicable with no random assignment exists.</w:t>
      </w:r>
    </w:p>
    <w:p w14:paraId="4C603E4A" w14:textId="4A4CAC4C" w:rsidR="001A00A4" w:rsidRDefault="001A00A4"/>
    <w:p w14:paraId="52965206" w14:textId="14FBBF71" w:rsidR="001A00A4" w:rsidRDefault="001A00A4">
      <w:r>
        <w:rPr>
          <w:rFonts w:hint="eastAsia"/>
        </w:rPr>
        <w:t>P</w:t>
      </w:r>
      <w:r>
        <w:t xml:space="preserve">2. (a) </w:t>
      </w:r>
    </w:p>
    <w:p w14:paraId="26720BDA" w14:textId="614C57AA" w:rsidR="008E1FF1" w:rsidRDefault="008E1FF1">
      <w:r>
        <w:rPr>
          <w:noProof/>
        </w:rPr>
        <w:drawing>
          <wp:inline distT="0" distB="0" distL="0" distR="0" wp14:anchorId="48CC0ED1" wp14:editId="17EF3EE5">
            <wp:extent cx="3912042" cy="2348204"/>
            <wp:effectExtent l="0" t="0" r="12700" b="14605"/>
            <wp:docPr id="952122892" name="Chart 1">
              <a:extLst xmlns:a="http://schemas.openxmlformats.org/drawingml/2006/main">
                <a:ext uri="{FF2B5EF4-FFF2-40B4-BE49-F238E27FC236}">
                  <a16:creationId xmlns:a16="http://schemas.microsoft.com/office/drawing/2014/main" id="{A8441B8D-BEFC-6C88-D1B1-621C105A7F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4CB3955" w14:textId="7D10400F" w:rsidR="008E1FF1" w:rsidRDefault="008E1FF1">
      <w:r>
        <w:rPr>
          <w:rFonts w:hint="eastAsia"/>
        </w:rPr>
        <w:t>(</w:t>
      </w:r>
      <w:r>
        <w:t>b) The relationship between top speed and height is linear, and strong because there exists an obvious straight line fitting the scattered points</w:t>
      </w:r>
      <w:r w:rsidR="002606F0">
        <w:t xml:space="preserve">, most points </w:t>
      </w:r>
      <w:proofErr w:type="gramStart"/>
      <w:r w:rsidR="002606F0">
        <w:t>falls</w:t>
      </w:r>
      <w:proofErr w:type="gramEnd"/>
      <w:r w:rsidR="002606F0">
        <w:t xml:space="preserve"> on the line and few points scatter around. It’s a positive association, with the increase in height, there is an increase in top speed.</w:t>
      </w:r>
    </w:p>
    <w:p w14:paraId="215CFA40" w14:textId="50395D23" w:rsidR="002606F0" w:rsidRDefault="002606F0">
      <w:r>
        <w:rPr>
          <w:rFonts w:hint="eastAsia"/>
        </w:rPr>
        <w:t>(</w:t>
      </w:r>
      <w:r>
        <w:t xml:space="preserve">c) </w:t>
      </w:r>
    </w:p>
    <w:p w14:paraId="586B281B" w14:textId="5113619F" w:rsidR="002606F0" w:rsidRDefault="002606F0">
      <w:r>
        <w:rPr>
          <w:noProof/>
        </w:rPr>
        <w:drawing>
          <wp:inline distT="0" distB="0" distL="0" distR="0" wp14:anchorId="6F94F1CB" wp14:editId="504C87F8">
            <wp:extent cx="3975652" cy="2385391"/>
            <wp:effectExtent l="0" t="0" r="6350" b="15240"/>
            <wp:docPr id="1257116148" name="Chart 1">
              <a:extLst xmlns:a="http://schemas.openxmlformats.org/drawingml/2006/main">
                <a:ext uri="{FF2B5EF4-FFF2-40B4-BE49-F238E27FC236}">
                  <a16:creationId xmlns:a16="http://schemas.microsoft.com/office/drawing/2014/main" id="{70A9A70C-321C-EDA5-24E6-7BCA5297FC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F1E6D44" w14:textId="0CDA7684" w:rsidR="002606F0" w:rsidRDefault="002606F0">
      <w:r>
        <w:t>The relationship between top speed and height is</w:t>
      </w:r>
      <w:r>
        <w:t xml:space="preserve"> </w:t>
      </w:r>
      <w:r w:rsidR="00715C41">
        <w:t>likely to be</w:t>
      </w:r>
      <w:r>
        <w:t xml:space="preserve"> linear, and </w:t>
      </w:r>
      <w:r w:rsidR="00FE4AAE">
        <w:t>moderate</w:t>
      </w:r>
      <w:r>
        <w:t xml:space="preserve"> because </w:t>
      </w:r>
      <w:r>
        <w:t>points scatte</w:t>
      </w:r>
      <w:r w:rsidR="00FE4AAE">
        <w:t>r a lot</w:t>
      </w:r>
      <w:r>
        <w:t xml:space="preserve">. It’s </w:t>
      </w:r>
      <w:r>
        <w:t xml:space="preserve">neither a </w:t>
      </w:r>
      <w:r>
        <w:t>positive association</w:t>
      </w:r>
      <w:r>
        <w:t xml:space="preserve"> nor a negative one</w:t>
      </w:r>
      <w:r>
        <w:t xml:space="preserve">, with the increase in height, </w:t>
      </w:r>
      <w:r>
        <w:t>top speed goes up and down (fluctuation exists)</w:t>
      </w:r>
      <w:r>
        <w:t>.</w:t>
      </w:r>
    </w:p>
    <w:p w14:paraId="2592DF0F" w14:textId="4DD99CD9" w:rsidR="00715C41" w:rsidRPr="00715C41" w:rsidRDefault="002606F0" w:rsidP="00715C41">
      <w:pPr>
        <w:widowControl/>
        <w:rPr>
          <w:rFonts w:ascii="等线" w:eastAsia="等线" w:hAnsi="等线" w:cs="宋体"/>
          <w:color w:val="000000"/>
          <w:kern w:val="0"/>
          <w:sz w:val="22"/>
        </w:rPr>
      </w:pPr>
      <w:r>
        <w:rPr>
          <w:rFonts w:hint="eastAsia"/>
        </w:rPr>
        <w:t>(</w:t>
      </w:r>
      <w:r>
        <w:t xml:space="preserve">d) </w:t>
      </w:r>
      <w:r w:rsidR="00715C41">
        <w:t xml:space="preserve">Correlation coefficient top speed vs height: </w:t>
      </w:r>
      <w:r w:rsidR="00715C41" w:rsidRPr="00715C41">
        <w:rPr>
          <w:rFonts w:ascii="等线" w:eastAsia="等线" w:hAnsi="等线" w:cs="宋体" w:hint="eastAsia"/>
          <w:color w:val="000000"/>
          <w:kern w:val="0"/>
          <w:sz w:val="22"/>
        </w:rPr>
        <w:t>0.959</w:t>
      </w:r>
      <w:r w:rsidR="00715C41">
        <w:rPr>
          <w:rFonts w:ascii="等线" w:eastAsia="等线" w:hAnsi="等线" w:cs="宋体"/>
          <w:color w:val="000000"/>
          <w:kern w:val="0"/>
          <w:sz w:val="22"/>
        </w:rPr>
        <w:t>9</w:t>
      </w:r>
    </w:p>
    <w:p w14:paraId="7454EDCF" w14:textId="0D0EE0CC" w:rsidR="00715C41" w:rsidRPr="00715C41" w:rsidRDefault="00715C41" w:rsidP="00715C41">
      <w:pPr>
        <w:widowControl/>
        <w:rPr>
          <w:rFonts w:ascii="等线" w:eastAsia="等线" w:hAnsi="等线" w:cs="宋体"/>
          <w:color w:val="000000"/>
          <w:kern w:val="0"/>
          <w:sz w:val="22"/>
        </w:rPr>
      </w:pPr>
      <w:r>
        <w:t>Correlation coefficient top speed vs</w:t>
      </w:r>
      <w:r>
        <w:t xml:space="preserve"> length: </w:t>
      </w:r>
      <w:r w:rsidRPr="00715C41">
        <w:rPr>
          <w:rFonts w:ascii="等线" w:eastAsia="等线" w:hAnsi="等线" w:cs="宋体" w:hint="eastAsia"/>
          <w:color w:val="000000"/>
          <w:kern w:val="0"/>
          <w:sz w:val="22"/>
        </w:rPr>
        <w:t>0.69</w:t>
      </w:r>
      <w:r>
        <w:rPr>
          <w:rFonts w:ascii="等线" w:eastAsia="等线" w:hAnsi="等线" w:cs="宋体"/>
          <w:color w:val="000000"/>
          <w:kern w:val="0"/>
          <w:sz w:val="22"/>
        </w:rPr>
        <w:t>50</w:t>
      </w:r>
    </w:p>
    <w:p w14:paraId="516F2AE7" w14:textId="20117B8A" w:rsidR="002606F0" w:rsidRDefault="00715C41">
      <w:r>
        <w:rPr>
          <w:rFonts w:hint="eastAsia"/>
        </w:rPr>
        <w:t>(</w:t>
      </w:r>
      <w:r>
        <w:t xml:space="preserve">e) For top speed vs height, 0.9599 represents a significant high linear correlation between the two variables, it is consistent with part (b). For top speed vs length, 0.6950 represent a </w:t>
      </w:r>
      <w:r w:rsidR="00FE4AAE">
        <w:t>moderate</w:t>
      </w:r>
      <w:r>
        <w:t xml:space="preserve"> linear correlation between the two variables, consistent with part (c).</w:t>
      </w:r>
    </w:p>
    <w:p w14:paraId="076E2411" w14:textId="1129F713" w:rsidR="00715C41" w:rsidRDefault="00715C41">
      <w:r>
        <w:rPr>
          <w:rFonts w:hint="eastAsia"/>
        </w:rPr>
        <w:t>(</w:t>
      </w:r>
      <w:r>
        <w:t>f)</w:t>
      </w:r>
      <w:r w:rsidR="000F4C5B">
        <w:t xml:space="preserve"> R Square = 0.9214, since the value is pretty close to 1, we claim that the regression model </w:t>
      </w:r>
      <w:r w:rsidR="000F4C5B">
        <w:lastRenderedPageBreak/>
        <w:t>fit the data well.</w:t>
      </w:r>
    </w:p>
    <w:p w14:paraId="7CF9A45B" w14:textId="74BF0B25" w:rsidR="000F4C5B" w:rsidRDefault="000F4C5B">
      <w:r>
        <w:rPr>
          <w:rFonts w:hint="eastAsia"/>
        </w:rPr>
        <w:t>(</w:t>
      </w:r>
      <w:r>
        <w:t>g) R Square = 0.4830, since the value is closer to 0 than to 1, we claim that the regression model does not fit the data very well.</w:t>
      </w:r>
    </w:p>
    <w:p w14:paraId="1AA5D000" w14:textId="77777777" w:rsidR="000F4C5B" w:rsidRDefault="000F4C5B"/>
    <w:p w14:paraId="593C4369" w14:textId="399FD812" w:rsidR="000F4C5B" w:rsidRDefault="000F4C5B">
      <w:r>
        <w:rPr>
          <w:rFonts w:hint="eastAsia"/>
        </w:rPr>
        <w:t>P</w:t>
      </w:r>
      <w:r>
        <w:t xml:space="preserve">3. (a) </w:t>
      </w:r>
    </w:p>
    <w:p w14:paraId="28004939" w14:textId="4D9B970B" w:rsidR="000F4C5B" w:rsidRDefault="000F4C5B">
      <w:r w:rsidRPr="000F4C5B">
        <w:drawing>
          <wp:inline distT="0" distB="0" distL="0" distR="0" wp14:anchorId="50EEBFC9" wp14:editId="128DA2AF">
            <wp:extent cx="4356499" cy="2432465"/>
            <wp:effectExtent l="0" t="0" r="6350" b="6350"/>
            <wp:docPr id="468564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4263" cy="2442384"/>
                    </a:xfrm>
                    <a:prstGeom prst="rect">
                      <a:avLst/>
                    </a:prstGeom>
                    <a:noFill/>
                    <a:ln>
                      <a:noFill/>
                    </a:ln>
                  </pic:spPr>
                </pic:pic>
              </a:graphicData>
            </a:graphic>
          </wp:inline>
        </w:drawing>
      </w:r>
    </w:p>
    <w:p w14:paraId="79C19703" w14:textId="133634B8" w:rsidR="000F4C5B" w:rsidRDefault="00CB5EAB">
      <w:r>
        <w:t xml:space="preserve">Top Speed </w:t>
      </w:r>
      <w:r w:rsidR="000F4C5B" w:rsidRPr="000F4C5B">
        <w:t>ŷ = β0 + β1*x</w:t>
      </w:r>
      <w:r w:rsidR="000F4C5B" w:rsidRPr="000F4C5B">
        <w:t xml:space="preserve"> = 60.81</w:t>
      </w:r>
      <w:r w:rsidR="000F4C5B">
        <w:t>45 + 0.9205</w:t>
      </w:r>
      <w:r>
        <w:t xml:space="preserve"> * Height</w:t>
      </w:r>
    </w:p>
    <w:p w14:paraId="6CF652AB" w14:textId="3DC50A22" w:rsidR="00FE4AAE" w:rsidRDefault="000F4C5B">
      <w:r>
        <w:rPr>
          <w:rFonts w:hint="eastAsia"/>
        </w:rPr>
        <w:t>(</w:t>
      </w:r>
      <w:r>
        <w:t xml:space="preserve">b) </w:t>
      </w:r>
      <w:r w:rsidR="0095722C">
        <w:t xml:space="preserve">Top speed </w:t>
      </w:r>
      <w:r w:rsidR="0002768D">
        <w:t>shall have</w:t>
      </w:r>
      <w:r w:rsidR="0095722C">
        <w:t xml:space="preserve"> a linear relationship with height. </w:t>
      </w:r>
      <w:r w:rsidR="00381F86">
        <w:t>Constant variance,</w:t>
      </w:r>
      <w:r w:rsidR="00381F86">
        <w:t xml:space="preserve"> f</w:t>
      </w:r>
      <w:r w:rsidR="0095722C">
        <w:t xml:space="preserve">or each value of height, top speed </w:t>
      </w:r>
      <w:r w:rsidR="0002768D">
        <w:t xml:space="preserve">shall </w:t>
      </w:r>
      <w:r w:rsidR="0095722C">
        <w:t xml:space="preserve">has the same standard deviation </w:t>
      </w:r>
      <w:r w:rsidR="0095722C">
        <w:rPr>
          <w:rFonts w:hint="eastAsia"/>
        </w:rPr>
        <w:t>σ</w:t>
      </w:r>
      <w:r w:rsidR="0095722C">
        <w:t xml:space="preserve">. Top speed values </w:t>
      </w:r>
      <w:r w:rsidR="0002768D">
        <w:t>shall be</w:t>
      </w:r>
      <w:r w:rsidR="0095722C">
        <w:t xml:space="preserve"> approximately normally distributed and independent.</w:t>
      </w:r>
    </w:p>
    <w:p w14:paraId="2F84CE6C" w14:textId="78EA9171" w:rsidR="0095722C" w:rsidRDefault="0095722C">
      <w:r>
        <w:t xml:space="preserve">Significance level: </w:t>
      </w:r>
      <w:r>
        <w:rPr>
          <w:rFonts w:hint="eastAsia"/>
        </w:rPr>
        <w:t>α</w:t>
      </w:r>
      <w:r>
        <w:t xml:space="preserve"> = 0.05</w:t>
      </w:r>
    </w:p>
    <w:p w14:paraId="7670A851" w14:textId="5D179685" w:rsidR="000F4C5B" w:rsidRDefault="000F4C5B">
      <w:r>
        <w:t>H</w:t>
      </w:r>
      <w:r>
        <w:softHyphen/>
      </w:r>
      <w:r w:rsidR="00FE4AAE">
        <w:rPr>
          <w:vertAlign w:val="subscript"/>
        </w:rPr>
        <w:t>0</w:t>
      </w:r>
      <w:r w:rsidR="00FE4AAE">
        <w:t xml:space="preserve">: </w:t>
      </w:r>
      <w:r w:rsidR="00FE4AAE">
        <w:rPr>
          <w:rFonts w:hint="eastAsia"/>
        </w:rPr>
        <w:t>β</w:t>
      </w:r>
      <w:r w:rsidR="00FE4AAE">
        <w:rPr>
          <w:vertAlign w:val="subscript"/>
        </w:rPr>
        <w:t>1</w:t>
      </w:r>
      <w:r w:rsidR="00FE4AAE">
        <w:t xml:space="preserve"> </w:t>
      </w:r>
      <w:r w:rsidR="00FE4AAE">
        <w:rPr>
          <w:rFonts w:hint="eastAsia"/>
        </w:rPr>
        <w:t>≤</w:t>
      </w:r>
      <w:r w:rsidR="00FE4AAE">
        <w:t xml:space="preserve"> 0;  H</w:t>
      </w:r>
      <w:r w:rsidR="00FE4AAE">
        <w:rPr>
          <w:vertAlign w:val="subscript"/>
        </w:rPr>
        <w:t>A</w:t>
      </w:r>
      <w:r w:rsidR="00FE4AAE">
        <w:t xml:space="preserve">: </w:t>
      </w:r>
      <w:r w:rsidR="00FE4AAE">
        <w:rPr>
          <w:rFonts w:hint="eastAsia"/>
        </w:rPr>
        <w:t>β</w:t>
      </w:r>
      <w:r w:rsidR="00FE4AAE">
        <w:rPr>
          <w:vertAlign w:val="subscript"/>
        </w:rPr>
        <w:t>1</w:t>
      </w:r>
      <w:r w:rsidR="00FE4AAE">
        <w:t xml:space="preserve"> &gt; 0</w:t>
      </w:r>
    </w:p>
    <w:p w14:paraId="3113827E" w14:textId="33FA400A" w:rsidR="0095722C" w:rsidRDefault="0095722C">
      <w:r>
        <w:t>We apply t-distribution, test statistic</w:t>
      </w:r>
      <w:r>
        <w:rPr>
          <w:rFonts w:hint="eastAsia"/>
        </w:rPr>
        <w:t xml:space="preserve"> </w:t>
      </w:r>
      <w:r>
        <w:t>t</w:t>
      </w:r>
      <w:r>
        <w:rPr>
          <w:vertAlign w:val="subscript"/>
        </w:rPr>
        <w:t>0</w:t>
      </w:r>
      <w:r>
        <w:t xml:space="preserve"> = </w:t>
      </w:r>
      <w:r>
        <w:rPr>
          <w:rFonts w:hint="eastAsia"/>
        </w:rPr>
        <w:t>β</w:t>
      </w:r>
      <w:r>
        <w:rPr>
          <w:vertAlign w:val="subscript"/>
        </w:rPr>
        <w:t>1</w:t>
      </w:r>
      <w:r>
        <w:t xml:space="preserve"> / S.E. = 0.9205/0.0617 = 14.9190</w:t>
      </w:r>
    </w:p>
    <w:p w14:paraId="1029D3DE" w14:textId="70335BB7" w:rsidR="0095722C" w:rsidRDefault="0095722C">
      <w:r>
        <w:t>According to t-table</w:t>
      </w:r>
      <w:r w:rsidR="00CB5EAB">
        <w:t xml:space="preserve">, </w:t>
      </w:r>
      <w:proofErr w:type="spellStart"/>
      <w:r w:rsidR="00CB5EAB">
        <w:t>df</w:t>
      </w:r>
      <w:proofErr w:type="spellEnd"/>
      <w:r w:rsidR="00CB5EAB">
        <w:t xml:space="preserve"> = 19</w:t>
      </w:r>
      <w:r>
        <w:t>, 0 &lt; p-value &lt; 0.0005</w:t>
      </w:r>
    </w:p>
    <w:p w14:paraId="5881DB45" w14:textId="7369B019" w:rsidR="0095722C" w:rsidRDefault="0095722C">
      <w:r>
        <w:t xml:space="preserve">Reject null hypothesis, there is sufficient evidence that the slope </w:t>
      </w:r>
      <w:r>
        <w:rPr>
          <w:rFonts w:hint="eastAsia"/>
        </w:rPr>
        <w:t>β</w:t>
      </w:r>
      <w:r>
        <w:rPr>
          <w:vertAlign w:val="subscript"/>
        </w:rPr>
        <w:t>1</w:t>
      </w:r>
      <w:r>
        <w:t xml:space="preserve"> is greater than 0.</w:t>
      </w:r>
    </w:p>
    <w:p w14:paraId="03338B96" w14:textId="34D28C60" w:rsidR="0095722C" w:rsidRDefault="0095722C">
      <w:r>
        <w:rPr>
          <w:rFonts w:hint="eastAsia"/>
        </w:rPr>
        <w:t>(</w:t>
      </w:r>
      <w:r>
        <w:t>c</w:t>
      </w:r>
      <w:r>
        <w:rPr>
          <w:rFonts w:hint="eastAsia"/>
        </w:rPr>
        <w:t xml:space="preserve">) </w:t>
      </w:r>
      <w:proofErr w:type="spellStart"/>
      <w:r>
        <w:rPr>
          <w:rFonts w:hint="eastAsia"/>
        </w:rPr>
        <w:t>Kon</w:t>
      </w:r>
      <w:r>
        <w:t>daa</w:t>
      </w:r>
      <w:proofErr w:type="spellEnd"/>
      <w:r>
        <w:t xml:space="preserve"> roller coaster: height = 50m</w:t>
      </w:r>
    </w:p>
    <w:p w14:paraId="5A11BF26" w14:textId="2F4BDE3D" w:rsidR="0095722C" w:rsidRDefault="0002768D">
      <w:r>
        <w:t xml:space="preserve">Predicted </w:t>
      </w:r>
      <w:r w:rsidR="0095722C" w:rsidRPr="000F4C5B">
        <w:t>ŷ</w:t>
      </w:r>
      <w:r w:rsidR="0095722C">
        <w:t xml:space="preserve"> = </w:t>
      </w:r>
      <w:r w:rsidR="0095722C" w:rsidRPr="000F4C5B">
        <w:t>60.81</w:t>
      </w:r>
      <w:r w:rsidR="0095722C">
        <w:t>45 + 0.9205</w:t>
      </w:r>
      <w:r w:rsidR="0095722C">
        <w:t xml:space="preserve"> * 50 = </w:t>
      </w:r>
      <w:r>
        <w:t>106.8395</w:t>
      </w:r>
    </w:p>
    <w:p w14:paraId="1076066B" w14:textId="459CC543" w:rsidR="0002768D" w:rsidRDefault="0002768D">
      <w:r>
        <w:rPr>
          <w:rFonts w:hint="eastAsia"/>
        </w:rPr>
        <w:t>O</w:t>
      </w:r>
      <w:r>
        <w:t xml:space="preserve">bserved y - </w:t>
      </w:r>
      <w:r>
        <w:t xml:space="preserve">Predicted </w:t>
      </w:r>
      <w:r w:rsidRPr="000F4C5B">
        <w:t>ŷ</w:t>
      </w:r>
      <w:r>
        <w:t xml:space="preserve"> = 113 – 106.8395 = 6.1605</w:t>
      </w:r>
    </w:p>
    <w:p w14:paraId="383A3D97" w14:textId="69A7CA30" w:rsidR="0002768D" w:rsidRDefault="0002768D">
      <w:r>
        <w:t>Error = (</w:t>
      </w:r>
      <w:r>
        <w:rPr>
          <w:rFonts w:hint="eastAsia"/>
        </w:rPr>
        <w:t>O</w:t>
      </w:r>
      <w:r>
        <w:t xml:space="preserve">bserved y - Predicted </w:t>
      </w:r>
      <w:r w:rsidRPr="000F4C5B">
        <w:t>ŷ</w:t>
      </w:r>
      <w:r>
        <w:t>) / Observed y = 6.1605 / 113 = 5.4518% &lt; 10%, so good prediction.</w:t>
      </w:r>
    </w:p>
    <w:p w14:paraId="78FA6AC5" w14:textId="2E16C5F5" w:rsidR="0002768D" w:rsidRDefault="0002768D">
      <w:r>
        <w:t xml:space="preserve">(d) </w:t>
      </w:r>
    </w:p>
    <w:p w14:paraId="69996580" w14:textId="080A6CC0" w:rsidR="0002768D" w:rsidRDefault="0002768D">
      <w:r>
        <w:rPr>
          <w:noProof/>
        </w:rPr>
        <w:drawing>
          <wp:inline distT="0" distB="0" distL="0" distR="0" wp14:anchorId="12FAA532" wp14:editId="23091873">
            <wp:extent cx="4094922" cy="2226365"/>
            <wp:effectExtent l="0" t="0" r="1270" b="2540"/>
            <wp:docPr id="1996887376" name="Chart 1">
              <a:extLst xmlns:a="http://schemas.openxmlformats.org/drawingml/2006/main">
                <a:ext uri="{FF2B5EF4-FFF2-40B4-BE49-F238E27FC236}">
                  <a16:creationId xmlns:a16="http://schemas.microsoft.com/office/drawing/2014/main" id="{C5C4DA07-FC04-F03C-FDAF-81A018FA69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69996CC" w14:textId="2EF580D1" w:rsidR="0002768D" w:rsidRDefault="0002768D">
      <w:r>
        <w:rPr>
          <w:rFonts w:hint="eastAsia"/>
        </w:rPr>
        <w:lastRenderedPageBreak/>
        <w:t>I</w:t>
      </w:r>
      <w:r>
        <w:t>n the residual plot</w:t>
      </w:r>
      <w:r w:rsidR="00CB5EAB">
        <w:t>, the residuals are randomly scattered about zero with fairly no systematic increase or decrease in variance and no clear pattern. Not enough evidence that the linear regression assumptions are violated.</w:t>
      </w:r>
    </w:p>
    <w:p w14:paraId="221C4674" w14:textId="77777777" w:rsidR="00CB5EAB" w:rsidRDefault="00CB5EAB"/>
    <w:p w14:paraId="4FE880DC" w14:textId="1305F182" w:rsidR="00CB5EAB" w:rsidRDefault="00CB5EAB">
      <w:r>
        <w:rPr>
          <w:rFonts w:hint="eastAsia"/>
        </w:rPr>
        <w:t>P</w:t>
      </w:r>
      <w:r>
        <w:t>4. (a)</w:t>
      </w:r>
    </w:p>
    <w:p w14:paraId="0C3741A5" w14:textId="49D3F749" w:rsidR="00CB5EAB" w:rsidRDefault="00CB5EAB">
      <w:r w:rsidRPr="00CB5EAB">
        <w:rPr>
          <w:rFonts w:hint="eastAsia"/>
        </w:rPr>
        <w:drawing>
          <wp:inline distT="0" distB="0" distL="0" distR="0" wp14:anchorId="72E757EC" wp14:editId="269A1828">
            <wp:extent cx="4516341" cy="2347888"/>
            <wp:effectExtent l="0" t="0" r="0" b="0"/>
            <wp:docPr id="5506688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7586" cy="2353734"/>
                    </a:xfrm>
                    <a:prstGeom prst="rect">
                      <a:avLst/>
                    </a:prstGeom>
                    <a:noFill/>
                    <a:ln>
                      <a:noFill/>
                    </a:ln>
                  </pic:spPr>
                </pic:pic>
              </a:graphicData>
            </a:graphic>
          </wp:inline>
        </w:drawing>
      </w:r>
    </w:p>
    <w:p w14:paraId="335A307E" w14:textId="6F0EB234" w:rsidR="00CB5EAB" w:rsidRDefault="00CB5EAB">
      <w:r>
        <w:t xml:space="preserve">Top Speed </w:t>
      </w:r>
      <w:r w:rsidRPr="000F4C5B">
        <w:t xml:space="preserve">ŷ = β0 + β1*x = </w:t>
      </w:r>
      <w:r>
        <w:t>61.0480</w:t>
      </w:r>
      <w:r>
        <w:t xml:space="preserve"> + </w:t>
      </w:r>
      <w:r>
        <w:t>39.8630 * Length</w:t>
      </w:r>
    </w:p>
    <w:p w14:paraId="5C023E9B" w14:textId="2294CCE3" w:rsidR="00CB5EAB" w:rsidRDefault="00CB5EAB" w:rsidP="00CB5EAB">
      <w:r>
        <w:rPr>
          <w:rFonts w:hint="eastAsia"/>
        </w:rPr>
        <w:t>(</w:t>
      </w:r>
      <w:r>
        <w:t xml:space="preserve">b) </w:t>
      </w:r>
      <w:r>
        <w:t xml:space="preserve">Top speed shall have a linear relationship with </w:t>
      </w:r>
      <w:r>
        <w:t>length</w:t>
      </w:r>
      <w:r>
        <w:t xml:space="preserve">. </w:t>
      </w:r>
      <w:r w:rsidR="00381F86">
        <w:t>Constant variance, f</w:t>
      </w:r>
      <w:r>
        <w:t xml:space="preserve">or each value of </w:t>
      </w:r>
      <w:r>
        <w:t>length</w:t>
      </w:r>
      <w:r>
        <w:t xml:space="preserve">, top speed shall has the same standard deviation </w:t>
      </w:r>
      <w:r>
        <w:rPr>
          <w:rFonts w:hint="eastAsia"/>
        </w:rPr>
        <w:t>σ</w:t>
      </w:r>
      <w:r>
        <w:t>. Top speed values shall be approximately normally distributed and independent.</w:t>
      </w:r>
    </w:p>
    <w:p w14:paraId="5D28AB14" w14:textId="77777777" w:rsidR="00CB5EAB" w:rsidRDefault="00CB5EAB" w:rsidP="00CB5EAB">
      <w:r>
        <w:t xml:space="preserve">Significance level: </w:t>
      </w:r>
      <w:r>
        <w:rPr>
          <w:rFonts w:hint="eastAsia"/>
        </w:rPr>
        <w:t>α</w:t>
      </w:r>
      <w:r>
        <w:t xml:space="preserve"> = 0.05</w:t>
      </w:r>
    </w:p>
    <w:p w14:paraId="7C38183F" w14:textId="77777777" w:rsidR="00CB5EAB" w:rsidRDefault="00CB5EAB" w:rsidP="00CB5EAB">
      <w:r>
        <w:t>H</w:t>
      </w:r>
      <w:r>
        <w:softHyphen/>
      </w:r>
      <w:r>
        <w:rPr>
          <w:vertAlign w:val="subscript"/>
        </w:rPr>
        <w:t>0</w:t>
      </w:r>
      <w:r>
        <w:t xml:space="preserve">: </w:t>
      </w:r>
      <w:r>
        <w:rPr>
          <w:rFonts w:hint="eastAsia"/>
        </w:rPr>
        <w:t>β</w:t>
      </w:r>
      <w:r>
        <w:rPr>
          <w:vertAlign w:val="subscript"/>
        </w:rPr>
        <w:t>1</w:t>
      </w:r>
      <w:r>
        <w:t xml:space="preserve"> </w:t>
      </w:r>
      <w:r>
        <w:rPr>
          <w:rFonts w:hint="eastAsia"/>
        </w:rPr>
        <w:t>≤</w:t>
      </w:r>
      <w:r>
        <w:t xml:space="preserve"> 0;  H</w:t>
      </w:r>
      <w:r>
        <w:rPr>
          <w:vertAlign w:val="subscript"/>
        </w:rPr>
        <w:t>A</w:t>
      </w:r>
      <w:r>
        <w:t xml:space="preserve">: </w:t>
      </w:r>
      <w:r>
        <w:rPr>
          <w:rFonts w:hint="eastAsia"/>
        </w:rPr>
        <w:t>β</w:t>
      </w:r>
      <w:r>
        <w:rPr>
          <w:vertAlign w:val="subscript"/>
        </w:rPr>
        <w:t>1</w:t>
      </w:r>
      <w:r>
        <w:t xml:space="preserve"> &gt; 0</w:t>
      </w:r>
    </w:p>
    <w:p w14:paraId="0F071E01" w14:textId="63FB4ED2" w:rsidR="00CB5EAB" w:rsidRDefault="00CB5EAB" w:rsidP="00CB5EAB">
      <w:r>
        <w:t>We apply t-distribution, test statistic</w:t>
      </w:r>
      <w:r>
        <w:rPr>
          <w:rFonts w:hint="eastAsia"/>
        </w:rPr>
        <w:t xml:space="preserve"> </w:t>
      </w:r>
      <w:r>
        <w:t>t</w:t>
      </w:r>
      <w:r>
        <w:rPr>
          <w:vertAlign w:val="subscript"/>
        </w:rPr>
        <w:t>0</w:t>
      </w:r>
      <w:r>
        <w:t xml:space="preserve"> = </w:t>
      </w:r>
      <w:r>
        <w:rPr>
          <w:rFonts w:hint="eastAsia"/>
        </w:rPr>
        <w:t>β</w:t>
      </w:r>
      <w:r>
        <w:rPr>
          <w:vertAlign w:val="subscript"/>
        </w:rPr>
        <w:t>1</w:t>
      </w:r>
      <w:r>
        <w:t xml:space="preserve"> / S.E. = </w:t>
      </w:r>
      <w:r>
        <w:t>39.8630</w:t>
      </w:r>
      <w:r>
        <w:t>/</w:t>
      </w:r>
      <w:r>
        <w:t>9.4622</w:t>
      </w:r>
      <w:r>
        <w:t xml:space="preserve"> = </w:t>
      </w:r>
      <w:r>
        <w:t>4.2129</w:t>
      </w:r>
    </w:p>
    <w:p w14:paraId="1F16BC3F" w14:textId="72BB1720" w:rsidR="00CB5EAB" w:rsidRDefault="00CB5EAB" w:rsidP="00CB5EAB">
      <w:r>
        <w:t>According to t-table</w:t>
      </w:r>
      <w:r>
        <w:t xml:space="preserve">, </w:t>
      </w:r>
      <w:proofErr w:type="spellStart"/>
      <w:r>
        <w:t>df</w:t>
      </w:r>
      <w:proofErr w:type="spellEnd"/>
      <w:r>
        <w:t xml:space="preserve"> = 19</w:t>
      </w:r>
      <w:r>
        <w:t>, 0 &lt; p-value &lt; 0.0005</w:t>
      </w:r>
    </w:p>
    <w:p w14:paraId="464072FC" w14:textId="77777777" w:rsidR="00CB5EAB" w:rsidRDefault="00CB5EAB" w:rsidP="00CB5EAB">
      <w:r>
        <w:t xml:space="preserve">Reject null hypothesis, there is sufficient evidence that the slope </w:t>
      </w:r>
      <w:r>
        <w:rPr>
          <w:rFonts w:hint="eastAsia"/>
        </w:rPr>
        <w:t>β</w:t>
      </w:r>
      <w:r>
        <w:rPr>
          <w:vertAlign w:val="subscript"/>
        </w:rPr>
        <w:t>1</w:t>
      </w:r>
      <w:r>
        <w:t xml:space="preserve"> is greater than 0.</w:t>
      </w:r>
    </w:p>
    <w:p w14:paraId="31880CEF" w14:textId="24594ECE" w:rsidR="00CB5EAB" w:rsidRDefault="00CB5EAB" w:rsidP="00CB5EAB">
      <w:r>
        <w:rPr>
          <w:rFonts w:hint="eastAsia"/>
        </w:rPr>
        <w:t>(</w:t>
      </w:r>
      <w:r>
        <w:t>c</w:t>
      </w:r>
      <w:r>
        <w:rPr>
          <w:rFonts w:hint="eastAsia"/>
        </w:rPr>
        <w:t xml:space="preserve">) </w:t>
      </w:r>
      <w:proofErr w:type="spellStart"/>
      <w:r>
        <w:rPr>
          <w:rFonts w:hint="eastAsia"/>
        </w:rPr>
        <w:t>Kon</w:t>
      </w:r>
      <w:r>
        <w:t>daa</w:t>
      </w:r>
      <w:proofErr w:type="spellEnd"/>
      <w:r>
        <w:t xml:space="preserve"> roller coaster: </w:t>
      </w:r>
      <w:r w:rsidR="00381F86">
        <w:t>length</w:t>
      </w:r>
      <w:r>
        <w:t xml:space="preserve"> = </w:t>
      </w:r>
      <w:r w:rsidR="00381F86">
        <w:t>1.2000</w:t>
      </w:r>
      <w:r>
        <w:t>m</w:t>
      </w:r>
    </w:p>
    <w:p w14:paraId="4B64E911" w14:textId="5D3437F1" w:rsidR="00CB5EAB" w:rsidRDefault="00CB5EAB" w:rsidP="00CB5EAB">
      <w:r>
        <w:t xml:space="preserve">Predicted </w:t>
      </w:r>
      <w:r w:rsidRPr="000F4C5B">
        <w:t>ŷ</w:t>
      </w:r>
      <w:r>
        <w:t xml:space="preserve"> = </w:t>
      </w:r>
      <w:r w:rsidR="00381F86">
        <w:t>61.0480 + 39.8630</w:t>
      </w:r>
      <w:r>
        <w:t xml:space="preserve"> * </w:t>
      </w:r>
      <w:r w:rsidR="00381F86">
        <w:t>1.2000</w:t>
      </w:r>
      <w:r>
        <w:t xml:space="preserve"> = </w:t>
      </w:r>
      <w:r w:rsidR="00381F86">
        <w:t>108.8836</w:t>
      </w:r>
    </w:p>
    <w:p w14:paraId="794E0C83" w14:textId="76208AEB" w:rsidR="00CB5EAB" w:rsidRDefault="00CB5EAB" w:rsidP="00CB5EAB">
      <w:r>
        <w:rPr>
          <w:rFonts w:hint="eastAsia"/>
        </w:rPr>
        <w:t>O</w:t>
      </w:r>
      <w:r>
        <w:t xml:space="preserve">bserved y - Predicted </w:t>
      </w:r>
      <w:r w:rsidRPr="000F4C5B">
        <w:t>ŷ</w:t>
      </w:r>
      <w:r>
        <w:t xml:space="preserve"> = 113 – 10</w:t>
      </w:r>
      <w:r w:rsidR="00381F86">
        <w:t>8.8836</w:t>
      </w:r>
      <w:r>
        <w:t xml:space="preserve"> = </w:t>
      </w:r>
      <w:r w:rsidR="00381F86">
        <w:t>4.1164</w:t>
      </w:r>
    </w:p>
    <w:p w14:paraId="4242E78A" w14:textId="49205314" w:rsidR="00CB5EAB" w:rsidRDefault="00CB5EAB" w:rsidP="00CB5EAB">
      <w:r>
        <w:t>Error = (</w:t>
      </w:r>
      <w:r>
        <w:rPr>
          <w:rFonts w:hint="eastAsia"/>
        </w:rPr>
        <w:t>O</w:t>
      </w:r>
      <w:r>
        <w:t xml:space="preserve">bserved y - Predicted </w:t>
      </w:r>
      <w:r w:rsidRPr="000F4C5B">
        <w:t>ŷ</w:t>
      </w:r>
      <w:r>
        <w:t xml:space="preserve">) / Observed y = </w:t>
      </w:r>
      <w:r w:rsidR="00381F86">
        <w:t>4.1164</w:t>
      </w:r>
      <w:r>
        <w:t xml:space="preserve"> / 113 = </w:t>
      </w:r>
      <w:r w:rsidR="00381F86">
        <w:t>3.6428</w:t>
      </w:r>
      <w:r>
        <w:t>% &lt; 10%, so good prediction.</w:t>
      </w:r>
    </w:p>
    <w:p w14:paraId="5C363940" w14:textId="4AEE5F85" w:rsidR="00CB5EAB" w:rsidRDefault="00381F86">
      <w:r>
        <w:rPr>
          <w:rFonts w:hint="eastAsia"/>
        </w:rPr>
        <w:t>(</w:t>
      </w:r>
      <w:r>
        <w:t xml:space="preserve">d) </w:t>
      </w:r>
    </w:p>
    <w:p w14:paraId="7BA28A16" w14:textId="6FDFC0C6" w:rsidR="00381F86" w:rsidRDefault="00381F86">
      <w:r>
        <w:rPr>
          <w:noProof/>
        </w:rPr>
        <w:drawing>
          <wp:inline distT="0" distB="0" distL="0" distR="0" wp14:anchorId="75F3611D" wp14:editId="7008E3AE">
            <wp:extent cx="4328160" cy="2146852"/>
            <wp:effectExtent l="0" t="0" r="15240" b="6350"/>
            <wp:docPr id="403577837" name="Chart 1">
              <a:extLst xmlns:a="http://schemas.openxmlformats.org/drawingml/2006/main">
                <a:ext uri="{FF2B5EF4-FFF2-40B4-BE49-F238E27FC236}">
                  <a16:creationId xmlns:a16="http://schemas.microsoft.com/office/drawing/2014/main" id="{85C21505-765D-E34D-38E5-32C1A91DFD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01C8D6C" w14:textId="4BCD4F09" w:rsidR="00381F86" w:rsidRDefault="00381F86" w:rsidP="00381F86">
      <w:r>
        <w:rPr>
          <w:rFonts w:hint="eastAsia"/>
        </w:rPr>
        <w:t>I</w:t>
      </w:r>
      <w:r>
        <w:t xml:space="preserve">n the residual plot, the residuals are randomly scattered about zero with </w:t>
      </w:r>
      <w:r>
        <w:t>a likely</w:t>
      </w:r>
      <w:r>
        <w:t xml:space="preserve"> systematic </w:t>
      </w:r>
      <w:r>
        <w:lastRenderedPageBreak/>
        <w:t xml:space="preserve">increase in variance. </w:t>
      </w:r>
      <w:r>
        <w:t>It is debatable</w:t>
      </w:r>
      <w:r>
        <w:t xml:space="preserve"> </w:t>
      </w:r>
      <w:r>
        <w:t>if the constant variance assumption holds</w:t>
      </w:r>
      <w:r>
        <w:t>.</w:t>
      </w:r>
    </w:p>
    <w:p w14:paraId="2869F990" w14:textId="77777777" w:rsidR="00381F86" w:rsidRDefault="00381F86"/>
    <w:p w14:paraId="05999023" w14:textId="4B5F60F3" w:rsidR="00381F86" w:rsidRDefault="00381F86">
      <w:r>
        <w:rPr>
          <w:rFonts w:hint="eastAsia"/>
        </w:rPr>
        <w:t>P</w:t>
      </w:r>
      <w:r>
        <w:t xml:space="preserve">5. The percentage of variance (R Square) is higher and closer to zero for the regression of top speed on height than the other one. And based on the assumptions, the Height Residual Plot performs better. Also, the standard error of the regression line parameters is lower for </w:t>
      </w:r>
      <w:r>
        <w:t>the regression of top speed on height</w:t>
      </w:r>
      <w:r>
        <w:t xml:space="preserve">, </w:t>
      </w:r>
      <w:r w:rsidR="006B79AA">
        <w:t>p-value is lower as well, provides more sufficient evidence that the slope of top speed vs. height is positive.</w:t>
      </w:r>
    </w:p>
    <w:p w14:paraId="02AC31C4" w14:textId="3A7A4591" w:rsidR="006B79AA" w:rsidRPr="00381F86" w:rsidRDefault="006B79AA">
      <w:pPr>
        <w:rPr>
          <w:rFonts w:hint="eastAsia"/>
        </w:rPr>
      </w:pPr>
      <w:r>
        <w:t>According to above, the regression model for top speed on height is better. The height variable is more reliable to maximize the top speed due to their significant stronger linearity.</w:t>
      </w:r>
    </w:p>
    <w:sectPr w:rsidR="006B79AA" w:rsidRPr="00381F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0A4"/>
    <w:rsid w:val="0002768D"/>
    <w:rsid w:val="000F4C5B"/>
    <w:rsid w:val="00172035"/>
    <w:rsid w:val="001A00A4"/>
    <w:rsid w:val="002606F0"/>
    <w:rsid w:val="00381F86"/>
    <w:rsid w:val="006616B8"/>
    <w:rsid w:val="006B79AA"/>
    <w:rsid w:val="00715C41"/>
    <w:rsid w:val="008E1FF1"/>
    <w:rsid w:val="0095722C"/>
    <w:rsid w:val="00CB5EAB"/>
    <w:rsid w:val="00FE4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C85E"/>
  <w15:chartTrackingRefBased/>
  <w15:docId w15:val="{35ED066E-0684-4A4E-9F81-53F1AEEA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97725">
      <w:bodyDiv w:val="1"/>
      <w:marLeft w:val="0"/>
      <w:marRight w:val="0"/>
      <w:marTop w:val="0"/>
      <w:marBottom w:val="0"/>
      <w:divBdr>
        <w:top w:val="none" w:sz="0" w:space="0" w:color="auto"/>
        <w:left w:val="none" w:sz="0" w:space="0" w:color="auto"/>
        <w:bottom w:val="none" w:sz="0" w:space="0" w:color="auto"/>
        <w:right w:val="none" w:sz="0" w:space="0" w:color="auto"/>
      </w:divBdr>
    </w:div>
    <w:div w:id="1173957448">
      <w:bodyDiv w:val="1"/>
      <w:marLeft w:val="0"/>
      <w:marRight w:val="0"/>
      <w:marTop w:val="0"/>
      <w:marBottom w:val="0"/>
      <w:divBdr>
        <w:top w:val="none" w:sz="0" w:space="0" w:color="auto"/>
        <w:left w:val="none" w:sz="0" w:space="0" w:color="auto"/>
        <w:bottom w:val="none" w:sz="0" w:space="0" w:color="auto"/>
        <w:right w:val="none" w:sz="0" w:space="0" w:color="auto"/>
      </w:divBdr>
    </w:div>
    <w:div w:id="1286039876">
      <w:bodyDiv w:val="1"/>
      <w:marLeft w:val="0"/>
      <w:marRight w:val="0"/>
      <w:marTop w:val="0"/>
      <w:marBottom w:val="0"/>
      <w:divBdr>
        <w:top w:val="none" w:sz="0" w:space="0" w:color="auto"/>
        <w:left w:val="none" w:sz="0" w:space="0" w:color="auto"/>
        <w:bottom w:val="none" w:sz="0" w:space="0" w:color="auto"/>
        <w:right w:val="none" w:sz="0" w:space="0" w:color="auto"/>
      </w:divBdr>
    </w:div>
    <w:div w:id="1456758006">
      <w:bodyDiv w:val="1"/>
      <w:marLeft w:val="0"/>
      <w:marRight w:val="0"/>
      <w:marTop w:val="0"/>
      <w:marBottom w:val="0"/>
      <w:divBdr>
        <w:top w:val="none" w:sz="0" w:space="0" w:color="auto"/>
        <w:left w:val="none" w:sz="0" w:space="0" w:color="auto"/>
        <w:bottom w:val="none" w:sz="0" w:space="0" w:color="auto"/>
        <w:right w:val="none" w:sz="0" w:space="0" w:color="auto"/>
      </w:divBdr>
    </w:div>
    <w:div w:id="1619531026">
      <w:bodyDiv w:val="1"/>
      <w:marLeft w:val="0"/>
      <w:marRight w:val="0"/>
      <w:marTop w:val="0"/>
      <w:marBottom w:val="0"/>
      <w:divBdr>
        <w:top w:val="none" w:sz="0" w:space="0" w:color="auto"/>
        <w:left w:val="none" w:sz="0" w:space="0" w:color="auto"/>
        <w:bottom w:val="none" w:sz="0" w:space="0" w:color="auto"/>
        <w:right w:val="none" w:sz="0" w:space="0" w:color="auto"/>
      </w:divBdr>
    </w:div>
    <w:div w:id="1947539942">
      <w:bodyDiv w:val="1"/>
      <w:marLeft w:val="0"/>
      <w:marRight w:val="0"/>
      <w:marTop w:val="0"/>
      <w:marBottom w:val="0"/>
      <w:divBdr>
        <w:top w:val="none" w:sz="0" w:space="0" w:color="auto"/>
        <w:left w:val="none" w:sz="0" w:space="0" w:color="auto"/>
        <w:bottom w:val="none" w:sz="0" w:space="0" w:color="auto"/>
        <w:right w:val="none" w:sz="0" w:space="0" w:color="auto"/>
      </w:divBdr>
    </w:div>
    <w:div w:id="207920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nas\Desktop\STAT235\lab5\lab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nas\Desktop\STAT235\lab5\lab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Jonas\Desktop\STAT235\lab5\lab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onas\Desktop\STAT235\lab5\lab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TopSpeed</a:t>
            </a:r>
            <a:r>
              <a:rPr lang="en-US" altLang="zh-CN" baseline="0"/>
              <a:t> vs. Height</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Sheet1!$F$1</c:f>
              <c:strCache>
                <c:ptCount val="1"/>
                <c:pt idx="0">
                  <c:v>TopSpeed</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Sheet1!$C$2:$C$22</c:f>
              <c:numCache>
                <c:formatCode>General</c:formatCode>
                <c:ptCount val="21"/>
                <c:pt idx="0">
                  <c:v>62</c:v>
                </c:pt>
                <c:pt idx="1">
                  <c:v>76</c:v>
                </c:pt>
                <c:pt idx="2">
                  <c:v>65</c:v>
                </c:pt>
                <c:pt idx="3">
                  <c:v>47</c:v>
                </c:pt>
                <c:pt idx="4">
                  <c:v>63</c:v>
                </c:pt>
                <c:pt idx="5">
                  <c:v>55</c:v>
                </c:pt>
                <c:pt idx="6">
                  <c:v>35</c:v>
                </c:pt>
                <c:pt idx="7">
                  <c:v>52</c:v>
                </c:pt>
                <c:pt idx="8">
                  <c:v>47</c:v>
                </c:pt>
                <c:pt idx="9">
                  <c:v>99</c:v>
                </c:pt>
                <c:pt idx="10">
                  <c:v>37</c:v>
                </c:pt>
                <c:pt idx="11">
                  <c:v>43</c:v>
                </c:pt>
                <c:pt idx="12">
                  <c:v>50</c:v>
                </c:pt>
                <c:pt idx="13">
                  <c:v>56</c:v>
                </c:pt>
                <c:pt idx="14">
                  <c:v>55</c:v>
                </c:pt>
                <c:pt idx="15">
                  <c:v>34</c:v>
                </c:pt>
                <c:pt idx="16">
                  <c:v>93</c:v>
                </c:pt>
                <c:pt idx="17">
                  <c:v>51</c:v>
                </c:pt>
                <c:pt idx="18">
                  <c:v>56</c:v>
                </c:pt>
                <c:pt idx="19">
                  <c:v>50</c:v>
                </c:pt>
                <c:pt idx="20">
                  <c:v>45</c:v>
                </c:pt>
              </c:numCache>
            </c:numRef>
          </c:xVal>
          <c:yVal>
            <c:numRef>
              <c:f>Sheet1!$F$2:$F$22</c:f>
              <c:numCache>
                <c:formatCode>General</c:formatCode>
                <c:ptCount val="21"/>
                <c:pt idx="0">
                  <c:v>119</c:v>
                </c:pt>
                <c:pt idx="1">
                  <c:v>126</c:v>
                </c:pt>
                <c:pt idx="2">
                  <c:v>122</c:v>
                </c:pt>
                <c:pt idx="3">
                  <c:v>112</c:v>
                </c:pt>
                <c:pt idx="4">
                  <c:v>121</c:v>
                </c:pt>
                <c:pt idx="5">
                  <c:v>107</c:v>
                </c:pt>
                <c:pt idx="6">
                  <c:v>90</c:v>
                </c:pt>
                <c:pt idx="7">
                  <c:v>106</c:v>
                </c:pt>
                <c:pt idx="8">
                  <c:v>103</c:v>
                </c:pt>
                <c:pt idx="9">
                  <c:v>153</c:v>
                </c:pt>
                <c:pt idx="10">
                  <c:v>92</c:v>
                </c:pt>
                <c:pt idx="11">
                  <c:v>100</c:v>
                </c:pt>
                <c:pt idx="12">
                  <c:v>118</c:v>
                </c:pt>
                <c:pt idx="13">
                  <c:v>104</c:v>
                </c:pt>
                <c:pt idx="14">
                  <c:v>113</c:v>
                </c:pt>
                <c:pt idx="15">
                  <c:v>87</c:v>
                </c:pt>
                <c:pt idx="16">
                  <c:v>145</c:v>
                </c:pt>
                <c:pt idx="17">
                  <c:v>107</c:v>
                </c:pt>
                <c:pt idx="18">
                  <c:v>113</c:v>
                </c:pt>
                <c:pt idx="19">
                  <c:v>113</c:v>
                </c:pt>
                <c:pt idx="20">
                  <c:v>104</c:v>
                </c:pt>
              </c:numCache>
            </c:numRef>
          </c:yVal>
          <c:smooth val="0"/>
          <c:extLst>
            <c:ext xmlns:c16="http://schemas.microsoft.com/office/drawing/2014/chart" uri="{C3380CC4-5D6E-409C-BE32-E72D297353CC}">
              <c16:uniqueId val="{00000000-E384-471B-A046-E12D2C1337B7}"/>
            </c:ext>
          </c:extLst>
        </c:ser>
        <c:dLbls>
          <c:showLegendKey val="0"/>
          <c:showVal val="0"/>
          <c:showCatName val="0"/>
          <c:showSerName val="0"/>
          <c:showPercent val="0"/>
          <c:showBubbleSize val="0"/>
        </c:dLbls>
        <c:axId val="427381928"/>
        <c:axId val="427382288"/>
      </c:scatterChart>
      <c:valAx>
        <c:axId val="427381928"/>
        <c:scaling>
          <c:orientation val="minMax"/>
          <c:max val="100"/>
          <c:min val="3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Height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7382288"/>
        <c:crosses val="autoZero"/>
        <c:crossBetween val="midCat"/>
      </c:valAx>
      <c:valAx>
        <c:axId val="427382288"/>
        <c:scaling>
          <c:orientation val="minMax"/>
          <c:min val="8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TopSpeed in</a:t>
                </a:r>
                <a:r>
                  <a:rPr lang="en-US" altLang="zh-CN" baseline="0"/>
                  <a:t> km/h</a:t>
                </a:r>
                <a:endParaRPr lang="en-US" alt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73819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TopSpeed</a:t>
            </a:r>
            <a:r>
              <a:rPr lang="en-US" altLang="zh-CN" baseline="0"/>
              <a:t> vs. Length</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Sheet1!$F$1</c:f>
              <c:strCache>
                <c:ptCount val="1"/>
                <c:pt idx="0">
                  <c:v>TopSpeed</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Sheet1!$D$2:$D$22</c:f>
              <c:numCache>
                <c:formatCode>0.000</c:formatCode>
                <c:ptCount val="21"/>
                <c:pt idx="0">
                  <c:v>1.75</c:v>
                </c:pt>
                <c:pt idx="1">
                  <c:v>1.153</c:v>
                </c:pt>
                <c:pt idx="2">
                  <c:v>1.24</c:v>
                </c:pt>
                <c:pt idx="3">
                  <c:v>1.4319999999999999</c:v>
                </c:pt>
                <c:pt idx="4">
                  <c:v>1.3160000000000001</c:v>
                </c:pt>
                <c:pt idx="5">
                  <c:v>1.53</c:v>
                </c:pt>
                <c:pt idx="6">
                  <c:v>0.92</c:v>
                </c:pt>
                <c:pt idx="7">
                  <c:v>1.1040000000000001</c:v>
                </c:pt>
                <c:pt idx="8">
                  <c:v>1.036</c:v>
                </c:pt>
                <c:pt idx="9">
                  <c:v>2.012</c:v>
                </c:pt>
                <c:pt idx="10">
                  <c:v>1.085</c:v>
                </c:pt>
                <c:pt idx="11">
                  <c:v>1.07</c:v>
                </c:pt>
                <c:pt idx="12">
                  <c:v>1.1579999999999999</c:v>
                </c:pt>
                <c:pt idx="13">
                  <c:v>1.641</c:v>
                </c:pt>
                <c:pt idx="14">
                  <c:v>1.341</c:v>
                </c:pt>
                <c:pt idx="15">
                  <c:v>1.024</c:v>
                </c:pt>
                <c:pt idx="16">
                  <c:v>1.5549999999999999</c:v>
                </c:pt>
                <c:pt idx="17">
                  <c:v>1.075</c:v>
                </c:pt>
                <c:pt idx="18">
                  <c:v>1.2649999999999999</c:v>
                </c:pt>
                <c:pt idx="19">
                  <c:v>1.2</c:v>
                </c:pt>
                <c:pt idx="20">
                  <c:v>1.01</c:v>
                </c:pt>
              </c:numCache>
            </c:numRef>
          </c:xVal>
          <c:yVal>
            <c:numRef>
              <c:f>Sheet1!$F$2:$F$22</c:f>
              <c:numCache>
                <c:formatCode>General</c:formatCode>
                <c:ptCount val="21"/>
                <c:pt idx="0">
                  <c:v>119</c:v>
                </c:pt>
                <c:pt idx="1">
                  <c:v>126</c:v>
                </c:pt>
                <c:pt idx="2">
                  <c:v>122</c:v>
                </c:pt>
                <c:pt idx="3">
                  <c:v>112</c:v>
                </c:pt>
                <c:pt idx="4">
                  <c:v>121</c:v>
                </c:pt>
                <c:pt idx="5">
                  <c:v>107</c:v>
                </c:pt>
                <c:pt idx="6">
                  <c:v>90</c:v>
                </c:pt>
                <c:pt idx="7">
                  <c:v>106</c:v>
                </c:pt>
                <c:pt idx="8">
                  <c:v>103</c:v>
                </c:pt>
                <c:pt idx="9">
                  <c:v>153</c:v>
                </c:pt>
                <c:pt idx="10">
                  <c:v>92</c:v>
                </c:pt>
                <c:pt idx="11">
                  <c:v>100</c:v>
                </c:pt>
                <c:pt idx="12">
                  <c:v>118</c:v>
                </c:pt>
                <c:pt idx="13">
                  <c:v>104</c:v>
                </c:pt>
                <c:pt idx="14">
                  <c:v>113</c:v>
                </c:pt>
                <c:pt idx="15">
                  <c:v>87</c:v>
                </c:pt>
                <c:pt idx="16">
                  <c:v>145</c:v>
                </c:pt>
                <c:pt idx="17">
                  <c:v>107</c:v>
                </c:pt>
                <c:pt idx="18">
                  <c:v>113</c:v>
                </c:pt>
                <c:pt idx="19">
                  <c:v>113</c:v>
                </c:pt>
                <c:pt idx="20">
                  <c:v>104</c:v>
                </c:pt>
              </c:numCache>
            </c:numRef>
          </c:yVal>
          <c:smooth val="0"/>
          <c:extLst>
            <c:ext xmlns:c16="http://schemas.microsoft.com/office/drawing/2014/chart" uri="{C3380CC4-5D6E-409C-BE32-E72D297353CC}">
              <c16:uniqueId val="{00000000-8410-4BBC-ABC5-9211B50D8E71}"/>
            </c:ext>
          </c:extLst>
        </c:ser>
        <c:dLbls>
          <c:showLegendKey val="0"/>
          <c:showVal val="0"/>
          <c:showCatName val="0"/>
          <c:showSerName val="0"/>
          <c:showPercent val="0"/>
          <c:showBubbleSize val="0"/>
        </c:dLbls>
        <c:axId val="100579328"/>
        <c:axId val="100584008"/>
      </c:scatterChart>
      <c:valAx>
        <c:axId val="100579328"/>
        <c:scaling>
          <c:orientation val="minMax"/>
          <c:min val="0.9"/>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Length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584008"/>
        <c:crosses val="autoZero"/>
        <c:crossBetween val="midCat"/>
      </c:valAx>
      <c:valAx>
        <c:axId val="100584008"/>
        <c:scaling>
          <c:orientation val="minMax"/>
          <c:min val="8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TopSpeed</a:t>
                </a:r>
                <a:r>
                  <a:rPr lang="en-US" altLang="zh-CN" baseline="0"/>
                  <a:t> in km/h</a:t>
                </a:r>
                <a:endParaRPr lang="en-US" alt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5793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Height  Residual Plot</a:t>
            </a:r>
          </a:p>
        </c:rich>
      </c:tx>
      <c:overlay val="0"/>
    </c:title>
    <c:autoTitleDeleted val="0"/>
    <c:plotArea>
      <c:layout/>
      <c:scatterChart>
        <c:scatterStyle val="lineMarker"/>
        <c:varyColors val="0"/>
        <c:ser>
          <c:idx val="0"/>
          <c:order val="0"/>
          <c:spPr>
            <a:ln>
              <a:noFill/>
            </a:ln>
          </c:spPr>
          <c:xVal>
            <c:numRef>
              <c:f>Sheet1!$C$2:$C$22</c:f>
              <c:numCache>
                <c:formatCode>General</c:formatCode>
                <c:ptCount val="21"/>
                <c:pt idx="0">
                  <c:v>62</c:v>
                </c:pt>
                <c:pt idx="1">
                  <c:v>76</c:v>
                </c:pt>
                <c:pt idx="2">
                  <c:v>65</c:v>
                </c:pt>
                <c:pt idx="3">
                  <c:v>47</c:v>
                </c:pt>
                <c:pt idx="4">
                  <c:v>63</c:v>
                </c:pt>
                <c:pt idx="5">
                  <c:v>55</c:v>
                </c:pt>
                <c:pt idx="6">
                  <c:v>35</c:v>
                </c:pt>
                <c:pt idx="7">
                  <c:v>52</c:v>
                </c:pt>
                <c:pt idx="8">
                  <c:v>47</c:v>
                </c:pt>
                <c:pt idx="9">
                  <c:v>99</c:v>
                </c:pt>
                <c:pt idx="10">
                  <c:v>37</c:v>
                </c:pt>
                <c:pt idx="11">
                  <c:v>43</c:v>
                </c:pt>
                <c:pt idx="12">
                  <c:v>50</c:v>
                </c:pt>
                <c:pt idx="13">
                  <c:v>56</c:v>
                </c:pt>
                <c:pt idx="14">
                  <c:v>55</c:v>
                </c:pt>
                <c:pt idx="15">
                  <c:v>34</c:v>
                </c:pt>
                <c:pt idx="16">
                  <c:v>93</c:v>
                </c:pt>
                <c:pt idx="17">
                  <c:v>51</c:v>
                </c:pt>
                <c:pt idx="18">
                  <c:v>56</c:v>
                </c:pt>
                <c:pt idx="19">
                  <c:v>50</c:v>
                </c:pt>
                <c:pt idx="20">
                  <c:v>45</c:v>
                </c:pt>
              </c:numCache>
            </c:numRef>
          </c:xVal>
          <c:yVal>
            <c:numRef>
              <c:f>Sheet1!$I$62:$I$82</c:f>
              <c:numCache>
                <c:formatCode>General</c:formatCode>
                <c:ptCount val="21"/>
                <c:pt idx="0">
                  <c:v>1.115029741787211</c:v>
                </c:pt>
                <c:pt idx="1">
                  <c:v>-4.771850074354461</c:v>
                </c:pt>
                <c:pt idx="2">
                  <c:v>1.3535554954711415</c:v>
                </c:pt>
                <c:pt idx="3">
                  <c:v>7.9224009733675871</c:v>
                </c:pt>
                <c:pt idx="4">
                  <c:v>2.1945383263485212</c:v>
                </c:pt>
                <c:pt idx="5">
                  <c:v>-4.4415303501419459</c:v>
                </c:pt>
                <c:pt idx="6">
                  <c:v>-3.0317020413681064</c:v>
                </c:pt>
                <c:pt idx="7">
                  <c:v>-2.6800561038258763</c:v>
                </c:pt>
                <c:pt idx="8">
                  <c:v>-1.0775990266324129</c:v>
                </c:pt>
                <c:pt idx="9">
                  <c:v>1.0568473705556301</c:v>
                </c:pt>
                <c:pt idx="10">
                  <c:v>-2.8726848722455003</c:v>
                </c:pt>
                <c:pt idx="11">
                  <c:v>-0.39563336487765355</c:v>
                </c:pt>
                <c:pt idx="12">
                  <c:v>11.160926727051503</c:v>
                </c:pt>
                <c:pt idx="13">
                  <c:v>-8.3620217655806357</c:v>
                </c:pt>
                <c:pt idx="14">
                  <c:v>1.5584696498580541</c:v>
                </c:pt>
                <c:pt idx="15">
                  <c:v>-5.1112106259294308</c:v>
                </c:pt>
                <c:pt idx="16">
                  <c:v>-1.4202041368122309</c:v>
                </c:pt>
                <c:pt idx="17">
                  <c:v>-0.75956468838717228</c:v>
                </c:pt>
                <c:pt idx="18">
                  <c:v>0.6379782344193643</c:v>
                </c:pt>
                <c:pt idx="19">
                  <c:v>6.1609267270515033</c:v>
                </c:pt>
                <c:pt idx="20">
                  <c:v>1.7633838042449668</c:v>
                </c:pt>
              </c:numCache>
            </c:numRef>
          </c:yVal>
          <c:smooth val="0"/>
          <c:extLst>
            <c:ext xmlns:c16="http://schemas.microsoft.com/office/drawing/2014/chart" uri="{C3380CC4-5D6E-409C-BE32-E72D297353CC}">
              <c16:uniqueId val="{00000000-84FA-4CBE-81EB-C2C39C57C11D}"/>
            </c:ext>
          </c:extLst>
        </c:ser>
        <c:dLbls>
          <c:showLegendKey val="0"/>
          <c:showVal val="0"/>
          <c:showCatName val="0"/>
          <c:showSerName val="0"/>
          <c:showPercent val="0"/>
          <c:showBubbleSize val="0"/>
        </c:dLbls>
        <c:axId val="629223760"/>
        <c:axId val="629229880"/>
      </c:scatterChart>
      <c:valAx>
        <c:axId val="629223760"/>
        <c:scaling>
          <c:orientation val="minMax"/>
          <c:max val="100"/>
          <c:min val="30"/>
        </c:scaling>
        <c:delete val="0"/>
        <c:axPos val="b"/>
        <c:title>
          <c:tx>
            <c:rich>
              <a:bodyPr/>
              <a:lstStyle/>
              <a:p>
                <a:pPr>
                  <a:defRPr/>
                </a:pPr>
                <a:r>
                  <a:rPr lang="en-US" altLang="zh-CN"/>
                  <a:t>Height</a:t>
                </a:r>
              </a:p>
            </c:rich>
          </c:tx>
          <c:overlay val="0"/>
        </c:title>
        <c:numFmt formatCode="General" sourceLinked="1"/>
        <c:majorTickMark val="out"/>
        <c:minorTickMark val="none"/>
        <c:tickLblPos val="nextTo"/>
        <c:crossAx val="629229880"/>
        <c:crosses val="autoZero"/>
        <c:crossBetween val="midCat"/>
      </c:valAx>
      <c:valAx>
        <c:axId val="629229880"/>
        <c:scaling>
          <c:orientation val="minMax"/>
          <c:max val="15"/>
          <c:min val="-15"/>
        </c:scaling>
        <c:delete val="0"/>
        <c:axPos val="l"/>
        <c:title>
          <c:tx>
            <c:rich>
              <a:bodyPr/>
              <a:lstStyle/>
              <a:p>
                <a:pPr>
                  <a:defRPr/>
                </a:pPr>
                <a:r>
                  <a:rPr lang="en-US" altLang="zh-CN"/>
                  <a:t>Residuals</a:t>
                </a:r>
              </a:p>
            </c:rich>
          </c:tx>
          <c:overlay val="0"/>
        </c:title>
        <c:numFmt formatCode="General" sourceLinked="1"/>
        <c:majorTickMark val="out"/>
        <c:minorTickMark val="none"/>
        <c:tickLblPos val="nextTo"/>
        <c:crossAx val="629223760"/>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Length  Residual Plot</a:t>
            </a:r>
          </a:p>
        </c:rich>
      </c:tx>
      <c:overlay val="0"/>
    </c:title>
    <c:autoTitleDeleted val="0"/>
    <c:plotArea>
      <c:layout/>
      <c:scatterChart>
        <c:scatterStyle val="lineMarker"/>
        <c:varyColors val="0"/>
        <c:ser>
          <c:idx val="0"/>
          <c:order val="0"/>
          <c:spPr>
            <a:ln w="19050">
              <a:noFill/>
            </a:ln>
          </c:spPr>
          <c:xVal>
            <c:numRef>
              <c:f>Sheet1!$D$2:$D$22</c:f>
              <c:numCache>
                <c:formatCode>0.000</c:formatCode>
                <c:ptCount val="21"/>
                <c:pt idx="0">
                  <c:v>1.75</c:v>
                </c:pt>
                <c:pt idx="1">
                  <c:v>1.153</c:v>
                </c:pt>
                <c:pt idx="2">
                  <c:v>1.24</c:v>
                </c:pt>
                <c:pt idx="3">
                  <c:v>1.4319999999999999</c:v>
                </c:pt>
                <c:pt idx="4">
                  <c:v>1.3160000000000001</c:v>
                </c:pt>
                <c:pt idx="5">
                  <c:v>1.53</c:v>
                </c:pt>
                <c:pt idx="6">
                  <c:v>0.92</c:v>
                </c:pt>
                <c:pt idx="7">
                  <c:v>1.1040000000000001</c:v>
                </c:pt>
                <c:pt idx="8">
                  <c:v>1.036</c:v>
                </c:pt>
                <c:pt idx="9">
                  <c:v>2.012</c:v>
                </c:pt>
                <c:pt idx="10">
                  <c:v>1.085</c:v>
                </c:pt>
                <c:pt idx="11">
                  <c:v>1.07</c:v>
                </c:pt>
                <c:pt idx="12">
                  <c:v>1.1579999999999999</c:v>
                </c:pt>
                <c:pt idx="13">
                  <c:v>1.641</c:v>
                </c:pt>
                <c:pt idx="14">
                  <c:v>1.341</c:v>
                </c:pt>
                <c:pt idx="15">
                  <c:v>1.024</c:v>
                </c:pt>
                <c:pt idx="16">
                  <c:v>1.5549999999999999</c:v>
                </c:pt>
                <c:pt idx="17">
                  <c:v>1.075</c:v>
                </c:pt>
                <c:pt idx="18">
                  <c:v>1.2649999999999999</c:v>
                </c:pt>
                <c:pt idx="19">
                  <c:v>1.2</c:v>
                </c:pt>
                <c:pt idx="20">
                  <c:v>1.01</c:v>
                </c:pt>
              </c:numCache>
            </c:numRef>
          </c:xVal>
          <c:yVal>
            <c:numRef>
              <c:f>Sheet1!$S$62:$S$82</c:f>
              <c:numCache>
                <c:formatCode>General</c:formatCode>
                <c:ptCount val="21"/>
                <c:pt idx="0">
                  <c:v>-11.808243948210531</c:v>
                </c:pt>
                <c:pt idx="1">
                  <c:v>18.989981860669332</c:v>
                </c:pt>
                <c:pt idx="2">
                  <c:v>11.521898702591358</c:v>
                </c:pt>
                <c:pt idx="3">
                  <c:v>-6.1318020600634782</c:v>
                </c:pt>
                <c:pt idx="4">
                  <c:v>7.4923088173738108</c:v>
                </c:pt>
                <c:pt idx="5">
                  <c:v>-15.038378491001879</c:v>
                </c:pt>
                <c:pt idx="6">
                  <c:v>-7.7219333596505919</c:v>
                </c:pt>
                <c:pt idx="7">
                  <c:v>0.94327007613853198</c:v>
                </c:pt>
                <c:pt idx="8">
                  <c:v>0.6539557629121191</c:v>
                </c:pt>
                <c:pt idx="9">
                  <c:v>11.747643552750048</c:v>
                </c:pt>
                <c:pt idx="10">
                  <c:v>-12.299332452557081</c:v>
                </c:pt>
                <c:pt idx="11">
                  <c:v>-3.7013870804746887</c:v>
                </c:pt>
                <c:pt idx="12">
                  <c:v>10.790666736641867</c:v>
                </c:pt>
                <c:pt idx="13">
                  <c:v>-22.463174244411704</c:v>
                </c:pt>
                <c:pt idx="14">
                  <c:v>-1.5042668027635386</c:v>
                </c:pt>
                <c:pt idx="15">
                  <c:v>-14.867687939421955</c:v>
                </c:pt>
                <c:pt idx="16">
                  <c:v>21.965045888860772</c:v>
                </c:pt>
                <c:pt idx="17">
                  <c:v>3.0992977954978471</c:v>
                </c:pt>
                <c:pt idx="18">
                  <c:v>1.5253230824540083</c:v>
                </c:pt>
                <c:pt idx="19">
                  <c:v>4.116419694811114</c:v>
                </c:pt>
                <c:pt idx="20">
                  <c:v>2.6903944078549529</c:v>
                </c:pt>
              </c:numCache>
            </c:numRef>
          </c:yVal>
          <c:smooth val="0"/>
          <c:extLst>
            <c:ext xmlns:c16="http://schemas.microsoft.com/office/drawing/2014/chart" uri="{C3380CC4-5D6E-409C-BE32-E72D297353CC}">
              <c16:uniqueId val="{00000000-9278-4C55-9962-B696558F881F}"/>
            </c:ext>
          </c:extLst>
        </c:ser>
        <c:dLbls>
          <c:showLegendKey val="0"/>
          <c:showVal val="0"/>
          <c:showCatName val="0"/>
          <c:showSerName val="0"/>
          <c:showPercent val="0"/>
          <c:showBubbleSize val="0"/>
        </c:dLbls>
        <c:axId val="654977376"/>
        <c:axId val="104482320"/>
      </c:scatterChart>
      <c:valAx>
        <c:axId val="654977376"/>
        <c:scaling>
          <c:orientation val="minMax"/>
          <c:max val="2.1"/>
          <c:min val="0.75000000000000011"/>
        </c:scaling>
        <c:delete val="0"/>
        <c:axPos val="b"/>
        <c:title>
          <c:tx>
            <c:rich>
              <a:bodyPr/>
              <a:lstStyle/>
              <a:p>
                <a:pPr>
                  <a:defRPr/>
                </a:pPr>
                <a:r>
                  <a:rPr lang="en-US" altLang="zh-CN"/>
                  <a:t>Length</a:t>
                </a:r>
              </a:p>
            </c:rich>
          </c:tx>
          <c:overlay val="0"/>
        </c:title>
        <c:numFmt formatCode="0.000" sourceLinked="1"/>
        <c:majorTickMark val="out"/>
        <c:minorTickMark val="none"/>
        <c:tickLblPos val="nextTo"/>
        <c:crossAx val="104482320"/>
        <c:crosses val="autoZero"/>
        <c:crossBetween val="midCat"/>
      </c:valAx>
      <c:valAx>
        <c:axId val="104482320"/>
        <c:scaling>
          <c:orientation val="minMax"/>
          <c:min val="-30"/>
        </c:scaling>
        <c:delete val="0"/>
        <c:axPos val="l"/>
        <c:title>
          <c:tx>
            <c:rich>
              <a:bodyPr/>
              <a:lstStyle/>
              <a:p>
                <a:pPr>
                  <a:defRPr/>
                </a:pPr>
                <a:r>
                  <a:rPr lang="en-US" altLang="zh-CN"/>
                  <a:t>Residuals</a:t>
                </a:r>
              </a:p>
            </c:rich>
          </c:tx>
          <c:overlay val="0"/>
        </c:title>
        <c:numFmt formatCode="General" sourceLinked="1"/>
        <c:majorTickMark val="out"/>
        <c:minorTickMark val="none"/>
        <c:tickLblPos val="nextTo"/>
        <c:crossAx val="654977376"/>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Jiannan Lu</dc:creator>
  <cp:keywords/>
  <dc:description/>
  <cp:lastModifiedBy>Jiannan Lu</cp:lastModifiedBy>
  <cp:revision>1</cp:revision>
  <dcterms:created xsi:type="dcterms:W3CDTF">2023-12-02T07:42:00Z</dcterms:created>
  <dcterms:modified xsi:type="dcterms:W3CDTF">2023-12-02T09:55:00Z</dcterms:modified>
</cp:coreProperties>
</file>