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A6" w:rsidRPr="00371100" w:rsidRDefault="00104ACC" w:rsidP="005B6D7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100">
        <w:rPr>
          <w:rFonts w:ascii="Times New Roman" w:hAnsi="Times New Roman" w:cs="Times New Roman"/>
          <w:sz w:val="24"/>
          <w:szCs w:val="24"/>
          <w:lang w:val="en-US"/>
        </w:rPr>
        <w:t xml:space="preserve">Thank you all for sharing insights on the topic of discussion. </w:t>
      </w:r>
    </w:p>
    <w:p w:rsidR="002079B4" w:rsidRPr="00371100" w:rsidRDefault="00104ACC" w:rsidP="005B6D7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71100">
        <w:rPr>
          <w:rFonts w:ascii="Times New Roman" w:hAnsi="Times New Roman" w:cs="Times New Roman"/>
          <w:sz w:val="24"/>
          <w:szCs w:val="24"/>
          <w:lang w:val="en-US"/>
        </w:rPr>
        <w:t xml:space="preserve">First, I agree </w:t>
      </w:r>
      <w:r w:rsidR="00D338D3" w:rsidRPr="00371100">
        <w:rPr>
          <w:rFonts w:ascii="Times New Roman" w:hAnsi="Times New Roman" w:cs="Times New Roman"/>
          <w:sz w:val="24"/>
          <w:szCs w:val="24"/>
          <w:lang w:val="en-US"/>
        </w:rPr>
        <w:t xml:space="preserve">I would like to </w:t>
      </w:r>
      <w:r w:rsidRPr="00371100">
        <w:rPr>
          <w:rFonts w:ascii="Times New Roman" w:hAnsi="Times New Roman" w:cs="Times New Roman"/>
          <w:sz w:val="24"/>
          <w:szCs w:val="24"/>
          <w:lang w:val="en-US"/>
        </w:rPr>
        <w:t>agree</w:t>
      </w:r>
      <w:r w:rsidR="00B330C7" w:rsidRPr="00371100">
        <w:rPr>
          <w:rFonts w:ascii="Times New Roman" w:hAnsi="Times New Roman" w:cs="Times New Roman"/>
          <w:sz w:val="24"/>
          <w:szCs w:val="24"/>
          <w:lang w:val="en-US"/>
        </w:rPr>
        <w:t xml:space="preserve"> that Section </w:t>
      </w:r>
      <w:r w:rsidR="008171BC" w:rsidRPr="00371100">
        <w:rPr>
          <w:rFonts w:ascii="Times New Roman" w:hAnsi="Times New Roman" w:cs="Times New Roman"/>
          <w:sz w:val="24"/>
          <w:szCs w:val="24"/>
          <w:lang w:val="en-US"/>
        </w:rPr>
        <w:t>s41 of</w:t>
      </w:r>
      <w:r w:rsidR="00B330C7" w:rsidRPr="00371100">
        <w:rPr>
          <w:rFonts w:ascii="Times New Roman" w:hAnsi="Times New Roman" w:cs="Times New Roman"/>
          <w:sz w:val="24"/>
          <w:szCs w:val="24"/>
          <w:lang w:val="en-US"/>
        </w:rPr>
        <w:t xml:space="preserve"> the YJCEA is crucial to determining </w:t>
      </w:r>
      <w:r w:rsidR="00CB00DD" w:rsidRPr="00371100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CB00DD" w:rsidRPr="00371100">
        <w:rPr>
          <w:rFonts w:ascii="Times New Roman" w:hAnsi="Times New Roman" w:cs="Times New Roman"/>
          <w:sz w:val="24"/>
          <w:szCs w:val="24"/>
        </w:rPr>
        <w:t>Gorgios can be allowed to call his witness to testify and cross-examine the complainant.</w:t>
      </w:r>
      <w:r w:rsidR="00FC4D8D" w:rsidRPr="00371100">
        <w:rPr>
          <w:rFonts w:ascii="Times New Roman" w:hAnsi="Times New Roman" w:cs="Times New Roman"/>
          <w:sz w:val="24"/>
          <w:szCs w:val="24"/>
        </w:rPr>
        <w:t xml:space="preserve"> The window offered by this section are the only routes the complainant can use to adduce evidence about Bella’s previous sexual relationship as part of his </w:t>
      </w:r>
      <w:r w:rsidR="00057534" w:rsidRPr="00371100">
        <w:rPr>
          <w:rFonts w:ascii="Times New Roman" w:hAnsi="Times New Roman" w:cs="Times New Roman"/>
          <w:sz w:val="24"/>
          <w:szCs w:val="24"/>
        </w:rPr>
        <w:t>defence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FC4D8D" w:rsidRPr="00371100">
        <w:rPr>
          <w:rFonts w:ascii="Times New Roman" w:hAnsi="Times New Roman" w:cs="Times New Roman"/>
          <w:sz w:val="24"/>
          <w:szCs w:val="24"/>
        </w:rPr>
        <w:t>.</w:t>
      </w:r>
      <w:r w:rsidR="00CB7F13" w:rsidRPr="00371100">
        <w:rPr>
          <w:rFonts w:ascii="Times New Roman" w:hAnsi="Times New Roman" w:cs="Times New Roman"/>
          <w:sz w:val="24"/>
          <w:szCs w:val="24"/>
        </w:rPr>
        <w:t xml:space="preserve"> It is imperative to note that </w:t>
      </w:r>
      <w:r w:rsidR="00BC700A" w:rsidRPr="00371100">
        <w:rPr>
          <w:rFonts w:ascii="Times New Roman" w:hAnsi="Times New Roman" w:cs="Times New Roman"/>
          <w:sz w:val="24"/>
          <w:szCs w:val="24"/>
        </w:rPr>
        <w:t>the defendant</w:t>
      </w:r>
      <w:r w:rsidR="00CB7F13" w:rsidRPr="00371100">
        <w:rPr>
          <w:rFonts w:ascii="Times New Roman" w:hAnsi="Times New Roman" w:cs="Times New Roman"/>
          <w:sz w:val="24"/>
          <w:szCs w:val="24"/>
        </w:rPr>
        <w:t xml:space="preserve"> is attempting to use the previous relationship to try and explain the existence of consent, hence the </w:t>
      </w:r>
      <w:r w:rsidR="00BC700A" w:rsidRPr="00371100">
        <w:rPr>
          <w:rFonts w:ascii="Times New Roman" w:hAnsi="Times New Roman" w:cs="Times New Roman"/>
          <w:sz w:val="24"/>
          <w:szCs w:val="24"/>
        </w:rPr>
        <w:t>connection</w:t>
      </w:r>
      <w:r w:rsidR="00CB7F13" w:rsidRPr="00371100">
        <w:rPr>
          <w:rFonts w:ascii="Times New Roman" w:hAnsi="Times New Roman" w:cs="Times New Roman"/>
          <w:sz w:val="24"/>
          <w:szCs w:val="24"/>
        </w:rPr>
        <w:t xml:space="preserve"> between the two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CB7F13" w:rsidRPr="00371100">
        <w:rPr>
          <w:rFonts w:ascii="Times New Roman" w:hAnsi="Times New Roman" w:cs="Times New Roman"/>
          <w:sz w:val="24"/>
          <w:szCs w:val="24"/>
        </w:rPr>
        <w:t xml:space="preserve">. However, as seen in Bahador, Regina v: </w:t>
      </w:r>
      <w:r w:rsidR="00BC700A" w:rsidRPr="00371100">
        <w:rPr>
          <w:rFonts w:ascii="Times New Roman" w:hAnsi="Times New Roman" w:cs="Times New Roman"/>
          <w:sz w:val="24"/>
          <w:szCs w:val="24"/>
        </w:rPr>
        <w:t>CACD (</w:t>
      </w:r>
      <w:r w:rsidR="00CB7F13" w:rsidRPr="00371100">
        <w:rPr>
          <w:rFonts w:ascii="Times New Roman" w:hAnsi="Times New Roman" w:cs="Times New Roman"/>
          <w:sz w:val="24"/>
          <w:szCs w:val="24"/>
        </w:rPr>
        <w:t>2005), the relevance of the evidence should be strong</w:t>
      </w:r>
      <w:r w:rsidR="00940F57" w:rsidRPr="00371100">
        <w:rPr>
          <w:rFonts w:ascii="Times New Roman" w:hAnsi="Times New Roman" w:cs="Times New Roman"/>
          <w:sz w:val="24"/>
          <w:szCs w:val="24"/>
        </w:rPr>
        <w:t xml:space="preserve"> enough. Until the decision to determine the admissibility </w:t>
      </w:r>
      <w:r w:rsidRPr="00371100">
        <w:rPr>
          <w:rFonts w:ascii="Times New Roman" w:hAnsi="Times New Roman" w:cs="Times New Roman"/>
          <w:sz w:val="24"/>
          <w:szCs w:val="24"/>
        </w:rPr>
        <w:t xml:space="preserve">of Giorgio’s </w:t>
      </w:r>
      <w:r w:rsidR="00940F57" w:rsidRPr="00371100">
        <w:rPr>
          <w:rFonts w:ascii="Times New Roman" w:hAnsi="Times New Roman" w:cs="Times New Roman"/>
          <w:sz w:val="24"/>
          <w:szCs w:val="24"/>
        </w:rPr>
        <w:t xml:space="preserve">witness and cross-examination is determined, the issue of whether </w:t>
      </w:r>
      <w:r w:rsidR="00076730" w:rsidRPr="00371100">
        <w:rPr>
          <w:rFonts w:ascii="Times New Roman" w:hAnsi="Times New Roman" w:cs="Times New Roman"/>
          <w:sz w:val="24"/>
          <w:szCs w:val="24"/>
        </w:rPr>
        <w:t>Bella's</w:t>
      </w:r>
      <w:r w:rsidR="00940F57" w:rsidRPr="00371100">
        <w:rPr>
          <w:rFonts w:ascii="Times New Roman" w:hAnsi="Times New Roman" w:cs="Times New Roman"/>
          <w:sz w:val="24"/>
          <w:szCs w:val="24"/>
        </w:rPr>
        <w:t xml:space="preserve"> sexual behaviour imputed consent or </w:t>
      </w:r>
      <w:r w:rsidR="00BC700A" w:rsidRPr="00371100">
        <w:rPr>
          <w:rFonts w:ascii="Times New Roman" w:hAnsi="Times New Roman" w:cs="Times New Roman"/>
          <w:sz w:val="24"/>
          <w:szCs w:val="24"/>
        </w:rPr>
        <w:t>not will remain</w:t>
      </w:r>
      <w:r w:rsidR="000F1F28" w:rsidRPr="00371100">
        <w:rPr>
          <w:rFonts w:ascii="Times New Roman" w:hAnsi="Times New Roman" w:cs="Times New Roman"/>
          <w:sz w:val="24"/>
          <w:szCs w:val="24"/>
        </w:rPr>
        <w:t xml:space="preserve"> a grey area.</w:t>
      </w:r>
      <w:r w:rsidR="00BC700A" w:rsidRPr="00371100">
        <w:rPr>
          <w:rFonts w:ascii="Times New Roman" w:hAnsi="Times New Roman" w:cs="Times New Roman"/>
          <w:sz w:val="24"/>
          <w:szCs w:val="24"/>
        </w:rPr>
        <w:t xml:space="preserve"> </w:t>
      </w:r>
      <w:r w:rsidRPr="00371100">
        <w:rPr>
          <w:rFonts w:ascii="Times New Roman" w:hAnsi="Times New Roman" w:cs="Times New Roman"/>
          <w:sz w:val="24"/>
          <w:szCs w:val="24"/>
        </w:rPr>
        <w:t xml:space="preserve">That said, Giorgio has a chance of succeeding in calling his witnesses </w:t>
      </w:r>
      <w:r w:rsidRPr="00371100">
        <w:rPr>
          <w:rFonts w:ascii="Times New Roman" w:hAnsi="Times New Roman" w:cs="Times New Roman"/>
          <w:sz w:val="24"/>
          <w:szCs w:val="24"/>
        </w:rPr>
        <w:t>if he can properly exp</w:t>
      </w:r>
      <w:r w:rsidR="001B3A8D" w:rsidRPr="00371100">
        <w:rPr>
          <w:rFonts w:ascii="Times New Roman" w:hAnsi="Times New Roman" w:cs="Times New Roman"/>
          <w:sz w:val="24"/>
          <w:szCs w:val="24"/>
        </w:rPr>
        <w:t xml:space="preserve">lain the link between the previous </w:t>
      </w:r>
      <w:r w:rsidRPr="00371100">
        <w:rPr>
          <w:rFonts w:ascii="Times New Roman" w:hAnsi="Times New Roman" w:cs="Times New Roman"/>
          <w:sz w:val="24"/>
          <w:szCs w:val="24"/>
        </w:rPr>
        <w:t>relationship and event</w:t>
      </w:r>
      <w:r w:rsidR="001B3A8D" w:rsidRPr="00371100">
        <w:rPr>
          <w:rFonts w:ascii="Times New Roman" w:hAnsi="Times New Roman" w:cs="Times New Roman"/>
          <w:sz w:val="24"/>
          <w:szCs w:val="24"/>
        </w:rPr>
        <w:t>s</w:t>
      </w:r>
      <w:r w:rsidRPr="00371100">
        <w:rPr>
          <w:rFonts w:ascii="Times New Roman" w:hAnsi="Times New Roman" w:cs="Times New Roman"/>
          <w:sz w:val="24"/>
          <w:szCs w:val="24"/>
        </w:rPr>
        <w:t xml:space="preserve"> to the alleged </w:t>
      </w:r>
      <w:bookmarkStart w:id="0" w:name="_GoBack"/>
      <w:bookmarkEnd w:id="0"/>
      <w:r w:rsidRPr="00371100">
        <w:rPr>
          <w:rFonts w:ascii="Times New Roman" w:hAnsi="Times New Roman" w:cs="Times New Roman"/>
          <w:sz w:val="24"/>
          <w:szCs w:val="24"/>
        </w:rPr>
        <w:t>rape.</w:t>
      </w:r>
      <w:r w:rsidR="001B3A8D" w:rsidRPr="00371100">
        <w:rPr>
          <w:rFonts w:ascii="Times New Roman" w:hAnsi="Times New Roman" w:cs="Times New Roman"/>
          <w:sz w:val="24"/>
          <w:szCs w:val="24"/>
        </w:rPr>
        <w:t xml:space="preserve"> He must demonstrate a strong connection between the two to compel </w:t>
      </w:r>
      <w:r w:rsidR="00076730" w:rsidRPr="00371100">
        <w:rPr>
          <w:rFonts w:ascii="Times New Roman" w:hAnsi="Times New Roman" w:cs="Times New Roman"/>
          <w:sz w:val="24"/>
          <w:szCs w:val="24"/>
        </w:rPr>
        <w:t>the court</w:t>
      </w:r>
      <w:r w:rsidR="001B3A8D" w:rsidRPr="00371100">
        <w:rPr>
          <w:rFonts w:ascii="Times New Roman" w:hAnsi="Times New Roman" w:cs="Times New Roman"/>
          <w:sz w:val="24"/>
          <w:szCs w:val="24"/>
        </w:rPr>
        <w:t xml:space="preserve"> to grant leave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1B3A8D" w:rsidRPr="00371100">
        <w:rPr>
          <w:rFonts w:ascii="Times New Roman" w:hAnsi="Times New Roman" w:cs="Times New Roman"/>
          <w:sz w:val="24"/>
          <w:szCs w:val="24"/>
        </w:rPr>
        <w:t>.</w:t>
      </w:r>
    </w:p>
    <w:p w:rsidR="002079B4" w:rsidRPr="00371100" w:rsidRDefault="002079B4" w:rsidP="005B6D7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079B4" w:rsidRPr="00371100" w:rsidSect="008C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ACC" w:rsidRDefault="00104ACC" w:rsidP="008C6504">
      <w:pPr>
        <w:spacing w:after="0" w:line="240" w:lineRule="auto"/>
      </w:pPr>
      <w:r>
        <w:separator/>
      </w:r>
    </w:p>
  </w:endnote>
  <w:endnote w:type="continuationSeparator" w:id="0">
    <w:p w:rsidR="00104ACC" w:rsidRDefault="00104ACC" w:rsidP="008C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ACC" w:rsidRDefault="00104ACC" w:rsidP="00076730">
      <w:pPr>
        <w:spacing w:after="0" w:line="240" w:lineRule="auto"/>
      </w:pPr>
      <w:r>
        <w:separator/>
      </w:r>
    </w:p>
  </w:footnote>
  <w:footnote w:type="continuationSeparator" w:id="0">
    <w:p w:rsidR="00104ACC" w:rsidRDefault="00104ACC" w:rsidP="00076730">
      <w:pPr>
        <w:spacing w:after="0" w:line="240" w:lineRule="auto"/>
      </w:pPr>
      <w:r>
        <w:continuationSeparator/>
      </w:r>
    </w:p>
  </w:footnote>
  <w:footnote w:id="1">
    <w:p w:rsidR="00814C8A" w:rsidRPr="005B6D7B" w:rsidRDefault="00104ACC">
      <w:pPr>
        <w:pStyle w:val="FootnoteText"/>
        <w:rPr>
          <w:sz w:val="16"/>
          <w:szCs w:val="16"/>
          <w:lang w:val="en-US"/>
        </w:rPr>
      </w:pPr>
      <w:r w:rsidRPr="005B6D7B">
        <w:rPr>
          <w:rStyle w:val="FootnoteReference"/>
          <w:sz w:val="16"/>
          <w:szCs w:val="16"/>
        </w:rPr>
        <w:footnoteRef/>
      </w:r>
      <w:r w:rsidRPr="005B6D7B">
        <w:rPr>
          <w:sz w:val="16"/>
          <w:szCs w:val="16"/>
        </w:rPr>
        <w:t xml:space="preserve"> S41 of the </w:t>
      </w:r>
      <w:r w:rsidRPr="005B6D7B">
        <w:rPr>
          <w:sz w:val="16"/>
          <w:szCs w:val="16"/>
        </w:rPr>
        <w:t>Youth Justice and Criminal Evidence Act 1999</w:t>
      </w:r>
    </w:p>
  </w:footnote>
  <w:footnote w:id="2">
    <w:p w:rsidR="00076730" w:rsidRPr="005B6D7B" w:rsidRDefault="00104ACC">
      <w:pPr>
        <w:pStyle w:val="FootnoteText"/>
        <w:rPr>
          <w:sz w:val="16"/>
          <w:szCs w:val="16"/>
          <w:lang w:val="en-US"/>
        </w:rPr>
      </w:pPr>
      <w:r w:rsidRPr="005B6D7B">
        <w:rPr>
          <w:rStyle w:val="FootnoteReference"/>
          <w:sz w:val="16"/>
          <w:szCs w:val="16"/>
        </w:rPr>
        <w:footnoteRef/>
      </w:r>
      <w:r w:rsidRPr="005B6D7B">
        <w:rPr>
          <w:sz w:val="16"/>
          <w:szCs w:val="16"/>
        </w:rPr>
        <w:t xml:space="preserve"> </w:t>
      </w:r>
      <w:r w:rsidRPr="005B6D7B">
        <w:rPr>
          <w:sz w:val="16"/>
          <w:szCs w:val="16"/>
        </w:rPr>
        <w:t>Ba</w:t>
      </w:r>
      <w:r w:rsidRPr="005B6D7B">
        <w:rPr>
          <w:sz w:val="16"/>
          <w:szCs w:val="16"/>
        </w:rPr>
        <w:t>hador, Regina v CACD [2005] EWCA Crim 396</w:t>
      </w:r>
    </w:p>
  </w:footnote>
  <w:footnote w:id="3">
    <w:p w:rsidR="00A32E68" w:rsidRPr="005B6D7B" w:rsidRDefault="00104ACC">
      <w:pPr>
        <w:pStyle w:val="FootnoteText"/>
        <w:rPr>
          <w:sz w:val="16"/>
          <w:szCs w:val="16"/>
          <w:lang w:val="en-US"/>
        </w:rPr>
      </w:pPr>
      <w:r w:rsidRPr="005B6D7B">
        <w:rPr>
          <w:rStyle w:val="FootnoteReference"/>
          <w:sz w:val="16"/>
          <w:szCs w:val="16"/>
        </w:rPr>
        <w:footnoteRef/>
      </w:r>
      <w:r w:rsidRPr="005B6D7B">
        <w:rPr>
          <w:sz w:val="16"/>
          <w:szCs w:val="16"/>
        </w:rPr>
        <w:t xml:space="preserve"> Regina v A (2001)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38D3"/>
    <w:rsid w:val="00051A85"/>
    <w:rsid w:val="00057534"/>
    <w:rsid w:val="00076730"/>
    <w:rsid w:val="000F1F28"/>
    <w:rsid w:val="00104ACC"/>
    <w:rsid w:val="00193EFA"/>
    <w:rsid w:val="001B3A8D"/>
    <w:rsid w:val="002079B4"/>
    <w:rsid w:val="002F4EE0"/>
    <w:rsid w:val="00371100"/>
    <w:rsid w:val="003A0EA2"/>
    <w:rsid w:val="003E3967"/>
    <w:rsid w:val="00557297"/>
    <w:rsid w:val="005B6D7B"/>
    <w:rsid w:val="00613FBF"/>
    <w:rsid w:val="00645DD3"/>
    <w:rsid w:val="00740337"/>
    <w:rsid w:val="00814C8A"/>
    <w:rsid w:val="008171BC"/>
    <w:rsid w:val="00836381"/>
    <w:rsid w:val="008C6504"/>
    <w:rsid w:val="008D370E"/>
    <w:rsid w:val="00940F57"/>
    <w:rsid w:val="00A32E68"/>
    <w:rsid w:val="00A33964"/>
    <w:rsid w:val="00A513FF"/>
    <w:rsid w:val="00AF5F84"/>
    <w:rsid w:val="00B330C7"/>
    <w:rsid w:val="00BC700A"/>
    <w:rsid w:val="00CB00DD"/>
    <w:rsid w:val="00CB7F13"/>
    <w:rsid w:val="00D338D3"/>
    <w:rsid w:val="00EB4DA6"/>
    <w:rsid w:val="00FC4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767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67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673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F87D17B-2C5B-42C0-B707-CFBACD823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2021-03-27T12:08:00Z</dcterms:created>
  <dcterms:modified xsi:type="dcterms:W3CDTF">2021-03-27T12:08:00Z</dcterms:modified>
</cp:coreProperties>
</file>