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Pr="00B070B8" w:rsidRDefault="00A87C4D" w:rsidP="00534EC6">
      <w:pPr>
        <w:spacing w:after="0" w:line="480" w:lineRule="auto"/>
        <w:rPr>
          <w:rFonts w:ascii="Times New Roman" w:hAnsi="Times New Roman" w:cs="Times New Roman"/>
          <w:b/>
          <w:sz w:val="24"/>
          <w:szCs w:val="24"/>
          <w:lang w:val="en-US"/>
        </w:rPr>
      </w:pPr>
      <w:r w:rsidRPr="00B070B8">
        <w:rPr>
          <w:rFonts w:ascii="Times New Roman" w:hAnsi="Times New Roman" w:cs="Times New Roman"/>
          <w:b/>
          <w:sz w:val="24"/>
          <w:szCs w:val="24"/>
          <w:lang w:val="en-US"/>
        </w:rPr>
        <w:t xml:space="preserve">Summary </w:t>
      </w:r>
    </w:p>
    <w:p w:rsidR="003036A5" w:rsidRPr="00401106" w:rsidRDefault="00A87C4D" w:rsidP="00534EC6">
      <w:pPr>
        <w:spacing w:after="0" w:line="480" w:lineRule="auto"/>
        <w:ind w:firstLine="720"/>
        <w:rPr>
          <w:rFonts w:ascii="Times New Roman" w:hAnsi="Times New Roman" w:cs="Times New Roman"/>
          <w:sz w:val="24"/>
          <w:szCs w:val="24"/>
          <w:lang w:val="en-US"/>
        </w:rPr>
      </w:pPr>
      <w:r w:rsidRPr="00401106">
        <w:rPr>
          <w:rFonts w:ascii="Times New Roman" w:hAnsi="Times New Roman" w:cs="Times New Roman"/>
          <w:sz w:val="24"/>
          <w:szCs w:val="24"/>
          <w:lang w:val="en-US"/>
        </w:rPr>
        <w:t>Fr</w:t>
      </w:r>
      <w:bookmarkStart w:id="0" w:name="_GoBack"/>
      <w:bookmarkEnd w:id="0"/>
      <w:r w:rsidRPr="00401106">
        <w:rPr>
          <w:rFonts w:ascii="Times New Roman" w:hAnsi="Times New Roman" w:cs="Times New Roman"/>
          <w:sz w:val="24"/>
          <w:szCs w:val="24"/>
          <w:lang w:val="en-US"/>
        </w:rPr>
        <w:t xml:space="preserve">om the discussion, </w:t>
      </w:r>
      <w:r w:rsidR="00401106">
        <w:rPr>
          <w:rFonts w:ascii="Times New Roman" w:hAnsi="Times New Roman" w:cs="Times New Roman"/>
          <w:sz w:val="24"/>
          <w:szCs w:val="24"/>
          <w:lang w:val="en-US"/>
        </w:rPr>
        <w:t xml:space="preserve">it is explicit that </w:t>
      </w:r>
      <w:r w:rsidRPr="00401106">
        <w:rPr>
          <w:rFonts w:ascii="Times New Roman" w:hAnsi="Times New Roman" w:cs="Times New Roman"/>
          <w:sz w:val="24"/>
          <w:szCs w:val="24"/>
          <w:lang w:val="en-US"/>
        </w:rPr>
        <w:t xml:space="preserve">section 41 of the </w:t>
      </w:r>
      <w:r w:rsidR="00A03E4A" w:rsidRPr="00401106">
        <w:rPr>
          <w:rFonts w:ascii="Times New Roman" w:hAnsi="Times New Roman" w:cs="Times New Roman"/>
          <w:sz w:val="24"/>
          <w:szCs w:val="24"/>
          <w:lang w:val="en-US"/>
        </w:rPr>
        <w:t xml:space="preserve">Youth Justice and Criminal Evidence Act 1999 </w:t>
      </w:r>
      <w:r w:rsidR="00407B67" w:rsidRPr="00401106">
        <w:rPr>
          <w:rFonts w:ascii="Times New Roman" w:hAnsi="Times New Roman" w:cs="Times New Roman"/>
          <w:sz w:val="24"/>
          <w:szCs w:val="24"/>
          <w:lang w:val="en-US"/>
        </w:rPr>
        <w:t>offers</w:t>
      </w:r>
      <w:r w:rsidRPr="00401106">
        <w:rPr>
          <w:rFonts w:ascii="Times New Roman" w:hAnsi="Times New Roman" w:cs="Times New Roman"/>
          <w:sz w:val="24"/>
          <w:szCs w:val="24"/>
          <w:lang w:val="en-US"/>
        </w:rPr>
        <w:t xml:space="preserve"> windows that Giorgio can explore to call </w:t>
      </w:r>
      <w:r w:rsidR="000D3551" w:rsidRPr="00401106">
        <w:rPr>
          <w:rFonts w:ascii="Times New Roman" w:hAnsi="Times New Roman" w:cs="Times New Roman"/>
          <w:sz w:val="24"/>
          <w:szCs w:val="24"/>
          <w:lang w:val="en-US"/>
        </w:rPr>
        <w:t>in his</w:t>
      </w:r>
      <w:r w:rsidRPr="00401106">
        <w:rPr>
          <w:rFonts w:ascii="Times New Roman" w:hAnsi="Times New Roman" w:cs="Times New Roman"/>
          <w:sz w:val="24"/>
          <w:szCs w:val="24"/>
          <w:lang w:val="en-US"/>
        </w:rPr>
        <w:t xml:space="preserve"> witness and also cross-examine Bella. </w:t>
      </w:r>
      <w:r w:rsidR="0055774D" w:rsidRPr="00401106">
        <w:rPr>
          <w:rFonts w:ascii="Times New Roman" w:hAnsi="Times New Roman" w:cs="Times New Roman"/>
          <w:sz w:val="24"/>
          <w:szCs w:val="24"/>
          <w:lang w:val="en-US"/>
        </w:rPr>
        <w:t>The relevance of his evidence to the alleged incident of rape will be critical in determining if the court will grant a leave</w:t>
      </w:r>
      <w:r>
        <w:rPr>
          <w:rStyle w:val="FootnoteReference"/>
          <w:rFonts w:ascii="Times New Roman" w:hAnsi="Times New Roman" w:cs="Times New Roman"/>
          <w:sz w:val="24"/>
          <w:szCs w:val="24"/>
          <w:lang w:val="en-US"/>
        </w:rPr>
        <w:footnoteReference w:id="1"/>
      </w:r>
      <w:r w:rsidR="00534EC6">
        <w:rPr>
          <w:rFonts w:ascii="Times New Roman" w:hAnsi="Times New Roman" w:cs="Times New Roman"/>
          <w:sz w:val="24"/>
          <w:szCs w:val="24"/>
          <w:lang w:val="en-US"/>
        </w:rPr>
        <w:t>.</w:t>
      </w:r>
      <w:r w:rsidR="0055774D" w:rsidRPr="00401106">
        <w:rPr>
          <w:rFonts w:ascii="Times New Roman" w:hAnsi="Times New Roman" w:cs="Times New Roman"/>
          <w:sz w:val="24"/>
          <w:szCs w:val="24"/>
          <w:lang w:val="en-US"/>
        </w:rPr>
        <w:t xml:space="preserve"> Also, </w:t>
      </w:r>
      <w:r w:rsidR="000D3551" w:rsidRPr="00401106">
        <w:rPr>
          <w:rFonts w:ascii="Times New Roman" w:hAnsi="Times New Roman" w:cs="Times New Roman"/>
          <w:sz w:val="24"/>
          <w:szCs w:val="24"/>
          <w:lang w:val="en-US"/>
        </w:rPr>
        <w:t>the</w:t>
      </w:r>
      <w:r w:rsidR="00A03E4A" w:rsidRPr="00401106">
        <w:rPr>
          <w:rFonts w:ascii="Times New Roman" w:hAnsi="Times New Roman" w:cs="Times New Roman"/>
          <w:sz w:val="24"/>
          <w:szCs w:val="24"/>
          <w:lang w:val="en-US"/>
        </w:rPr>
        <w:t xml:space="preserve"> defendant</w:t>
      </w:r>
      <w:r w:rsidR="003121F4" w:rsidRPr="00401106">
        <w:rPr>
          <w:rFonts w:ascii="Times New Roman" w:hAnsi="Times New Roman" w:cs="Times New Roman"/>
          <w:sz w:val="24"/>
          <w:szCs w:val="24"/>
          <w:lang w:val="en-US"/>
        </w:rPr>
        <w:t xml:space="preserve"> enjoys the protection </w:t>
      </w:r>
      <w:r w:rsidR="005A701E" w:rsidRPr="00401106">
        <w:rPr>
          <w:rFonts w:ascii="Times New Roman" w:hAnsi="Times New Roman" w:cs="Times New Roman"/>
          <w:sz w:val="24"/>
          <w:szCs w:val="24"/>
          <w:lang w:val="en-US"/>
        </w:rPr>
        <w:t>of Article</w:t>
      </w:r>
      <w:r w:rsidR="00A03E4A" w:rsidRPr="00401106">
        <w:rPr>
          <w:rFonts w:ascii="Times New Roman" w:hAnsi="Times New Roman" w:cs="Times New Roman"/>
          <w:sz w:val="24"/>
          <w:szCs w:val="24"/>
          <w:lang w:val="en-US"/>
        </w:rPr>
        <w:t xml:space="preserve"> 6</w:t>
      </w:r>
      <w:r w:rsidR="003121F4" w:rsidRPr="00401106">
        <w:rPr>
          <w:rFonts w:ascii="Times New Roman" w:hAnsi="Times New Roman" w:cs="Times New Roman"/>
          <w:sz w:val="24"/>
          <w:szCs w:val="24"/>
        </w:rPr>
        <w:t xml:space="preserve"> </w:t>
      </w:r>
      <w:r w:rsidR="003121F4" w:rsidRPr="00401106">
        <w:rPr>
          <w:rFonts w:ascii="Times New Roman" w:hAnsi="Times New Roman" w:cs="Times New Roman"/>
          <w:sz w:val="24"/>
          <w:szCs w:val="24"/>
          <w:lang w:val="en-US"/>
        </w:rPr>
        <w:t>of the Human Rights Act 1998, which provides for the r</w:t>
      </w:r>
      <w:r w:rsidR="00A03E4A" w:rsidRPr="00401106">
        <w:rPr>
          <w:rFonts w:ascii="Times New Roman" w:hAnsi="Times New Roman" w:cs="Times New Roman"/>
          <w:sz w:val="24"/>
          <w:szCs w:val="24"/>
          <w:lang w:val="en-US"/>
        </w:rPr>
        <w:t>ight to a fair trial</w:t>
      </w:r>
      <w:r w:rsidR="00E012AD" w:rsidRPr="00401106">
        <w:rPr>
          <w:rFonts w:ascii="Times New Roman" w:hAnsi="Times New Roman" w:cs="Times New Roman"/>
          <w:sz w:val="24"/>
          <w:szCs w:val="24"/>
          <w:lang w:val="en-US"/>
        </w:rPr>
        <w:t xml:space="preserve">. </w:t>
      </w:r>
      <w:r w:rsidR="00090169" w:rsidRPr="00401106">
        <w:rPr>
          <w:rFonts w:ascii="Times New Roman" w:hAnsi="Times New Roman" w:cs="Times New Roman"/>
          <w:sz w:val="24"/>
          <w:szCs w:val="24"/>
          <w:lang w:val="en-US"/>
        </w:rPr>
        <w:t xml:space="preserve">If the evidence is compelling and likely to influence the decision of the court on whether there was consent or not, it ought to be </w:t>
      </w:r>
      <w:r w:rsidR="00EB481A" w:rsidRPr="00401106">
        <w:rPr>
          <w:rFonts w:ascii="Times New Roman" w:hAnsi="Times New Roman" w:cs="Times New Roman"/>
          <w:sz w:val="24"/>
          <w:szCs w:val="24"/>
          <w:lang w:val="en-US"/>
        </w:rPr>
        <w:t>admitted by the court. This is meant to avoid the risk of a successful appeal by the defendant on the ground of an unfair trial</w:t>
      </w:r>
      <w:r>
        <w:rPr>
          <w:rStyle w:val="FootnoteReference"/>
          <w:rFonts w:ascii="Times New Roman" w:hAnsi="Times New Roman" w:cs="Times New Roman"/>
          <w:sz w:val="24"/>
          <w:szCs w:val="24"/>
          <w:lang w:val="en-US"/>
        </w:rPr>
        <w:footnoteReference w:id="2"/>
      </w:r>
      <w:r w:rsidR="00090169" w:rsidRPr="00401106">
        <w:rPr>
          <w:rFonts w:ascii="Times New Roman" w:hAnsi="Times New Roman" w:cs="Times New Roman"/>
          <w:sz w:val="24"/>
          <w:szCs w:val="24"/>
          <w:lang w:val="en-US"/>
        </w:rPr>
        <w:t>.</w:t>
      </w:r>
      <w:r w:rsidRPr="00401106">
        <w:rPr>
          <w:rFonts w:ascii="Times New Roman" w:hAnsi="Times New Roman" w:cs="Times New Roman"/>
          <w:sz w:val="24"/>
          <w:szCs w:val="24"/>
          <w:lang w:val="en-US"/>
        </w:rPr>
        <w:t xml:space="preserve"> The s41 YJCEA 1999 is not absolute; hence </w:t>
      </w:r>
      <w:r w:rsidR="00B87222" w:rsidRPr="00401106">
        <w:rPr>
          <w:rFonts w:ascii="Times New Roman" w:hAnsi="Times New Roman" w:cs="Times New Roman"/>
          <w:sz w:val="24"/>
          <w:szCs w:val="24"/>
          <w:lang w:val="en-US"/>
        </w:rPr>
        <w:t>it is</w:t>
      </w:r>
      <w:r w:rsidRPr="00401106">
        <w:rPr>
          <w:rFonts w:ascii="Times New Roman" w:hAnsi="Times New Roman" w:cs="Times New Roman"/>
          <w:sz w:val="24"/>
          <w:szCs w:val="24"/>
          <w:lang w:val="en-US"/>
        </w:rPr>
        <w:t xml:space="preserve"> subject to the </w:t>
      </w:r>
      <w:r w:rsidR="00A352B4" w:rsidRPr="00401106">
        <w:rPr>
          <w:rFonts w:ascii="Times New Roman" w:hAnsi="Times New Roman" w:cs="Times New Roman"/>
          <w:sz w:val="24"/>
          <w:szCs w:val="24"/>
          <w:lang w:val="en-US"/>
        </w:rPr>
        <w:t>operation of</w:t>
      </w:r>
      <w:r w:rsidRPr="00401106">
        <w:rPr>
          <w:rFonts w:ascii="Times New Roman" w:hAnsi="Times New Roman" w:cs="Times New Roman"/>
          <w:sz w:val="24"/>
          <w:szCs w:val="24"/>
          <w:lang w:val="en-US"/>
        </w:rPr>
        <w:t xml:space="preserve"> Article 6 of the Human Rights Act 1998</w:t>
      </w:r>
      <w:r>
        <w:rPr>
          <w:rStyle w:val="FootnoteReference"/>
          <w:rFonts w:ascii="Times New Roman" w:hAnsi="Times New Roman" w:cs="Times New Roman"/>
          <w:sz w:val="24"/>
          <w:szCs w:val="24"/>
          <w:lang w:val="en-US"/>
        </w:rPr>
        <w:footnoteReference w:id="3"/>
      </w:r>
      <w:r w:rsidRPr="00401106">
        <w:rPr>
          <w:rFonts w:ascii="Times New Roman" w:hAnsi="Times New Roman" w:cs="Times New Roman"/>
          <w:sz w:val="24"/>
          <w:szCs w:val="24"/>
          <w:lang w:val="en-US"/>
        </w:rPr>
        <w:t>.</w:t>
      </w:r>
      <w:r w:rsidR="0077502B" w:rsidRPr="00401106">
        <w:rPr>
          <w:rFonts w:ascii="Times New Roman" w:hAnsi="Times New Roman" w:cs="Times New Roman"/>
          <w:sz w:val="24"/>
          <w:szCs w:val="24"/>
          <w:lang w:val="en-US"/>
        </w:rPr>
        <w:t xml:space="preserve"> </w:t>
      </w:r>
      <w:r w:rsidR="00B83C3A" w:rsidRPr="00401106">
        <w:rPr>
          <w:rFonts w:ascii="Times New Roman" w:hAnsi="Times New Roman" w:cs="Times New Roman"/>
          <w:sz w:val="24"/>
          <w:szCs w:val="24"/>
          <w:lang w:val="en-US"/>
        </w:rPr>
        <w:t xml:space="preserve">How courts interpret </w:t>
      </w:r>
      <w:r w:rsidR="00B31A07" w:rsidRPr="00401106">
        <w:rPr>
          <w:rFonts w:ascii="Times New Roman" w:hAnsi="Times New Roman" w:cs="Times New Roman"/>
          <w:sz w:val="24"/>
          <w:szCs w:val="24"/>
          <w:lang w:val="en-US"/>
        </w:rPr>
        <w:t xml:space="preserve">s41 YJCEA is central to determining how witnesses, evidence, and cross-examination relating to sexual offences can be managed in a court of law by the defence team. The section determines if the evidence relating to the previous sexual life or activities of the complainant can be used to further the interests of the defendant. </w:t>
      </w:r>
      <w:r w:rsidR="000D3551" w:rsidRPr="00401106">
        <w:rPr>
          <w:rFonts w:ascii="Times New Roman" w:hAnsi="Times New Roman" w:cs="Times New Roman"/>
          <w:sz w:val="24"/>
          <w:szCs w:val="24"/>
          <w:lang w:val="en-US"/>
        </w:rPr>
        <w:t xml:space="preserve"> However, in determining this, the court examines if the evidence in question is relevant and if cross-examination of</w:t>
      </w:r>
      <w:r w:rsidR="00B87222" w:rsidRPr="00401106">
        <w:rPr>
          <w:rFonts w:ascii="Times New Roman" w:hAnsi="Times New Roman" w:cs="Times New Roman"/>
          <w:sz w:val="24"/>
          <w:szCs w:val="24"/>
          <w:lang w:val="en-US"/>
        </w:rPr>
        <w:t xml:space="preserve"> the witness is necessary</w:t>
      </w:r>
      <w:r>
        <w:rPr>
          <w:rStyle w:val="FootnoteReference"/>
          <w:rFonts w:ascii="Times New Roman" w:hAnsi="Times New Roman" w:cs="Times New Roman"/>
          <w:sz w:val="24"/>
          <w:szCs w:val="24"/>
          <w:lang w:val="en-US"/>
        </w:rPr>
        <w:footnoteReference w:id="4"/>
      </w:r>
      <w:r w:rsidR="00B87222" w:rsidRPr="00401106">
        <w:rPr>
          <w:rFonts w:ascii="Times New Roman" w:hAnsi="Times New Roman" w:cs="Times New Roman"/>
          <w:sz w:val="24"/>
          <w:szCs w:val="24"/>
          <w:lang w:val="en-US"/>
        </w:rPr>
        <w:t xml:space="preserve">. This happens while </w:t>
      </w:r>
      <w:r w:rsidR="000F5ECF" w:rsidRPr="00401106">
        <w:rPr>
          <w:rFonts w:ascii="Times New Roman" w:hAnsi="Times New Roman" w:cs="Times New Roman"/>
          <w:sz w:val="24"/>
          <w:szCs w:val="24"/>
          <w:lang w:val="en-US"/>
        </w:rPr>
        <w:t>the courts</w:t>
      </w:r>
      <w:r w:rsidR="00B87222" w:rsidRPr="00401106">
        <w:rPr>
          <w:rFonts w:ascii="Times New Roman" w:hAnsi="Times New Roman" w:cs="Times New Roman"/>
          <w:sz w:val="24"/>
          <w:szCs w:val="24"/>
          <w:lang w:val="en-US"/>
        </w:rPr>
        <w:t xml:space="preserve"> take </w:t>
      </w:r>
      <w:r w:rsidR="000D3551" w:rsidRPr="00401106">
        <w:rPr>
          <w:rFonts w:ascii="Times New Roman" w:hAnsi="Times New Roman" w:cs="Times New Roman"/>
          <w:sz w:val="24"/>
          <w:szCs w:val="24"/>
          <w:lang w:val="en-US"/>
        </w:rPr>
        <w:t>into account the need to protect the complainant from harassment by the defendant</w:t>
      </w:r>
      <w:r w:rsidR="00B87222" w:rsidRPr="00401106">
        <w:rPr>
          <w:rFonts w:ascii="Times New Roman" w:hAnsi="Times New Roman" w:cs="Times New Roman"/>
          <w:sz w:val="24"/>
          <w:szCs w:val="24"/>
          <w:lang w:val="en-US"/>
        </w:rPr>
        <w:t xml:space="preserve"> while at the same time ensuring that the trial is fair</w:t>
      </w:r>
      <w:r>
        <w:rPr>
          <w:rStyle w:val="FootnoteReference"/>
          <w:rFonts w:ascii="Times New Roman" w:hAnsi="Times New Roman" w:cs="Times New Roman"/>
          <w:sz w:val="24"/>
          <w:szCs w:val="24"/>
          <w:lang w:val="en-US"/>
        </w:rPr>
        <w:footnoteReference w:id="5"/>
      </w:r>
      <w:r w:rsidR="000D3551" w:rsidRPr="00401106">
        <w:rPr>
          <w:rFonts w:ascii="Times New Roman" w:hAnsi="Times New Roman" w:cs="Times New Roman"/>
          <w:sz w:val="24"/>
          <w:szCs w:val="24"/>
          <w:lang w:val="en-US"/>
        </w:rPr>
        <w:t xml:space="preserve">. </w:t>
      </w:r>
    </w:p>
    <w:sectPr w:rsidR="003036A5" w:rsidRPr="00401106" w:rsidSect="00AA26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C4D" w:rsidRDefault="00A87C4D" w:rsidP="00AA26A5">
      <w:pPr>
        <w:spacing w:after="0" w:line="240" w:lineRule="auto"/>
      </w:pPr>
      <w:r>
        <w:separator/>
      </w:r>
    </w:p>
  </w:endnote>
  <w:endnote w:type="continuationSeparator" w:id="0">
    <w:p w:rsidR="00A87C4D" w:rsidRDefault="00A87C4D" w:rsidP="00AA2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C4D" w:rsidRDefault="00A87C4D" w:rsidP="0055774D">
      <w:pPr>
        <w:spacing w:after="0" w:line="240" w:lineRule="auto"/>
      </w:pPr>
      <w:r>
        <w:separator/>
      </w:r>
    </w:p>
  </w:footnote>
  <w:footnote w:type="continuationSeparator" w:id="0">
    <w:p w:rsidR="00A87C4D" w:rsidRDefault="00A87C4D" w:rsidP="0055774D">
      <w:pPr>
        <w:spacing w:after="0" w:line="240" w:lineRule="auto"/>
      </w:pPr>
      <w:r>
        <w:continuationSeparator/>
      </w:r>
    </w:p>
  </w:footnote>
  <w:footnote w:id="1">
    <w:p w:rsidR="0055774D" w:rsidRPr="00534EC6" w:rsidRDefault="00A87C4D">
      <w:pPr>
        <w:pStyle w:val="FootnoteText"/>
        <w:rPr>
          <w:sz w:val="16"/>
          <w:szCs w:val="16"/>
          <w:lang w:val="en-US"/>
        </w:rPr>
      </w:pPr>
      <w:r w:rsidRPr="00534EC6">
        <w:rPr>
          <w:rStyle w:val="FootnoteReference"/>
          <w:sz w:val="16"/>
          <w:szCs w:val="16"/>
        </w:rPr>
        <w:footnoteRef/>
      </w:r>
      <w:r w:rsidRPr="00534EC6">
        <w:rPr>
          <w:sz w:val="16"/>
          <w:szCs w:val="16"/>
        </w:rPr>
        <w:t xml:space="preserve"> </w:t>
      </w:r>
      <w:r w:rsidRPr="00534EC6">
        <w:rPr>
          <w:sz w:val="16"/>
          <w:szCs w:val="16"/>
        </w:rPr>
        <w:t>Bahador, Regina v: CACD (2005)</w:t>
      </w:r>
      <w:r w:rsidR="00FA451C" w:rsidRPr="00534EC6">
        <w:rPr>
          <w:sz w:val="16"/>
          <w:szCs w:val="16"/>
        </w:rPr>
        <w:t>.</w:t>
      </w:r>
    </w:p>
  </w:footnote>
  <w:footnote w:id="2">
    <w:p w:rsidR="009A03BF" w:rsidRPr="00534EC6" w:rsidRDefault="00A87C4D">
      <w:pPr>
        <w:pStyle w:val="FootnoteText"/>
        <w:rPr>
          <w:sz w:val="16"/>
          <w:szCs w:val="16"/>
          <w:lang w:val="en-US"/>
        </w:rPr>
      </w:pPr>
      <w:r w:rsidRPr="00534EC6">
        <w:rPr>
          <w:rStyle w:val="FootnoteReference"/>
          <w:sz w:val="16"/>
          <w:szCs w:val="16"/>
        </w:rPr>
        <w:footnoteRef/>
      </w:r>
      <w:r w:rsidRPr="00534EC6">
        <w:rPr>
          <w:sz w:val="16"/>
          <w:szCs w:val="16"/>
        </w:rPr>
        <w:t xml:space="preserve"> </w:t>
      </w:r>
      <w:r w:rsidRPr="00534EC6">
        <w:rPr>
          <w:sz w:val="16"/>
          <w:szCs w:val="16"/>
          <w:lang w:val="en-US"/>
        </w:rPr>
        <w:t xml:space="preserve">Ibid. </w:t>
      </w:r>
    </w:p>
  </w:footnote>
  <w:footnote w:id="3">
    <w:p w:rsidR="00FA451C" w:rsidRPr="00534EC6" w:rsidRDefault="00A87C4D">
      <w:pPr>
        <w:pStyle w:val="FootnoteText"/>
        <w:rPr>
          <w:sz w:val="16"/>
          <w:szCs w:val="16"/>
          <w:lang w:val="en-US"/>
        </w:rPr>
      </w:pPr>
      <w:r w:rsidRPr="00534EC6">
        <w:rPr>
          <w:rStyle w:val="FootnoteReference"/>
          <w:sz w:val="16"/>
          <w:szCs w:val="16"/>
        </w:rPr>
        <w:footnoteRef/>
      </w:r>
      <w:r w:rsidRPr="00534EC6">
        <w:rPr>
          <w:sz w:val="16"/>
          <w:szCs w:val="16"/>
        </w:rPr>
        <w:t xml:space="preserve"> </w:t>
      </w:r>
      <w:r w:rsidRPr="00534EC6">
        <w:rPr>
          <w:sz w:val="16"/>
          <w:szCs w:val="16"/>
        </w:rPr>
        <w:t>s41</w:t>
      </w:r>
      <w:r w:rsidRPr="00534EC6">
        <w:rPr>
          <w:sz w:val="16"/>
          <w:szCs w:val="16"/>
        </w:rPr>
        <w:t xml:space="preserve"> YJCEA 1999</w:t>
      </w:r>
      <w:r w:rsidRPr="00534EC6">
        <w:rPr>
          <w:sz w:val="16"/>
          <w:szCs w:val="16"/>
        </w:rPr>
        <w:t>.</w:t>
      </w:r>
    </w:p>
  </w:footnote>
  <w:footnote w:id="4">
    <w:p w:rsidR="000F5ECF" w:rsidRPr="00534EC6" w:rsidRDefault="00A87C4D">
      <w:pPr>
        <w:pStyle w:val="FootnoteText"/>
        <w:rPr>
          <w:sz w:val="16"/>
          <w:szCs w:val="16"/>
          <w:lang w:val="en-US"/>
        </w:rPr>
      </w:pPr>
      <w:r w:rsidRPr="00534EC6">
        <w:rPr>
          <w:rStyle w:val="FootnoteReference"/>
          <w:sz w:val="16"/>
          <w:szCs w:val="16"/>
        </w:rPr>
        <w:footnoteRef/>
      </w:r>
      <w:r w:rsidRPr="00534EC6">
        <w:rPr>
          <w:sz w:val="16"/>
          <w:szCs w:val="16"/>
        </w:rPr>
        <w:t xml:space="preserve"> </w:t>
      </w:r>
      <w:r w:rsidRPr="00534EC6">
        <w:rPr>
          <w:sz w:val="16"/>
          <w:szCs w:val="16"/>
        </w:rPr>
        <w:t>R v VA [2016] EWCA Crim 1434.</w:t>
      </w:r>
    </w:p>
  </w:footnote>
  <w:footnote w:id="5">
    <w:p w:rsidR="005A701E" w:rsidRPr="00534EC6" w:rsidRDefault="00A87C4D">
      <w:pPr>
        <w:pStyle w:val="FootnoteText"/>
        <w:rPr>
          <w:sz w:val="16"/>
          <w:szCs w:val="16"/>
          <w:lang w:val="en-US"/>
        </w:rPr>
      </w:pPr>
      <w:r w:rsidRPr="00534EC6">
        <w:rPr>
          <w:rStyle w:val="FootnoteReference"/>
          <w:sz w:val="16"/>
          <w:szCs w:val="16"/>
        </w:rPr>
        <w:footnoteRef/>
      </w:r>
      <w:r w:rsidRPr="00534EC6">
        <w:rPr>
          <w:sz w:val="16"/>
          <w:szCs w:val="16"/>
        </w:rPr>
        <w:t xml:space="preserve"> </w:t>
      </w:r>
      <w:r w:rsidRPr="00534EC6">
        <w:rPr>
          <w:sz w:val="16"/>
          <w:szCs w:val="16"/>
        </w:rPr>
        <w:t>Article 6 of the Human Rights Act 1998</w:t>
      </w:r>
      <w:r w:rsidR="00F30D61" w:rsidRPr="00534EC6">
        <w:rPr>
          <w:sz w:val="16"/>
          <w:szCs w:val="16"/>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B7653"/>
    <w:rsid w:val="00090169"/>
    <w:rsid w:val="000B7653"/>
    <w:rsid w:val="000D3551"/>
    <w:rsid w:val="000F5ECF"/>
    <w:rsid w:val="00193EFA"/>
    <w:rsid w:val="001E628F"/>
    <w:rsid w:val="003036A5"/>
    <w:rsid w:val="003121F4"/>
    <w:rsid w:val="003E67C0"/>
    <w:rsid w:val="00401106"/>
    <w:rsid w:val="00407B67"/>
    <w:rsid w:val="004527F0"/>
    <w:rsid w:val="0048480F"/>
    <w:rsid w:val="00534EC6"/>
    <w:rsid w:val="00557297"/>
    <w:rsid w:val="0055774D"/>
    <w:rsid w:val="00575289"/>
    <w:rsid w:val="005A701E"/>
    <w:rsid w:val="00613FBF"/>
    <w:rsid w:val="00645DD3"/>
    <w:rsid w:val="00740337"/>
    <w:rsid w:val="0077502B"/>
    <w:rsid w:val="008D370E"/>
    <w:rsid w:val="009A03BF"/>
    <w:rsid w:val="00A03E4A"/>
    <w:rsid w:val="00A352B4"/>
    <w:rsid w:val="00A513FF"/>
    <w:rsid w:val="00A87C4D"/>
    <w:rsid w:val="00AA26A5"/>
    <w:rsid w:val="00AF5F84"/>
    <w:rsid w:val="00B070B8"/>
    <w:rsid w:val="00B31A07"/>
    <w:rsid w:val="00B83C3A"/>
    <w:rsid w:val="00B87222"/>
    <w:rsid w:val="00C45B5F"/>
    <w:rsid w:val="00E012AD"/>
    <w:rsid w:val="00EB481A"/>
    <w:rsid w:val="00F30D61"/>
    <w:rsid w:val="00FA4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57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774D"/>
    <w:rPr>
      <w:sz w:val="20"/>
      <w:szCs w:val="20"/>
    </w:rPr>
  </w:style>
  <w:style w:type="character" w:styleId="FootnoteReference">
    <w:name w:val="footnote reference"/>
    <w:basedOn w:val="DefaultParagraphFont"/>
    <w:uiPriority w:val="99"/>
    <w:semiHidden/>
    <w:unhideWhenUsed/>
    <w:rsid w:val="0055774D"/>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1BADA4-BE9F-47A0-B4A0-696B07DA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2021-03-27T12:09:00Z</dcterms:created>
  <dcterms:modified xsi:type="dcterms:W3CDTF">2021-03-27T12:09:00Z</dcterms:modified>
</cp:coreProperties>
</file>