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F476F68">
      <w:pPr>
        <w:pStyle w:val="4"/>
        <w:keepNext w:val="0"/>
        <w:keepLines w:val="0"/>
        <w:widowControl/>
        <w:suppressLineNumbers w:val="0"/>
      </w:pPr>
      <w:r>
        <w:t>财政部 税务总局 科技部关于企业委托境外研究开发费用税前加计扣除有关政策问题的通知</w:t>
      </w:r>
    </w:p>
    <w:p w14:paraId="2374F6D6">
      <w:pPr>
        <w:pStyle w:val="6"/>
        <w:keepNext w:val="0"/>
        <w:keepLines w:val="0"/>
        <w:widowControl/>
        <w:suppressLineNumbers w:val="0"/>
        <w:spacing w:before="225" w:beforeAutospacing="0" w:after="225" w:afterAutospacing="0"/>
        <w:jc w:val="center"/>
        <w:rPr>
          <w:color w:val="000000"/>
          <w:sz w:val="28"/>
          <w:szCs w:val="28"/>
        </w:rPr>
      </w:pPr>
      <w:r>
        <w:rPr>
          <w:color w:val="000000"/>
          <w:sz w:val="28"/>
          <w:szCs w:val="28"/>
        </w:rPr>
        <w:t>财税〔2018〕64号</w:t>
      </w:r>
    </w:p>
    <w:p w14:paraId="66730AA7">
      <w:pPr>
        <w:pStyle w:val="6"/>
        <w:keepNext w:val="0"/>
        <w:keepLines w:val="0"/>
        <w:widowControl/>
        <w:suppressLineNumbers w:val="0"/>
        <w:spacing w:before="225" w:beforeAutospacing="0" w:after="225" w:afterAutospacing="0"/>
        <w:jc w:val="center"/>
        <w:rPr>
          <w:color w:val="000000"/>
          <w:sz w:val="28"/>
          <w:szCs w:val="28"/>
        </w:rPr>
      </w:pPr>
      <w:r>
        <w:rPr>
          <w:rFonts w:hint="eastAsia" w:ascii="微软雅黑" w:hAnsi="微软雅黑" w:eastAsia="微软雅黑" w:cs="微软雅黑"/>
          <w:vanish/>
          <w:color w:val="333333"/>
          <w:sz w:val="28"/>
          <w:szCs w:val="28"/>
        </w:rPr>
        <w:t>（）</w:t>
      </w:r>
    </w:p>
    <w:p w14:paraId="0E39700C">
      <w:pPr>
        <w:pStyle w:val="11"/>
        <w:keepNext w:val="0"/>
        <w:keepLines w:val="0"/>
        <w:widowControl/>
        <w:suppressLineNumbers w:val="0"/>
        <w:spacing w:before="0" w:beforeAutospacing="1" w:after="0" w:afterAutospacing="1"/>
        <w:ind w:left="0" w:right="0"/>
        <w:jc w:val="left"/>
        <w:rPr>
          <w:rFonts w:hint="eastAsia" w:ascii="微软雅黑" w:hAnsi="微软雅黑" w:eastAsia="微软雅黑" w:cs="微软雅黑"/>
          <w:vanish/>
          <w:color w:val="333333"/>
          <w:sz w:val="27"/>
          <w:szCs w:val="27"/>
        </w:rPr>
      </w:pPr>
      <w:r>
        <w:rPr>
          <w:rFonts w:hint="eastAsia" w:ascii="微软雅黑" w:hAnsi="微软雅黑" w:eastAsia="微软雅黑" w:cs="微软雅黑"/>
          <w:vanish/>
          <w:color w:val="333333"/>
          <w:sz w:val="27"/>
          <w:szCs w:val="27"/>
        </w:rPr>
        <w:t>字体：</w:t>
      </w:r>
      <w:r>
        <w:rPr>
          <w:vanish/>
        </w:rPr>
        <w:t>【大】【中】【小】</w:t>
      </w:r>
    </w:p>
    <w:p w14:paraId="44AE4112">
      <w:pPr>
        <w:pStyle w:val="23"/>
        <w:keepNext w:val="0"/>
        <w:keepLines w:val="0"/>
        <w:widowControl/>
        <w:suppressLineNumbers w:val="0"/>
        <w:spacing w:before="0" w:beforeAutospacing="1" w:after="0" w:afterAutospacing="1"/>
        <w:ind w:left="150" w:right="0"/>
        <w:jc w:val="left"/>
        <w:rPr>
          <w:rFonts w:hint="eastAsia" w:ascii="微软雅黑" w:hAnsi="微软雅黑" w:eastAsia="微软雅黑" w:cs="微软雅黑"/>
          <w:color w:val="333333"/>
          <w:sz w:val="27"/>
          <w:szCs w:val="27"/>
        </w:rPr>
      </w:pPr>
      <w:r>
        <w:t>分享到：</w:t>
      </w:r>
    </w:p>
    <w:p w14:paraId="79E06C68">
      <w:pPr>
        <w:keepNext w:val="0"/>
        <w:keepLines w:val="0"/>
        <w:widowControl/>
        <w:suppressLineNumbers w:val="0"/>
        <w:spacing w:before="30" w:beforeAutospacing="0"/>
        <w:jc w:val="left"/>
      </w:pPr>
      <w:r>
        <w:rPr>
          <w:rFonts w:ascii="宋体" w:hAnsi="宋体" w:eastAsia="宋体" w:cs="宋体"/>
          <w:sz w:val="24"/>
          <w:szCs w:val="24"/>
        </w:rPr>
        <w:fldChar w:fldCharType="begin"/>
      </w:r>
      <w:r>
        <w:rPr>
          <w:rFonts w:ascii="宋体" w:hAnsi="宋体" w:eastAsia="宋体" w:cs="宋体"/>
          <w:sz w:val="24"/>
          <w:szCs w:val="24"/>
        </w:rPr>
        <w:instrText xml:space="preserve"> HYPERLINK "javascript:;" </w:instrText>
      </w:r>
      <w:r>
        <w:rPr>
          <w:rFonts w:ascii="宋体" w:hAnsi="宋体" w:eastAsia="宋体" w:cs="宋体"/>
          <w:sz w:val="24"/>
          <w:szCs w:val="24"/>
        </w:rPr>
        <w:fldChar w:fldCharType="separate"/>
      </w:r>
    </w:p>
    <w:p w14:paraId="1AD09463">
      <w:pPr>
        <w:pStyle w:val="5"/>
        <w:keepNext w:val="0"/>
        <w:keepLines w:val="0"/>
        <w:widowControl/>
        <w:suppressLineNumbers w:val="0"/>
        <w:spacing w:before="30" w:beforeAutospacing="0"/>
        <w:jc w:val="left"/>
        <w:rPr>
          <w:vanish/>
        </w:rPr>
      </w:pPr>
      <w:r>
        <w:rPr>
          <w:rStyle w:val="14"/>
          <w:vanish/>
        </w:rPr>
        <w:t>微信扫一扫：分享</w:t>
      </w:r>
    </w:p>
    <w:p w14:paraId="52727934">
      <w:pPr>
        <w:keepNext w:val="0"/>
        <w:keepLines w:val="0"/>
        <w:widowControl/>
        <w:suppressLineNumbers w:val="0"/>
        <w:spacing w:before="30" w:beforeAutospacing="0"/>
        <w:jc w:val="left"/>
        <w:rPr>
          <w:vanish/>
        </w:rPr>
      </w:pPr>
      <w:r>
        <w:rPr>
          <w:rStyle w:val="14"/>
          <w:rFonts w:ascii="宋体" w:hAnsi="宋体" w:eastAsia="宋体" w:cs="宋体"/>
          <w:vanish/>
          <w:sz w:val="24"/>
          <w:szCs w:val="24"/>
        </w:rPr>
        <w:drawing>
          <wp:inline distT="0" distB="0" distL="114300" distR="114300">
            <wp:extent cx="952500" cy="95250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
                    <a:stretch>
                      <a:fillRect/>
                    </a:stretch>
                  </pic:blipFill>
                  <pic:spPr>
                    <a:xfrm>
                      <a:off x="0" y="0"/>
                      <a:ext cx="952500" cy="952500"/>
                    </a:xfrm>
                    <a:prstGeom prst="rect">
                      <a:avLst/>
                    </a:prstGeom>
                    <a:noFill/>
                    <a:ln w="9525">
                      <a:noFill/>
                    </a:ln>
                  </pic:spPr>
                </pic:pic>
              </a:graphicData>
            </a:graphic>
          </wp:inline>
        </w:drawing>
      </w:r>
    </w:p>
    <w:p w14:paraId="59313EB4">
      <w:pPr>
        <w:pStyle w:val="11"/>
        <w:keepNext w:val="0"/>
        <w:keepLines w:val="0"/>
        <w:widowControl/>
        <w:suppressLineNumbers w:val="0"/>
        <w:spacing w:before="30" w:beforeAutospacing="0"/>
        <w:jc w:val="left"/>
        <w:rPr>
          <w:vanish/>
        </w:rPr>
      </w:pPr>
      <w:r>
        <w:rPr>
          <w:rStyle w:val="14"/>
          <w:vanish/>
        </w:rPr>
        <w:t>扫一扫，分享给好友或朋友圈</w:t>
      </w:r>
    </w:p>
    <w:p w14:paraId="09501720">
      <w:pPr>
        <w:keepNext w:val="0"/>
        <w:keepLines w:val="0"/>
        <w:widowControl/>
        <w:suppressLineNumbers w:val="0"/>
        <w:spacing w:before="30" w:beforeAutospacing="0"/>
        <w:jc w:val="left"/>
      </w:pPr>
      <w:r>
        <w:rPr>
          <w:rFonts w:ascii="宋体" w:hAnsi="宋体" w:eastAsia="宋体" w:cs="宋体"/>
          <w:sz w:val="24"/>
          <w:szCs w:val="24"/>
        </w:rPr>
        <w:fldChar w:fldCharType="end"/>
      </w:r>
      <w:r>
        <w:rPr>
          <w:rFonts w:ascii="宋体" w:hAnsi="宋体" w:eastAsia="宋体" w:cs="宋体"/>
          <w:sz w:val="24"/>
          <w:szCs w:val="24"/>
        </w:rPr>
        <w:fldChar w:fldCharType="begin"/>
      </w:r>
      <w:r>
        <w:rPr>
          <w:rFonts w:ascii="宋体" w:hAnsi="宋体" w:eastAsia="宋体" w:cs="宋体"/>
          <w:sz w:val="24"/>
          <w:szCs w:val="24"/>
        </w:rPr>
        <w:instrText xml:space="preserve"> HYPERLINK "https://service.weibo.com/share/share.php?url=https://fgk.chinatax.gov.cn/zcfgk/c102416/c5202434/content.html&amp;title=%E5%9B%BD%E5%AE%B6%E7%A8%8E%E5%8A%A1%E6%80%BB%E5%B1%80%E6%94%BF%E7%AD%96%E6%B3%95%E8%A7%84%E5%BA%93&amp;pic=https://fgk.chinatax.gov.cn/zcfgk/xhtml/images/ENbox_sy.png&amp;appkey=" \t "_blank" </w:instrText>
      </w:r>
      <w:r>
        <w:rPr>
          <w:rFonts w:ascii="宋体" w:hAnsi="宋体" w:eastAsia="宋体" w:cs="宋体"/>
          <w:sz w:val="24"/>
          <w:szCs w:val="24"/>
        </w:rPr>
        <w:fldChar w:fldCharType="separate"/>
      </w:r>
      <w:r>
        <w:rPr>
          <w:rFonts w:ascii="宋体" w:hAnsi="宋体" w:eastAsia="宋体" w:cs="宋体"/>
          <w:sz w:val="24"/>
          <w:szCs w:val="24"/>
        </w:rPr>
        <w:fldChar w:fldCharType="end"/>
      </w:r>
    </w:p>
    <w:p w14:paraId="5B9B03DD">
      <w:pPr>
        <w:pStyle w:val="11"/>
        <w:keepNext w:val="0"/>
        <w:keepLines w:val="0"/>
        <w:widowControl/>
        <w:suppressLineNumbers w:val="0"/>
        <w:spacing w:before="0" w:beforeAutospacing="1" w:after="0" w:afterAutospacing="1"/>
        <w:ind w:left="0" w:right="0"/>
        <w:jc w:val="left"/>
        <w:rPr>
          <w:rFonts w:hint="eastAsia" w:ascii="微软雅黑" w:hAnsi="微软雅黑" w:eastAsia="微软雅黑" w:cs="微软雅黑"/>
          <w:vanish/>
          <w:color w:val="333333"/>
          <w:sz w:val="27"/>
          <w:szCs w:val="27"/>
        </w:rPr>
      </w:pPr>
      <w:r>
        <w:rPr>
          <w:vanish/>
        </w:rPr>
        <w:t>收藏</w:t>
      </w:r>
      <w:r>
        <w:rPr>
          <w:rFonts w:hint="eastAsia" w:ascii="微软雅黑" w:hAnsi="微软雅黑" w:eastAsia="微软雅黑" w:cs="微软雅黑"/>
          <w:vanish/>
          <w:color w:val="333333"/>
          <w:sz w:val="27"/>
          <w:szCs w:val="27"/>
        </w:rPr>
        <w:t xml:space="preserve"> </w:t>
      </w:r>
      <w:r>
        <w:rPr>
          <w:vanish/>
        </w:rPr>
        <w:t>订阅</w:t>
      </w:r>
      <w:r>
        <w:rPr>
          <w:rFonts w:hint="eastAsia" w:ascii="微软雅黑" w:hAnsi="微软雅黑" w:eastAsia="微软雅黑" w:cs="微软雅黑"/>
          <w:vanish/>
          <w:color w:val="333333"/>
          <w:sz w:val="27"/>
          <w:szCs w:val="27"/>
        </w:rPr>
        <w:t xml:space="preserve"> </w:t>
      </w:r>
      <w:r>
        <w:rPr>
          <w:rFonts w:hint="eastAsia" w:ascii="微软雅黑" w:hAnsi="微软雅黑" w:eastAsia="微软雅黑" w:cs="微软雅黑"/>
          <w:vanish/>
          <w:sz w:val="27"/>
          <w:szCs w:val="27"/>
        </w:rPr>
        <w:fldChar w:fldCharType="begin"/>
      </w:r>
      <w:r>
        <w:rPr>
          <w:rFonts w:hint="eastAsia" w:ascii="微软雅黑" w:hAnsi="微软雅黑" w:eastAsia="微软雅黑" w:cs="微软雅黑"/>
          <w:vanish/>
          <w:sz w:val="27"/>
          <w:szCs w:val="27"/>
        </w:rPr>
        <w:instrText xml:space="preserve"> HYPERLINK "https://fgk.chinatax.gov.cn/gsgrzx/wddy.html" \t "_blank" </w:instrText>
      </w:r>
      <w:r>
        <w:rPr>
          <w:rFonts w:hint="eastAsia" w:ascii="微软雅黑" w:hAnsi="微软雅黑" w:eastAsia="微软雅黑" w:cs="微软雅黑"/>
          <w:vanish/>
          <w:sz w:val="27"/>
          <w:szCs w:val="27"/>
        </w:rPr>
        <w:fldChar w:fldCharType="separate"/>
      </w:r>
      <w:r>
        <w:rPr>
          <w:rStyle w:val="14"/>
          <w:rFonts w:hint="eastAsia" w:ascii="微软雅黑" w:hAnsi="微软雅黑" w:eastAsia="微软雅黑" w:cs="微软雅黑"/>
          <w:vanish/>
          <w:sz w:val="27"/>
          <w:szCs w:val="27"/>
        </w:rPr>
        <w:t>已推送，请在</w:t>
      </w:r>
      <w:r>
        <w:rPr>
          <w:rStyle w:val="14"/>
          <w:rFonts w:hint="eastAsia" w:ascii="微软雅黑" w:hAnsi="微软雅黑" w:eastAsia="微软雅黑" w:cs="微软雅黑"/>
          <w:vanish/>
          <w:color w:val="333333"/>
          <w:sz w:val="19"/>
          <w:szCs w:val="19"/>
        </w:rPr>
        <w:t>“个人中心-我的订阅”</w:t>
      </w:r>
      <w:r>
        <w:rPr>
          <w:rStyle w:val="14"/>
          <w:rFonts w:hint="eastAsia" w:ascii="微软雅黑" w:hAnsi="微软雅黑" w:eastAsia="微软雅黑" w:cs="微软雅黑"/>
          <w:vanish/>
          <w:sz w:val="27"/>
          <w:szCs w:val="27"/>
        </w:rPr>
        <w:t>中查看</w:t>
      </w:r>
      <w:r>
        <w:rPr>
          <w:rFonts w:hint="eastAsia" w:ascii="微软雅黑" w:hAnsi="微软雅黑" w:eastAsia="微软雅黑" w:cs="微软雅黑"/>
          <w:vanish/>
          <w:sz w:val="27"/>
          <w:szCs w:val="27"/>
        </w:rPr>
        <w:fldChar w:fldCharType="end"/>
      </w:r>
      <w:r>
        <w:rPr>
          <w:rFonts w:hint="eastAsia" w:ascii="微软雅黑" w:hAnsi="微软雅黑" w:eastAsia="微软雅黑" w:cs="微软雅黑"/>
          <w:vanish/>
          <w:color w:val="333333"/>
          <w:sz w:val="27"/>
          <w:szCs w:val="27"/>
        </w:rPr>
        <w:t xml:space="preserve"> </w:t>
      </w:r>
      <w:r>
        <w:rPr>
          <w:rFonts w:hint="eastAsia" w:ascii="微软雅黑" w:hAnsi="微软雅黑" w:eastAsia="微软雅黑" w:cs="微软雅黑"/>
          <w:vanish/>
          <w:sz w:val="27"/>
          <w:szCs w:val="27"/>
        </w:rPr>
        <w:fldChar w:fldCharType="begin"/>
      </w:r>
      <w:r>
        <w:rPr>
          <w:rFonts w:hint="eastAsia" w:ascii="微软雅黑" w:hAnsi="微软雅黑" w:eastAsia="微软雅黑" w:cs="微软雅黑"/>
          <w:vanish/>
          <w:sz w:val="27"/>
          <w:szCs w:val="27"/>
        </w:rPr>
        <w:instrText xml:space="preserve"> HYPERLINK "https://fgk.chinatax.gov.cn/gsgrzx/wddy.html" \t "_blank" </w:instrText>
      </w:r>
      <w:r>
        <w:rPr>
          <w:rFonts w:hint="eastAsia" w:ascii="微软雅黑" w:hAnsi="微软雅黑" w:eastAsia="微软雅黑" w:cs="微软雅黑"/>
          <w:vanish/>
          <w:sz w:val="27"/>
          <w:szCs w:val="27"/>
        </w:rPr>
        <w:fldChar w:fldCharType="separate"/>
      </w:r>
      <w:r>
        <w:rPr>
          <w:rStyle w:val="14"/>
          <w:rFonts w:hint="eastAsia" w:ascii="微软雅黑" w:hAnsi="微软雅黑" w:eastAsia="微软雅黑" w:cs="微软雅黑"/>
          <w:vanish/>
          <w:sz w:val="27"/>
          <w:szCs w:val="27"/>
        </w:rPr>
        <w:t>此稿件无标签，进入</w:t>
      </w:r>
      <w:r>
        <w:rPr>
          <w:rStyle w:val="14"/>
          <w:rFonts w:hint="eastAsia" w:ascii="微软雅黑" w:hAnsi="微软雅黑" w:eastAsia="微软雅黑" w:cs="微软雅黑"/>
          <w:vanish/>
          <w:color w:val="CC0000"/>
          <w:sz w:val="19"/>
          <w:szCs w:val="19"/>
        </w:rPr>
        <w:t>“订阅设置”</w:t>
      </w:r>
      <w:r>
        <w:rPr>
          <w:rStyle w:val="14"/>
          <w:rFonts w:hint="eastAsia" w:ascii="微软雅黑" w:hAnsi="微软雅黑" w:eastAsia="微软雅黑" w:cs="微软雅黑"/>
          <w:vanish/>
          <w:sz w:val="27"/>
          <w:szCs w:val="27"/>
        </w:rPr>
        <w:t>中订阅更多</w:t>
      </w:r>
      <w:r>
        <w:rPr>
          <w:rFonts w:hint="eastAsia" w:ascii="微软雅黑" w:hAnsi="微软雅黑" w:eastAsia="微软雅黑" w:cs="微软雅黑"/>
          <w:vanish/>
          <w:sz w:val="27"/>
          <w:szCs w:val="27"/>
        </w:rPr>
        <w:fldChar w:fldCharType="end"/>
      </w:r>
      <w:r>
        <w:rPr>
          <w:rFonts w:hint="eastAsia" w:ascii="微软雅黑" w:hAnsi="微软雅黑" w:eastAsia="微软雅黑" w:cs="微软雅黑"/>
          <w:vanish/>
          <w:color w:val="333333"/>
          <w:sz w:val="27"/>
          <w:szCs w:val="27"/>
        </w:rPr>
        <w:t xml:space="preserve"> </w:t>
      </w:r>
    </w:p>
    <w:p w14:paraId="53068631">
      <w:pPr>
        <w:pStyle w:val="20"/>
        <w:keepNext w:val="0"/>
        <w:keepLines w:val="0"/>
        <w:widowControl/>
        <w:suppressLineNumbers w:val="0"/>
        <w:spacing w:after="0" w:afterAutospacing="1"/>
        <w:ind w:left="0" w:right="0"/>
        <w:rPr>
          <w:rFonts w:hint="eastAsia" w:ascii="微软雅黑" w:hAnsi="微软雅黑" w:eastAsia="微软雅黑" w:cs="微软雅黑"/>
          <w:color w:val="333333"/>
          <w:sz w:val="27"/>
          <w:szCs w:val="27"/>
        </w:rPr>
      </w:pPr>
      <w:r>
        <w:rPr>
          <w:rFonts w:hint="eastAsia" w:ascii="微软雅黑" w:hAnsi="微软雅黑" w:eastAsia="微软雅黑" w:cs="微软雅黑"/>
          <w:color w:val="333333"/>
          <w:sz w:val="27"/>
          <w:szCs w:val="27"/>
        </w:rPr>
        <w:t> </w:t>
      </w:r>
      <w:r>
        <w:t>成文日期：2018-06-25</w:t>
      </w:r>
    </w:p>
    <w:p w14:paraId="3FFA6C0C">
      <w:pPr>
        <w:pStyle w:val="11"/>
        <w:keepNext w:val="0"/>
        <w:keepLines w:val="0"/>
        <w:widowControl/>
        <w:suppressLineNumbers w:val="0"/>
        <w:spacing w:before="0" w:beforeAutospacing="1" w:after="0" w:afterAutospacing="1"/>
        <w:ind w:left="0" w:right="0"/>
        <w:rPr>
          <w:rFonts w:hint="eastAsia" w:ascii="微软雅黑" w:hAnsi="微软雅黑" w:eastAsia="微软雅黑" w:cs="微软雅黑"/>
          <w:vanish/>
          <w:color w:val="333333"/>
          <w:sz w:val="27"/>
          <w:szCs w:val="27"/>
        </w:rPr>
      </w:pPr>
      <w:r>
        <w:rPr>
          <w:rFonts w:hint="eastAsia" w:ascii="微软雅黑" w:hAnsi="微软雅黑" w:eastAsia="微软雅黑" w:cs="微软雅黑"/>
          <w:vanish/>
          <w:color w:val="333333"/>
          <w:sz w:val="27"/>
          <w:szCs w:val="27"/>
        </w:rPr>
        <w:t>收藏</w:t>
      </w:r>
    </w:p>
    <w:p w14:paraId="1FB43438">
      <w:pPr>
        <w:pStyle w:val="11"/>
        <w:keepNext w:val="0"/>
        <w:keepLines w:val="0"/>
        <w:widowControl/>
        <w:suppressLineNumbers w:val="0"/>
        <w:spacing w:before="0" w:beforeAutospacing="1" w:after="0" w:afterAutospacing="1"/>
        <w:ind w:left="0" w:right="0"/>
        <w:rPr>
          <w:rFonts w:hint="eastAsia" w:ascii="微软雅黑" w:hAnsi="微软雅黑" w:eastAsia="微软雅黑" w:cs="微软雅黑"/>
          <w:vanish/>
          <w:color w:val="333333"/>
          <w:sz w:val="27"/>
          <w:szCs w:val="27"/>
        </w:rPr>
      </w:pPr>
      <w:r>
        <w:rPr>
          <w:rFonts w:hint="eastAsia" w:ascii="微软雅黑" w:hAnsi="微软雅黑" w:eastAsia="微软雅黑" w:cs="微软雅黑"/>
          <w:vanish/>
          <w:color w:val="333333"/>
          <w:sz w:val="27"/>
          <w:szCs w:val="27"/>
        </w:rPr>
        <w:t>分享</w:t>
      </w:r>
    </w:p>
    <w:p w14:paraId="2E28A357">
      <w:pPr>
        <w:pStyle w:val="11"/>
        <w:keepNext w:val="0"/>
        <w:keepLines w:val="0"/>
        <w:widowControl/>
        <w:suppressLineNumbers w:val="0"/>
        <w:spacing w:before="0" w:beforeAutospacing="1" w:after="0" w:afterAutospacing="1"/>
        <w:ind w:left="0" w:right="0"/>
        <w:rPr>
          <w:rFonts w:hint="eastAsia" w:ascii="微软雅黑" w:hAnsi="微软雅黑" w:eastAsia="微软雅黑" w:cs="微软雅黑"/>
          <w:vanish/>
          <w:color w:val="333333"/>
          <w:sz w:val="27"/>
          <w:szCs w:val="27"/>
        </w:rPr>
      </w:pPr>
      <w:r>
        <w:rPr>
          <w:rFonts w:hint="eastAsia" w:ascii="微软雅黑" w:hAnsi="微软雅黑" w:eastAsia="微软雅黑" w:cs="微软雅黑"/>
          <w:vanish/>
          <w:color w:val="333333"/>
          <w:sz w:val="27"/>
          <w:szCs w:val="27"/>
        </w:rPr>
        <w:t>订阅</w:t>
      </w:r>
    </w:p>
    <w:p w14:paraId="6C1D9003">
      <w:pPr>
        <w:pStyle w:val="11"/>
        <w:keepNext w:val="0"/>
        <w:keepLines w:val="0"/>
        <w:widowControl/>
        <w:suppressLineNumbers w:val="0"/>
        <w:rPr>
          <w:vanish/>
        </w:rPr>
      </w:pPr>
      <w:r>
        <w:rPr>
          <w:vanish/>
        </w:rPr>
        <w:t>语音播报：</w:t>
      </w:r>
    </w:p>
    <w:p w14:paraId="5DD42CF5">
      <w:pPr>
        <w:keepNext w:val="0"/>
        <w:keepLines w:val="0"/>
        <w:widowControl/>
        <w:suppressLineNumbers w:val="0"/>
        <w:ind w:left="720"/>
        <w:jc w:val="left"/>
        <w:rPr>
          <w:rFonts w:hint="eastAsia" w:ascii="宋体" w:hAnsi="宋体" w:eastAsia="宋体" w:cs="宋体"/>
          <w:vanish/>
          <w:sz w:val="24"/>
          <w:szCs w:val="24"/>
        </w:rPr>
      </w:pPr>
      <w:r>
        <w:rPr>
          <w:rFonts w:hint="eastAsia" w:ascii="宋体" w:hAnsi="宋体" w:eastAsia="宋体" w:cs="宋体"/>
          <w:vanish/>
          <w:sz w:val="24"/>
          <w:szCs w:val="24"/>
        </w:rPr>
        <w:t>扫一扫在手机打开当前页</w:t>
      </w:r>
    </w:p>
    <w:p w14:paraId="14B9DF72">
      <w:pPr>
        <w:pStyle w:val="16"/>
        <w:keepNext w:val="0"/>
        <w:keepLines w:val="0"/>
        <w:widowControl/>
        <w:suppressLineNumbers w:val="0"/>
        <w:spacing w:before="0" w:beforeAutospacing="1" w:after="0" w:afterAutospacing="1"/>
        <w:ind w:left="0" w:right="0"/>
        <w:rPr>
          <w:rFonts w:hint="eastAsia" w:ascii="微软雅黑" w:hAnsi="微软雅黑" w:eastAsia="微软雅黑" w:cs="微软雅黑"/>
          <w:vanish/>
        </w:rPr>
      </w:pPr>
      <w:r>
        <w:rPr>
          <w:rFonts w:hint="eastAsia" w:ascii="微软雅黑" w:hAnsi="微软雅黑" w:eastAsia="微软雅黑" w:cs="微软雅黑"/>
          <w:vanish/>
        </w:rPr>
        <w:t>注释</w:t>
      </w:r>
    </w:p>
    <w:p w14:paraId="6F6E2C82">
      <w:pPr>
        <w:pStyle w:val="11"/>
        <w:keepNext w:val="0"/>
        <w:keepLines w:val="0"/>
        <w:widowControl/>
        <w:suppressLineNumbers w:val="0"/>
        <w:rPr>
          <w:rFonts w:hint="eastAsia" w:ascii="微软雅黑" w:hAnsi="微软雅黑" w:eastAsia="微软雅黑" w:cs="微软雅黑"/>
          <w:color w:val="333333"/>
          <w:sz w:val="27"/>
          <w:szCs w:val="27"/>
        </w:rPr>
      </w:pPr>
      <w:r>
        <w:rPr>
          <w:rFonts w:hint="eastAsia" w:ascii="微软雅黑" w:hAnsi="微软雅黑" w:eastAsia="微软雅黑" w:cs="微软雅黑"/>
          <w:color w:val="333333"/>
          <w:sz w:val="27"/>
          <w:szCs w:val="27"/>
        </w:rPr>
        <w:t>各省、自治区、直辖市、计划单列市财政厅（局）、科技厅（局），国家税务总局各省、自治区、直辖市、计划单列市税务局，新疆生产建设兵团财政局、科技局：</w:t>
      </w:r>
      <w:r>
        <w:rPr>
          <w:rFonts w:hint="eastAsia" w:ascii="微软雅黑" w:hAnsi="微软雅黑" w:eastAsia="微软雅黑" w:cs="微软雅黑"/>
          <w:color w:val="333333"/>
          <w:sz w:val="27"/>
          <w:szCs w:val="27"/>
        </w:rPr>
        <w:br w:type="textWrapping"/>
      </w:r>
      <w:r>
        <w:rPr>
          <w:rFonts w:hint="eastAsia" w:ascii="微软雅黑" w:hAnsi="微软雅黑" w:eastAsia="微软雅黑" w:cs="微软雅黑"/>
          <w:color w:val="333333"/>
          <w:sz w:val="27"/>
          <w:szCs w:val="27"/>
        </w:rPr>
        <w:t>　　为进一步激励企业加大研发投入，加强创新能力开放合作，现就企业委托境外进行研发活动发生的研究开发费用（以下简称研发费用）企业所得税前加计扣除有关政策问题通知如下：</w:t>
      </w:r>
      <w:r>
        <w:rPr>
          <w:rFonts w:hint="eastAsia" w:ascii="微软雅黑" w:hAnsi="微软雅黑" w:eastAsia="微软雅黑" w:cs="微软雅黑"/>
          <w:color w:val="333333"/>
          <w:sz w:val="27"/>
          <w:szCs w:val="27"/>
        </w:rPr>
        <w:br w:type="textWrapping"/>
      </w:r>
      <w:r>
        <w:rPr>
          <w:rFonts w:hint="eastAsia" w:ascii="微软雅黑" w:hAnsi="微软雅黑" w:eastAsia="微软雅黑" w:cs="微软雅黑"/>
          <w:color w:val="333333"/>
          <w:sz w:val="27"/>
          <w:szCs w:val="27"/>
        </w:rPr>
        <w:t>　　一、委托境外进行研发活动所发生的费用，按照费用实际发生额的80%计入委托方的委托境外研发费用。委托境外研发费用不超过境内符合条件的研发费用三分之二的部分，可以按规定在企业所得税前加计扣除。</w:t>
      </w:r>
      <w:r>
        <w:rPr>
          <w:rFonts w:hint="eastAsia" w:ascii="微软雅黑" w:hAnsi="微软雅黑" w:eastAsia="微软雅黑" w:cs="微软雅黑"/>
          <w:color w:val="333333"/>
          <w:sz w:val="27"/>
          <w:szCs w:val="27"/>
        </w:rPr>
        <w:br w:type="textWrapping"/>
      </w:r>
      <w:r>
        <w:rPr>
          <w:rFonts w:hint="eastAsia" w:ascii="微软雅黑" w:hAnsi="微软雅黑" w:eastAsia="微软雅黑" w:cs="微软雅黑"/>
          <w:color w:val="333333"/>
          <w:sz w:val="27"/>
          <w:szCs w:val="27"/>
        </w:rPr>
        <w:t>　　上述费用实际发生额应按照独立交易原则确定。委托方与受托方存在关联关系的，受托方应向委托方提供研发项目费用支出明细情况。</w:t>
      </w:r>
      <w:r>
        <w:rPr>
          <w:rFonts w:hint="eastAsia" w:ascii="微软雅黑" w:hAnsi="微软雅黑" w:eastAsia="微软雅黑" w:cs="微软雅黑"/>
          <w:color w:val="333333"/>
          <w:sz w:val="27"/>
          <w:szCs w:val="27"/>
        </w:rPr>
        <w:br w:type="textWrapping"/>
      </w:r>
      <w:r>
        <w:rPr>
          <w:rFonts w:hint="eastAsia" w:ascii="微软雅黑" w:hAnsi="微软雅黑" w:eastAsia="微软雅黑" w:cs="微软雅黑"/>
          <w:color w:val="333333"/>
          <w:sz w:val="27"/>
          <w:szCs w:val="27"/>
        </w:rPr>
        <w:t>　　二、委托境外进行研发活动应签订技术开发合同，并由委托方到科技行政主管部门进行登记。相关事项按技术合同认定登记管理办法及技术合同认定规则执行。</w:t>
      </w:r>
      <w:r>
        <w:rPr>
          <w:rFonts w:hint="eastAsia" w:ascii="微软雅黑" w:hAnsi="微软雅黑" w:eastAsia="微软雅黑" w:cs="微软雅黑"/>
          <w:color w:val="333333"/>
          <w:sz w:val="27"/>
          <w:szCs w:val="27"/>
        </w:rPr>
        <w:br w:type="textWrapping"/>
      </w:r>
      <w:r>
        <w:rPr>
          <w:rFonts w:hint="eastAsia" w:ascii="微软雅黑" w:hAnsi="微软雅黑" w:eastAsia="微软雅黑" w:cs="微软雅黑"/>
          <w:color w:val="333333"/>
          <w:sz w:val="27"/>
          <w:szCs w:val="27"/>
        </w:rPr>
        <w:t>　　三、企业应在年度申报享受优惠时，按照</w:t>
      </w:r>
      <w:r>
        <w:rPr>
          <w:rFonts w:hint="eastAsia" w:ascii="微软雅黑" w:hAnsi="微软雅黑" w:eastAsia="微软雅黑" w:cs="微软雅黑"/>
          <w:sz w:val="27"/>
          <w:szCs w:val="27"/>
        </w:rPr>
        <w:fldChar w:fldCharType="begin"/>
      </w:r>
      <w:r>
        <w:rPr>
          <w:rFonts w:hint="eastAsia" w:ascii="微软雅黑" w:hAnsi="微软雅黑" w:eastAsia="微软雅黑" w:cs="微软雅黑"/>
          <w:sz w:val="27"/>
          <w:szCs w:val="27"/>
        </w:rPr>
        <w:instrText xml:space="preserve"> HYPERLINK "https://fgk.chinatax.gov.cn/zcfgk/c100012/c5194795/content.html" \t "_blank" </w:instrText>
      </w:r>
      <w:r>
        <w:rPr>
          <w:rFonts w:hint="eastAsia" w:ascii="微软雅黑" w:hAnsi="微软雅黑" w:eastAsia="微软雅黑" w:cs="微软雅黑"/>
          <w:sz w:val="27"/>
          <w:szCs w:val="27"/>
        </w:rPr>
        <w:fldChar w:fldCharType="separate"/>
      </w:r>
      <w:r>
        <w:rPr>
          <w:rStyle w:val="14"/>
          <w:rFonts w:hint="eastAsia" w:ascii="微软雅黑" w:hAnsi="微软雅黑" w:eastAsia="微软雅黑" w:cs="微软雅黑"/>
          <w:sz w:val="27"/>
          <w:szCs w:val="27"/>
        </w:rPr>
        <w:t>《国家税务总局关于发布修订后的〈企业所得税优惠政策事项办理办法〉的公告》</w:t>
      </w:r>
      <w:r>
        <w:rPr>
          <w:rFonts w:hint="eastAsia" w:ascii="微软雅黑" w:hAnsi="微软雅黑" w:eastAsia="微软雅黑" w:cs="微软雅黑"/>
          <w:sz w:val="27"/>
          <w:szCs w:val="27"/>
        </w:rPr>
        <w:fldChar w:fldCharType="end"/>
      </w:r>
      <w:r>
        <w:rPr>
          <w:rFonts w:hint="eastAsia" w:ascii="微软雅黑" w:hAnsi="微软雅黑" w:eastAsia="微软雅黑" w:cs="微软雅黑"/>
          <w:color w:val="333333"/>
          <w:sz w:val="27"/>
          <w:szCs w:val="27"/>
        </w:rPr>
        <w:t>（国家税务总局公告2018年第23号）的规定办理有关手续，并留存备查以下资料：</w:t>
      </w:r>
      <w:r>
        <w:rPr>
          <w:rFonts w:hint="eastAsia" w:ascii="微软雅黑" w:hAnsi="微软雅黑" w:eastAsia="微软雅黑" w:cs="微软雅黑"/>
          <w:color w:val="333333"/>
          <w:sz w:val="27"/>
          <w:szCs w:val="27"/>
        </w:rPr>
        <w:br w:type="textWrapping"/>
      </w:r>
      <w:r>
        <w:rPr>
          <w:rFonts w:hint="eastAsia" w:ascii="微软雅黑" w:hAnsi="微软雅黑" w:eastAsia="微软雅黑" w:cs="微软雅黑"/>
          <w:color w:val="333333"/>
          <w:sz w:val="27"/>
          <w:szCs w:val="27"/>
        </w:rPr>
        <w:t>　　（一）企业委托研发项目计划书和企业有权部门立项的决议文件；</w:t>
      </w:r>
      <w:r>
        <w:rPr>
          <w:rFonts w:hint="eastAsia" w:ascii="微软雅黑" w:hAnsi="微软雅黑" w:eastAsia="微软雅黑" w:cs="微软雅黑"/>
          <w:color w:val="333333"/>
          <w:sz w:val="27"/>
          <w:szCs w:val="27"/>
        </w:rPr>
        <w:br w:type="textWrapping"/>
      </w:r>
      <w:r>
        <w:rPr>
          <w:rFonts w:hint="eastAsia" w:ascii="微软雅黑" w:hAnsi="微软雅黑" w:eastAsia="微软雅黑" w:cs="微软雅黑"/>
          <w:color w:val="333333"/>
          <w:sz w:val="27"/>
          <w:szCs w:val="27"/>
        </w:rPr>
        <w:t>　　（二）委托研究开发专门机构或项目组的编制情况和研发人员名单；</w:t>
      </w:r>
      <w:r>
        <w:rPr>
          <w:rFonts w:hint="eastAsia" w:ascii="微软雅黑" w:hAnsi="微软雅黑" w:eastAsia="微软雅黑" w:cs="微软雅黑"/>
          <w:color w:val="333333"/>
          <w:sz w:val="27"/>
          <w:szCs w:val="27"/>
        </w:rPr>
        <w:br w:type="textWrapping"/>
      </w:r>
      <w:r>
        <w:rPr>
          <w:rFonts w:hint="eastAsia" w:ascii="微软雅黑" w:hAnsi="微软雅黑" w:eastAsia="微软雅黑" w:cs="微软雅黑"/>
          <w:color w:val="333333"/>
          <w:sz w:val="27"/>
          <w:szCs w:val="27"/>
        </w:rPr>
        <w:t>　　（三）经科技行政主管部门登记的委托境外研发合同；</w:t>
      </w:r>
      <w:r>
        <w:rPr>
          <w:rFonts w:hint="eastAsia" w:ascii="微软雅黑" w:hAnsi="微软雅黑" w:eastAsia="微软雅黑" w:cs="微软雅黑"/>
          <w:color w:val="333333"/>
          <w:sz w:val="27"/>
          <w:szCs w:val="27"/>
        </w:rPr>
        <w:br w:type="textWrapping"/>
      </w:r>
      <w:r>
        <w:rPr>
          <w:rFonts w:hint="eastAsia" w:ascii="微软雅黑" w:hAnsi="微软雅黑" w:eastAsia="微软雅黑" w:cs="微软雅黑"/>
          <w:color w:val="333333"/>
          <w:sz w:val="27"/>
          <w:szCs w:val="27"/>
        </w:rPr>
        <w:t>　　（四）“研发支出”辅助账及汇总表；</w:t>
      </w:r>
      <w:r>
        <w:rPr>
          <w:rFonts w:hint="eastAsia" w:ascii="微软雅黑" w:hAnsi="微软雅黑" w:eastAsia="微软雅黑" w:cs="微软雅黑"/>
          <w:color w:val="333333"/>
          <w:sz w:val="27"/>
          <w:szCs w:val="27"/>
        </w:rPr>
        <w:br w:type="textWrapping"/>
      </w:r>
      <w:r>
        <w:rPr>
          <w:rFonts w:hint="eastAsia" w:ascii="微软雅黑" w:hAnsi="微软雅黑" w:eastAsia="微软雅黑" w:cs="微软雅黑"/>
          <w:color w:val="333333"/>
          <w:sz w:val="27"/>
          <w:szCs w:val="27"/>
        </w:rPr>
        <w:t>　　（五）委托境外研发银行支付凭证和受托方开具的收款凭据；</w:t>
      </w:r>
      <w:r>
        <w:rPr>
          <w:rFonts w:hint="eastAsia" w:ascii="微软雅黑" w:hAnsi="微软雅黑" w:eastAsia="微软雅黑" w:cs="微软雅黑"/>
          <w:color w:val="333333"/>
          <w:sz w:val="27"/>
          <w:szCs w:val="27"/>
        </w:rPr>
        <w:br w:type="textWrapping"/>
      </w:r>
      <w:r>
        <w:rPr>
          <w:rFonts w:hint="eastAsia" w:ascii="微软雅黑" w:hAnsi="微软雅黑" w:eastAsia="微软雅黑" w:cs="微软雅黑"/>
          <w:color w:val="333333"/>
          <w:sz w:val="27"/>
          <w:szCs w:val="27"/>
        </w:rPr>
        <w:t>　　（六）当年委托研发项目的进展情况等资料。</w:t>
      </w:r>
      <w:r>
        <w:rPr>
          <w:rFonts w:hint="eastAsia" w:ascii="微软雅黑" w:hAnsi="微软雅黑" w:eastAsia="微软雅黑" w:cs="微软雅黑"/>
          <w:color w:val="333333"/>
          <w:sz w:val="27"/>
          <w:szCs w:val="27"/>
        </w:rPr>
        <w:br w:type="textWrapping"/>
      </w:r>
      <w:r>
        <w:rPr>
          <w:rFonts w:hint="eastAsia" w:ascii="微软雅黑" w:hAnsi="微软雅黑" w:eastAsia="微软雅黑" w:cs="微软雅黑"/>
          <w:color w:val="333333"/>
          <w:sz w:val="27"/>
          <w:szCs w:val="27"/>
        </w:rPr>
        <w:t>　　企业如果已取得地市级（含）以上科技行政主管部门出具的鉴定意见，应作为资料留存备查。</w:t>
      </w:r>
      <w:r>
        <w:rPr>
          <w:rFonts w:hint="eastAsia" w:ascii="微软雅黑" w:hAnsi="微软雅黑" w:eastAsia="微软雅黑" w:cs="微软雅黑"/>
          <w:color w:val="333333"/>
          <w:sz w:val="27"/>
          <w:szCs w:val="27"/>
        </w:rPr>
        <w:br w:type="textWrapping"/>
      </w:r>
      <w:r>
        <w:rPr>
          <w:rFonts w:hint="eastAsia" w:ascii="微软雅黑" w:hAnsi="微软雅黑" w:eastAsia="微软雅黑" w:cs="微软雅黑"/>
          <w:color w:val="333333"/>
          <w:sz w:val="27"/>
          <w:szCs w:val="27"/>
        </w:rPr>
        <w:t>　　四、企业对委托境外研发费用以及留存备查资料的真实性、合法性承担法律责任。</w:t>
      </w:r>
      <w:r>
        <w:rPr>
          <w:rFonts w:hint="eastAsia" w:ascii="微软雅黑" w:hAnsi="微软雅黑" w:eastAsia="微软雅黑" w:cs="微软雅黑"/>
          <w:color w:val="333333"/>
          <w:sz w:val="27"/>
          <w:szCs w:val="27"/>
        </w:rPr>
        <w:br w:type="textWrapping"/>
      </w:r>
      <w:r>
        <w:rPr>
          <w:rFonts w:hint="eastAsia" w:ascii="微软雅黑" w:hAnsi="微软雅黑" w:eastAsia="微软雅黑" w:cs="微软雅黑"/>
          <w:color w:val="333333"/>
          <w:sz w:val="27"/>
          <w:szCs w:val="27"/>
        </w:rPr>
        <w:t>　　五、委托境外研发费用加计扣除其他政策口径和管理要求按照</w:t>
      </w:r>
      <w:r>
        <w:rPr>
          <w:rFonts w:hint="eastAsia" w:ascii="微软雅黑" w:hAnsi="微软雅黑" w:eastAsia="微软雅黑" w:cs="微软雅黑"/>
          <w:sz w:val="27"/>
          <w:szCs w:val="27"/>
        </w:rPr>
        <w:fldChar w:fldCharType="begin"/>
      </w:r>
      <w:r>
        <w:rPr>
          <w:rFonts w:hint="eastAsia" w:ascii="微软雅黑" w:hAnsi="微软雅黑" w:eastAsia="微软雅黑" w:cs="微软雅黑"/>
          <w:sz w:val="27"/>
          <w:szCs w:val="27"/>
        </w:rPr>
        <w:instrText xml:space="preserve"> HYPERLINK "https://fgk.chinatax.gov.cn/zcfgk/c102416/c5203882/content.html" \t "_blank" </w:instrText>
      </w:r>
      <w:r>
        <w:rPr>
          <w:rFonts w:hint="eastAsia" w:ascii="微软雅黑" w:hAnsi="微软雅黑" w:eastAsia="微软雅黑" w:cs="微软雅黑"/>
          <w:sz w:val="27"/>
          <w:szCs w:val="27"/>
        </w:rPr>
        <w:fldChar w:fldCharType="separate"/>
      </w:r>
      <w:r>
        <w:rPr>
          <w:rStyle w:val="14"/>
          <w:rFonts w:hint="eastAsia" w:ascii="微软雅黑" w:hAnsi="微软雅黑" w:eastAsia="微软雅黑" w:cs="微软雅黑"/>
          <w:sz w:val="27"/>
          <w:szCs w:val="27"/>
        </w:rPr>
        <w:t>《财政部 国家税务总局 科技部关于完善研究开发费用税前加计扣除政策的通知》</w:t>
      </w:r>
      <w:r>
        <w:rPr>
          <w:rFonts w:hint="eastAsia" w:ascii="微软雅黑" w:hAnsi="微软雅黑" w:eastAsia="微软雅黑" w:cs="微软雅黑"/>
          <w:sz w:val="27"/>
          <w:szCs w:val="27"/>
        </w:rPr>
        <w:fldChar w:fldCharType="end"/>
      </w:r>
      <w:r>
        <w:rPr>
          <w:rFonts w:hint="eastAsia" w:ascii="微软雅黑" w:hAnsi="微软雅黑" w:eastAsia="微软雅黑" w:cs="微软雅黑"/>
          <w:color w:val="333333"/>
          <w:sz w:val="27"/>
          <w:szCs w:val="27"/>
        </w:rPr>
        <w:t>（财税〔2015〕119号）、</w:t>
      </w:r>
      <w:r>
        <w:rPr>
          <w:rFonts w:hint="eastAsia" w:ascii="微软雅黑" w:hAnsi="微软雅黑" w:eastAsia="微软雅黑" w:cs="微软雅黑"/>
          <w:sz w:val="27"/>
          <w:szCs w:val="27"/>
        </w:rPr>
        <w:fldChar w:fldCharType="begin"/>
      </w:r>
      <w:r>
        <w:rPr>
          <w:rFonts w:hint="eastAsia" w:ascii="微软雅黑" w:hAnsi="微软雅黑" w:eastAsia="微软雅黑" w:cs="微软雅黑"/>
          <w:sz w:val="27"/>
          <w:szCs w:val="27"/>
        </w:rPr>
        <w:instrText xml:space="preserve"> HYPERLINK "https://fgk.chinatax.gov.cn/zcfgk/c102416/c5202542/content.html1/content.html" \t "_blank" </w:instrText>
      </w:r>
      <w:r>
        <w:rPr>
          <w:rFonts w:hint="eastAsia" w:ascii="微软雅黑" w:hAnsi="微软雅黑" w:eastAsia="微软雅黑" w:cs="微软雅黑"/>
          <w:sz w:val="27"/>
          <w:szCs w:val="27"/>
        </w:rPr>
        <w:fldChar w:fldCharType="separate"/>
      </w:r>
      <w:r>
        <w:rPr>
          <w:rStyle w:val="14"/>
          <w:rFonts w:hint="eastAsia" w:ascii="微软雅黑" w:hAnsi="微软雅黑" w:eastAsia="微软雅黑" w:cs="微软雅黑"/>
          <w:sz w:val="27"/>
          <w:szCs w:val="27"/>
        </w:rPr>
        <w:t>《财政部 税务总局 科技部关于提高科技型中小企业研究开发费用税前加计扣除比例的通知》</w:t>
      </w:r>
      <w:r>
        <w:rPr>
          <w:rFonts w:hint="eastAsia" w:ascii="微软雅黑" w:hAnsi="微软雅黑" w:eastAsia="微软雅黑" w:cs="微软雅黑"/>
          <w:sz w:val="27"/>
          <w:szCs w:val="27"/>
        </w:rPr>
        <w:fldChar w:fldCharType="end"/>
      </w:r>
      <w:r>
        <w:rPr>
          <w:rFonts w:hint="eastAsia" w:ascii="微软雅黑" w:hAnsi="微软雅黑" w:eastAsia="微软雅黑" w:cs="微软雅黑"/>
          <w:color w:val="333333"/>
          <w:sz w:val="27"/>
          <w:szCs w:val="27"/>
        </w:rPr>
        <w:t>（财税〔2017〕34号）、</w:t>
      </w:r>
      <w:r>
        <w:rPr>
          <w:rFonts w:hint="eastAsia" w:ascii="微软雅黑" w:hAnsi="微软雅黑" w:eastAsia="微软雅黑" w:cs="微软雅黑"/>
          <w:sz w:val="27"/>
          <w:szCs w:val="27"/>
        </w:rPr>
        <w:fldChar w:fldCharType="begin"/>
      </w:r>
      <w:r>
        <w:rPr>
          <w:rFonts w:hint="eastAsia" w:ascii="微软雅黑" w:hAnsi="微软雅黑" w:eastAsia="微软雅黑" w:cs="微软雅黑"/>
          <w:sz w:val="27"/>
          <w:szCs w:val="27"/>
        </w:rPr>
        <w:instrText xml:space="preserve"> HYPERLINK "https://fgk.chinatax.gov.cn/zcfgk/c100012/c5197801/content.html" \t "_blank" </w:instrText>
      </w:r>
      <w:r>
        <w:rPr>
          <w:rFonts w:hint="eastAsia" w:ascii="微软雅黑" w:hAnsi="微软雅黑" w:eastAsia="微软雅黑" w:cs="微软雅黑"/>
          <w:sz w:val="27"/>
          <w:szCs w:val="27"/>
        </w:rPr>
        <w:fldChar w:fldCharType="separate"/>
      </w:r>
      <w:r>
        <w:rPr>
          <w:rStyle w:val="14"/>
          <w:rFonts w:hint="eastAsia" w:ascii="微软雅黑" w:hAnsi="微软雅黑" w:eastAsia="微软雅黑" w:cs="微软雅黑"/>
          <w:sz w:val="27"/>
          <w:szCs w:val="27"/>
        </w:rPr>
        <w:t>《国家税务总局关于企业研究开发费用税前加计扣除政策有关问题的公告》</w:t>
      </w:r>
      <w:r>
        <w:rPr>
          <w:rFonts w:hint="eastAsia" w:ascii="微软雅黑" w:hAnsi="微软雅黑" w:eastAsia="微软雅黑" w:cs="微软雅黑"/>
          <w:sz w:val="27"/>
          <w:szCs w:val="27"/>
        </w:rPr>
        <w:fldChar w:fldCharType="end"/>
      </w:r>
      <w:r>
        <w:rPr>
          <w:rFonts w:hint="eastAsia" w:ascii="微软雅黑" w:hAnsi="微软雅黑" w:eastAsia="微软雅黑" w:cs="微软雅黑"/>
          <w:color w:val="333333"/>
          <w:sz w:val="27"/>
          <w:szCs w:val="27"/>
        </w:rPr>
        <w:t>（国家税务总局公告2015年第97号）等文件规定执行。</w:t>
      </w:r>
      <w:r>
        <w:rPr>
          <w:rFonts w:hint="eastAsia" w:ascii="微软雅黑" w:hAnsi="微软雅黑" w:eastAsia="微软雅黑" w:cs="微软雅黑"/>
          <w:color w:val="333333"/>
          <w:sz w:val="27"/>
          <w:szCs w:val="27"/>
        </w:rPr>
        <w:br w:type="textWrapping"/>
      </w:r>
      <w:r>
        <w:rPr>
          <w:rFonts w:hint="eastAsia" w:ascii="微软雅黑" w:hAnsi="微软雅黑" w:eastAsia="微软雅黑" w:cs="微软雅黑"/>
          <w:color w:val="333333"/>
          <w:sz w:val="27"/>
          <w:szCs w:val="27"/>
        </w:rPr>
        <w:t>　　六、本通知所称委托境外进行研发活动不包括委托境外个人进行的研发活动。</w:t>
      </w:r>
      <w:r>
        <w:rPr>
          <w:rFonts w:hint="eastAsia" w:ascii="微软雅黑" w:hAnsi="微软雅黑" w:eastAsia="微软雅黑" w:cs="微软雅黑"/>
          <w:color w:val="333333"/>
          <w:sz w:val="27"/>
          <w:szCs w:val="27"/>
        </w:rPr>
        <w:br w:type="textWrapping"/>
      </w:r>
      <w:r>
        <w:rPr>
          <w:rFonts w:hint="eastAsia" w:ascii="微软雅黑" w:hAnsi="微软雅黑" w:eastAsia="微软雅黑" w:cs="微软雅黑"/>
          <w:color w:val="333333"/>
          <w:sz w:val="27"/>
          <w:szCs w:val="27"/>
        </w:rPr>
        <w:t>　　七、本通知自2018年1月1日起执行。财税〔2015〕119号文件第二条中“企业委托境外机构或个人进行研发活动所发生的费用，不得加计扣除”的规定同时废止。</w:t>
      </w:r>
    </w:p>
    <w:p w14:paraId="236AF6DB">
      <w:pPr>
        <w:pStyle w:val="11"/>
        <w:keepNext w:val="0"/>
        <w:keepLines w:val="0"/>
        <w:widowControl/>
        <w:suppressLineNumbers w:val="0"/>
        <w:jc w:val="right"/>
        <w:rPr>
          <w:rFonts w:hint="eastAsia" w:ascii="微软雅黑" w:hAnsi="微软雅黑" w:eastAsia="微软雅黑" w:cs="微软雅黑"/>
          <w:color w:val="333333"/>
          <w:sz w:val="27"/>
          <w:szCs w:val="27"/>
        </w:rPr>
      </w:pPr>
      <w:r>
        <w:rPr>
          <w:rFonts w:hint="eastAsia" w:ascii="微软雅黑" w:hAnsi="微软雅黑" w:eastAsia="微软雅黑" w:cs="微软雅黑"/>
          <w:color w:val="333333"/>
          <w:sz w:val="27"/>
          <w:szCs w:val="27"/>
        </w:rPr>
        <w:br w:type="textWrapping"/>
      </w:r>
      <w:r>
        <w:rPr>
          <w:rFonts w:hint="eastAsia" w:ascii="微软雅黑" w:hAnsi="微软雅黑" w:eastAsia="微软雅黑" w:cs="微软雅黑"/>
          <w:color w:val="333333"/>
          <w:sz w:val="27"/>
          <w:szCs w:val="27"/>
        </w:rPr>
        <w:br w:type="textWrapping"/>
      </w:r>
      <w:r>
        <w:rPr>
          <w:rFonts w:hint="eastAsia" w:ascii="微软雅黑" w:hAnsi="微软雅黑" w:eastAsia="微软雅黑" w:cs="微软雅黑"/>
          <w:color w:val="333333"/>
          <w:sz w:val="27"/>
          <w:szCs w:val="27"/>
        </w:rPr>
        <w:t>财政部 税务总局 科技部</w:t>
      </w:r>
      <w:r>
        <w:rPr>
          <w:rFonts w:hint="eastAsia" w:ascii="微软雅黑" w:hAnsi="微软雅黑" w:eastAsia="微软雅黑" w:cs="微软雅黑"/>
          <w:color w:val="333333"/>
          <w:sz w:val="27"/>
          <w:szCs w:val="27"/>
        </w:rPr>
        <w:br w:type="textWrapping"/>
      </w:r>
      <w:r>
        <w:rPr>
          <w:rFonts w:hint="eastAsia" w:ascii="微软雅黑" w:hAnsi="微软雅黑" w:eastAsia="微软雅黑" w:cs="微软雅黑"/>
          <w:color w:val="333333"/>
          <w:sz w:val="27"/>
          <w:szCs w:val="27"/>
        </w:rPr>
        <w:t>2018年6月25日</w:t>
      </w:r>
    </w:p>
    <w:p w14:paraId="644A0915">
      <w:pPr>
        <w:keepNext w:val="0"/>
        <w:keepLines w:val="0"/>
        <w:widowControl/>
        <w:suppressLineNumbers w:val="0"/>
        <w:jc w:val="left"/>
      </w:pPr>
      <w:r>
        <w:rPr>
          <w:rFonts w:ascii="宋体" w:hAnsi="宋体" w:eastAsia="宋体" w:cs="宋体"/>
          <w:vanish/>
          <w:sz w:val="24"/>
          <w:szCs w:val="24"/>
        </w:rPr>
        <w:fldChar w:fldCharType="begin"/>
      </w:r>
      <w:r>
        <w:rPr>
          <w:rFonts w:ascii="宋体" w:hAnsi="宋体" w:eastAsia="宋体" w:cs="宋体"/>
          <w:vanish/>
          <w:sz w:val="24"/>
          <w:szCs w:val="24"/>
        </w:rPr>
        <w:instrText xml:space="preserve"> HYPERLINK "javascript:void(0)" </w:instrText>
      </w:r>
      <w:r>
        <w:rPr>
          <w:rFonts w:ascii="宋体" w:hAnsi="宋体" w:eastAsia="宋体" w:cs="宋体"/>
          <w:vanish/>
          <w:sz w:val="24"/>
          <w:szCs w:val="24"/>
        </w:rPr>
        <w:fldChar w:fldCharType="separate"/>
      </w:r>
      <w:r>
        <w:rPr>
          <w:rStyle w:val="14"/>
          <w:rFonts w:ascii="宋体" w:hAnsi="宋体" w:eastAsia="宋体" w:cs="宋体"/>
          <w:vanish/>
          <w:sz w:val="24"/>
          <w:szCs w:val="24"/>
        </w:rPr>
        <w:drawing>
          <wp:inline distT="0" distB="0" distL="114300" distR="114300">
            <wp:extent cx="361950" cy="333375"/>
            <wp:effectExtent l="0" t="0" r="0" b="9525"/>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link="rId7"/>
                    <a:stretch>
                      <a:fillRect/>
                    </a:stretch>
                  </pic:blipFill>
                  <pic:spPr>
                    <a:xfrm>
                      <a:off x="0" y="0"/>
                      <a:ext cx="361950" cy="333375"/>
                    </a:xfrm>
                    <a:prstGeom prst="rect">
                      <a:avLst/>
                    </a:prstGeom>
                    <a:noFill/>
                    <a:ln w="9525">
                      <a:noFill/>
                    </a:ln>
                  </pic:spPr>
                </pic:pic>
              </a:graphicData>
            </a:graphic>
          </wp:inline>
        </w:drawing>
      </w:r>
      <w:r>
        <w:rPr>
          <w:rStyle w:val="14"/>
          <w:rFonts w:ascii="宋体" w:hAnsi="宋体" w:eastAsia="宋体" w:cs="宋体"/>
          <w:vanish/>
          <w:sz w:val="24"/>
          <w:szCs w:val="24"/>
        </w:rPr>
        <w:t>【打印】</w:t>
      </w:r>
      <w:r>
        <w:rPr>
          <w:rFonts w:ascii="宋体" w:hAnsi="宋体" w:eastAsia="宋体" w:cs="宋体"/>
          <w:vanish/>
          <w:sz w:val="24"/>
          <w:szCs w:val="24"/>
        </w:rPr>
        <w:fldChar w:fldCharType="end"/>
      </w:r>
      <w:r>
        <w:rPr>
          <w:rFonts w:ascii="宋体" w:hAnsi="宋体" w:eastAsia="宋体" w:cs="宋体"/>
          <w:sz w:val="24"/>
          <w:szCs w:val="24"/>
        </w:rPr>
        <w:t xml:space="preserve"> </w:t>
      </w:r>
    </w:p>
    <w:p w14:paraId="012FC400">
      <w:pPr>
        <w:keepNext w:val="0"/>
        <w:keepLines w:val="0"/>
        <w:widowControl/>
        <w:suppressLineNumbers w:val="0"/>
        <w:jc w:val="left"/>
      </w:pPr>
      <w:r>
        <w:rPr>
          <w:rFonts w:ascii="宋体" w:hAnsi="宋体" w:eastAsia="宋体" w:cs="宋体"/>
          <w:vanish/>
          <w:sz w:val="24"/>
          <w:szCs w:val="24"/>
        </w:rPr>
        <w:fldChar w:fldCharType="begin"/>
      </w:r>
      <w:r>
        <w:rPr>
          <w:rFonts w:ascii="宋体" w:hAnsi="宋体" w:eastAsia="宋体" w:cs="宋体"/>
          <w:vanish/>
          <w:sz w:val="24"/>
          <w:szCs w:val="24"/>
        </w:rPr>
        <w:instrText xml:space="preserve"> HYPERLINK "" </w:instrText>
      </w:r>
      <w:r>
        <w:rPr>
          <w:rFonts w:ascii="宋体" w:hAnsi="宋体" w:eastAsia="宋体" w:cs="宋体"/>
          <w:vanish/>
          <w:sz w:val="24"/>
          <w:szCs w:val="24"/>
        </w:rPr>
        <w:fldChar w:fldCharType="separate"/>
      </w:r>
      <w:r>
        <w:rPr>
          <w:rStyle w:val="14"/>
          <w:rFonts w:ascii="宋体" w:hAnsi="宋体" w:eastAsia="宋体" w:cs="宋体"/>
          <w:vanish/>
          <w:sz w:val="24"/>
          <w:szCs w:val="24"/>
        </w:rPr>
        <w:drawing>
          <wp:inline distT="0" distB="0" distL="114300" distR="114300">
            <wp:extent cx="361950" cy="333375"/>
            <wp:effectExtent l="0" t="0" r="0" b="9525"/>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link="rId8"/>
                    <a:stretch>
                      <a:fillRect/>
                    </a:stretch>
                  </pic:blipFill>
                  <pic:spPr>
                    <a:xfrm>
                      <a:off x="0" y="0"/>
                      <a:ext cx="361950" cy="333375"/>
                    </a:xfrm>
                    <a:prstGeom prst="rect">
                      <a:avLst/>
                    </a:prstGeom>
                    <a:noFill/>
                    <a:ln w="9525">
                      <a:noFill/>
                    </a:ln>
                  </pic:spPr>
                </pic:pic>
              </a:graphicData>
            </a:graphic>
          </wp:inline>
        </w:drawing>
      </w:r>
      <w:r>
        <w:rPr>
          <w:rStyle w:val="14"/>
          <w:rFonts w:ascii="宋体" w:hAnsi="宋体" w:eastAsia="宋体" w:cs="宋体"/>
          <w:vanish/>
          <w:sz w:val="24"/>
          <w:szCs w:val="24"/>
        </w:rPr>
        <w:t xml:space="preserve">【下载】 </w:t>
      </w:r>
      <w:r>
        <w:rPr>
          <w:rFonts w:ascii="宋体" w:hAnsi="宋体" w:eastAsia="宋体" w:cs="宋体"/>
          <w:vanish/>
          <w:sz w:val="24"/>
          <w:szCs w:val="24"/>
        </w:rPr>
        <w:fldChar w:fldCharType="end"/>
      </w:r>
    </w:p>
    <w:p w14:paraId="32658B43">
      <w:pPr>
        <w:keepNext w:val="0"/>
        <w:keepLines w:val="0"/>
        <w:widowControl/>
        <w:suppressLineNumbers w:val="0"/>
        <w:jc w:val="left"/>
        <w:rPr>
          <w:vanish/>
        </w:rPr>
      </w:pPr>
      <w:r>
        <w:rPr>
          <w:rFonts w:ascii="宋体" w:hAnsi="宋体" w:eastAsia="宋体" w:cs="宋体"/>
          <w:vanish/>
          <w:sz w:val="24"/>
          <w:szCs w:val="24"/>
        </w:rPr>
        <w:fldChar w:fldCharType="begin"/>
      </w:r>
      <w:r>
        <w:rPr>
          <w:rFonts w:ascii="宋体" w:hAnsi="宋体" w:eastAsia="宋体" w:cs="宋体"/>
          <w:vanish/>
          <w:sz w:val="24"/>
          <w:szCs w:val="24"/>
        </w:rPr>
        <w:instrText xml:space="preserve"> HYPERLINK "http://hd.chinatax.gov.cn/fuwu/jiucuo.html" \t "_blank" </w:instrText>
      </w:r>
      <w:r>
        <w:rPr>
          <w:rFonts w:ascii="宋体" w:hAnsi="宋体" w:eastAsia="宋体" w:cs="宋体"/>
          <w:vanish/>
          <w:sz w:val="24"/>
          <w:szCs w:val="24"/>
        </w:rPr>
        <w:fldChar w:fldCharType="separate"/>
      </w:r>
      <w:r>
        <w:rPr>
          <w:rStyle w:val="14"/>
          <w:rFonts w:ascii="宋体" w:hAnsi="宋体" w:eastAsia="宋体" w:cs="宋体"/>
          <w:vanish/>
          <w:sz w:val="24"/>
          <w:szCs w:val="24"/>
        </w:rPr>
        <w:t>纠错或建议</w:t>
      </w:r>
      <w:r>
        <w:rPr>
          <w:rFonts w:ascii="宋体" w:hAnsi="宋体" w:eastAsia="宋体" w:cs="宋体"/>
          <w:vanish/>
          <w:sz w:val="24"/>
          <w:szCs w:val="24"/>
        </w:rPr>
        <w:fldChar w:fldCharType="end"/>
      </w:r>
      <w:r>
        <w:rPr>
          <w:rFonts w:ascii="宋体" w:hAnsi="宋体" w:eastAsia="宋体" w:cs="宋体"/>
          <w:vanish/>
          <w:sz w:val="24"/>
          <w:szCs w:val="24"/>
        </w:rPr>
        <w:t xml:space="preserve"> </w:t>
      </w:r>
    </w:p>
    <w:sectPr>
      <w:headerReference r:id="rId3" w:type="default"/>
      <w:footerReference r:id="rId4" w:type="default"/>
      <w:pgSz w:w="11906" w:h="16839"/>
      <w:pgMar w:top="1440" w:right="1800" w:bottom="1440" w:left="1800" w:header="851" w:footer="992" w:gutter="0"/>
      <w:pgNumType w:fmt="decimal"/>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D40ABA">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14:paraId="03057087">
                          <w:pPr>
                            <w:pStyle w:val="8"/>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wps:txbx>
                    <wps:bodyPr vert="horz" wrap="none" lIns="0" tIns="0" rIns="0" bIns="0" anchor="t" anchorCtr="0" upright="0">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M6pebnPAAAABQEAAA8A&#10;AAAAAAAAAQAgAAAAIgAAAGRycy9kb3ducmV2LnhtbFBLAQIUABQAAAAIAIdO4kDRsxSm5wEAAMcD&#10;AAAOAAAAAAAAAAEAIAAAAB4BAABkcnMvZTJvRG9jLnhtbFBLBQYAAAAABgAGAFkBAAB3BQAAAAA=&#10;">
              <v:fill on="f" focussize="0,0"/>
              <v:stroke on="f"/>
              <v:imagedata o:title=""/>
              <o:lock v:ext="edit" aspectratio="f"/>
              <v:textbox inset="0mm,0mm,0mm,0mm" style="mso-fit-shape-to-text:t;">
                <w:txbxContent>
                  <w:p w14:paraId="03057087">
                    <w:pPr>
                      <w:pStyle w:val="8"/>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4F1521">
    <w:pPr>
      <w:pStyle w:val="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bordersDoNotSurroundHeader w:val="0"/>
  <w:bordersDoNotSurroundFooter w:val="0"/>
  <w:documentProtection w:enforcement="0"/>
  <w:defaultTabStop w:val="420"/>
  <w:displayHorizontalDrawingGridEvery w:val="1"/>
  <w:displayVerticalDrawingGridEvery w:val="1"/>
  <w:noPunctuationKerning w:val="1"/>
  <w:characterSpacingControl w:val="doNotCompress"/>
  <w:hdrShapeDefaults>
    <o:shapelayout v:ext="edit">
      <o:idmap v:ext="edit" data="2"/>
    </o:shapelayout>
  </w:hdrShapeDefault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6D3077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pBdr>
        <w:bottom w:val="none" w:color="auto" w:sz="0" w:space="0"/>
      </w:pBdr>
      <w:spacing w:before="0" w:beforeAutospacing="1" w:after="0" w:afterAutospacing="1" w:line="900" w:lineRule="atLeast"/>
      <w:jc w:val="center"/>
    </w:pPr>
    <w:rPr>
      <w:rFonts w:hint="eastAsia" w:ascii="宋体" w:hAnsi="宋体" w:eastAsia="宋体" w:cs="宋体"/>
      <w:b/>
      <w:bCs/>
      <w:color w:val="323534"/>
      <w:kern w:val="0"/>
      <w:sz w:val="36"/>
      <w:szCs w:val="36"/>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13">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8">
    <w:name w:val="footer"/>
    <w:basedOn w:val="1"/>
    <w:uiPriority w:val="0"/>
    <w:pPr>
      <w:tabs>
        <w:tab w:val="center" w:pos="4153"/>
        <w:tab w:val="right" w:pos="8306"/>
      </w:tabs>
      <w:snapToGrid w:val="0"/>
      <w:jc w:val="left"/>
    </w:pPr>
    <w:rPr>
      <w:sz w:val="18"/>
    </w:rPr>
  </w:style>
  <w:style w:type="paragraph" w:styleId="9">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1">
    <w:name w:val="Normal (Web)"/>
    <w:basedOn w:val="1"/>
    <w:uiPriority w:val="0"/>
    <w:pPr>
      <w:spacing w:before="0" w:beforeAutospacing="1" w:after="0" w:afterAutospacing="1"/>
      <w:ind w:left="0" w:right="0"/>
      <w:jc w:val="left"/>
    </w:pPr>
    <w:rPr>
      <w:rFonts w:ascii="微软雅黑" w:hAnsi="微软雅黑" w:eastAsia="微软雅黑" w:cs="微软雅黑"/>
      <w:color w:val="333333"/>
      <w:kern w:val="0"/>
      <w:sz w:val="27"/>
      <w:szCs w:val="27"/>
      <w:lang w:val="en-US" w:eastAsia="zh-CN" w:bidi="ar"/>
    </w:rPr>
  </w:style>
  <w:style w:type="character" w:styleId="14">
    <w:name w:val="Hyperlink"/>
    <w:basedOn w:val="13"/>
    <w:uiPriority w:val="0"/>
    <w:rPr>
      <w:color w:val="0000FF"/>
      <w:u w:val="single"/>
    </w:rPr>
  </w:style>
  <w:style w:type="paragraph" w:customStyle="1" w:styleId="15">
    <w:name w:val="num_fs"/>
    <w:basedOn w:val="1"/>
    <w:uiPriority w:val="0"/>
    <w:pPr>
      <w:jc w:val="left"/>
    </w:pPr>
    <w:rPr>
      <w:vanish/>
      <w:kern w:val="0"/>
      <w:lang w:val="en-US" w:eastAsia="zh-CN" w:bidi="ar"/>
    </w:rPr>
  </w:style>
  <w:style w:type="paragraph" w:customStyle="1" w:styleId="16">
    <w:name w:val="tl"/>
    <w:basedOn w:val="1"/>
    <w:uiPriority w:val="0"/>
    <w:pPr>
      <w:shd w:val="clear" w:fill="D9E5F9"/>
      <w:spacing w:line="600" w:lineRule="atLeast"/>
      <w:ind w:firstLine="450"/>
      <w:jc w:val="left"/>
    </w:pPr>
    <w:rPr>
      <w:b/>
      <w:bCs/>
      <w:color w:val="35569D"/>
      <w:kern w:val="0"/>
      <w:sz w:val="27"/>
      <w:szCs w:val="27"/>
      <w:lang w:val="en-US" w:eastAsia="zh-CN" w:bidi="ar"/>
    </w:rPr>
  </w:style>
  <w:style w:type="paragraph" w:customStyle="1" w:styleId="17">
    <w:name w:val="sets"/>
    <w:basedOn w:val="1"/>
    <w:uiPriority w:val="0"/>
    <w:pPr>
      <w:jc w:val="left"/>
    </w:pPr>
    <w:rPr>
      <w:vanish/>
      <w:kern w:val="0"/>
      <w:lang w:val="en-US" w:eastAsia="zh-CN" w:bidi="ar"/>
    </w:rPr>
  </w:style>
  <w:style w:type="paragraph" w:customStyle="1" w:styleId="18">
    <w:name w:val="xg"/>
    <w:basedOn w:val="1"/>
    <w:uiPriority w:val="0"/>
    <w:pPr>
      <w:jc w:val="left"/>
    </w:pPr>
    <w:rPr>
      <w:kern w:val="0"/>
      <w:lang w:val="en-US" w:eastAsia="zh-CN" w:bidi="ar"/>
    </w:rPr>
  </w:style>
  <w:style w:type="paragraph" w:customStyle="1" w:styleId="19">
    <w:name w:val="wechat-qrcode"/>
    <w:basedOn w:val="1"/>
    <w:uiPriority w:val="0"/>
    <w:pPr>
      <w:jc w:val="left"/>
    </w:pPr>
    <w:rPr>
      <w:vanish/>
      <w:kern w:val="0"/>
      <w:lang w:val="en-US" w:eastAsia="zh-CN" w:bidi="ar"/>
    </w:rPr>
  </w:style>
  <w:style w:type="paragraph" w:customStyle="1" w:styleId="20">
    <w:name w:val="arc_date"/>
    <w:basedOn w:val="1"/>
    <w:uiPriority w:val="0"/>
    <w:pPr>
      <w:spacing w:before="0" w:beforeAutospacing="0" w:line="600" w:lineRule="atLeast"/>
      <w:jc w:val="right"/>
    </w:pPr>
    <w:rPr>
      <w:kern w:val="0"/>
      <w:lang w:val="en-US" w:eastAsia="zh-CN" w:bidi="ar"/>
    </w:rPr>
  </w:style>
  <w:style w:type="paragraph" w:customStyle="1" w:styleId="21">
    <w:name w:val="jcjy"/>
    <w:basedOn w:val="1"/>
    <w:uiPriority w:val="0"/>
    <w:pPr>
      <w:jc w:val="left"/>
    </w:pPr>
    <w:rPr>
      <w:vanish/>
      <w:kern w:val="0"/>
      <w:lang w:val="en-US" w:eastAsia="zh-CN" w:bidi="ar"/>
    </w:rPr>
  </w:style>
  <w:style w:type="paragraph" w:customStyle="1" w:styleId="22">
    <w:name w:val="func"/>
    <w:basedOn w:val="1"/>
    <w:uiPriority w:val="0"/>
    <w:pPr>
      <w:jc w:val="left"/>
    </w:pPr>
    <w:rPr>
      <w:vanish/>
      <w:kern w:val="0"/>
      <w:lang w:val="en-US" w:eastAsia="zh-CN" w:bidi="ar"/>
    </w:rPr>
  </w:style>
  <w:style w:type="paragraph" w:customStyle="1" w:styleId="23">
    <w:name w:val="share"/>
    <w:basedOn w:val="1"/>
    <w:uiPriority w:val="0"/>
    <w:pPr>
      <w:jc w:val="left"/>
    </w:pPr>
    <w:rPr>
      <w:vanish/>
      <w:kern w:val="0"/>
      <w:lang w:val="en-US" w:eastAsia="zh-CN" w:bidi="ar"/>
    </w:rPr>
  </w:style>
  <w:style w:type="paragraph" w:customStyle="1" w:styleId="24">
    <w:name w:val="gzh"/>
    <w:basedOn w:val="1"/>
    <w:uiPriority w:val="0"/>
    <w:pPr>
      <w:jc w:val="center"/>
    </w:pPr>
    <w:rPr>
      <w:kern w:val="0"/>
      <w:lang w:val="en-US" w:eastAsia="zh-CN" w:bidi="ar"/>
    </w:rPr>
  </w:style>
  <w:style w:type="paragraph" w:customStyle="1" w:styleId="25">
    <w:name w:val="actfwzh"/>
    <w:basedOn w:val="1"/>
    <w:uiPriority w:val="0"/>
    <w:pPr>
      <w:spacing w:before="225" w:beforeAutospacing="0" w:after="225" w:afterAutospacing="0"/>
      <w:jc w:val="center"/>
    </w:pPr>
    <w:rPr>
      <w:color w:val="000000"/>
      <w:kern w:val="0"/>
      <w:sz w:val="27"/>
      <w:szCs w:val="27"/>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https://fgk.chinatax.gov.cn/zcfgk/xhtml/images/downlod.png" TargetMode="External"/><Relationship Id="rId7" Type="http://schemas.openxmlformats.org/officeDocument/2006/relationships/image" Target="https://fgk.chinatax.gov.cn/zcfgk/xhtml/images/print.jpg" TargetMode="Externa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Pages>
  <Words>1035</Words>
  <Characters>1079</Characters>
  <TotalTime>0</TotalTime>
  <ScaleCrop>false</ScaleCrop>
  <LinksUpToDate>false</LinksUpToDate>
  <CharactersWithSpaces>1121</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2026-04-13T06:54:47Z</dcterms:created>
  <dc:creator>admin</dc:creator>
  <cp:lastModifiedBy>人来人往</cp:lastModifiedBy>
  <dcterms:modified xsi:type="dcterms:W3CDTF">2026-04-13T06:55:31Z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eyJoZGlkIjoiNGUwNTc4MmFmZTRiNzA4NDVjNmIyOWNjMWEwZjE2NDkiLCJ1c2VySWQiOiI0MjM0NTgzNDQifQ==</vt:lpwstr>
  </property>
  <property fmtid="{D5CDD505-2E9C-101B-9397-08002B2CF9AE}" pid="3" name="KSOProductBuildVer">
    <vt:lpwstr>2052-12.1.0.25225</vt:lpwstr>
  </property>
  <property fmtid="{D5CDD505-2E9C-101B-9397-08002B2CF9AE}" pid="4" name="ICV">
    <vt:lpwstr>863DCE7B2BEF406BAEB609625BBB29F1_13</vt:lpwstr>
  </property>
</Properties>
</file>