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7909" w14:textId="77777777" w:rsidR="00853106" w:rsidRDefault="00000000">
      <w:pPr>
        <w:topLinePunct/>
      </w:pPr>
      <w:bookmarkStart w:id="0" w:name="_Toc183839236"/>
      <w:bookmarkStart w:id="1" w:name="_Toc171694543"/>
      <w:bookmarkStart w:id="2" w:name="_Toc168751096"/>
      <w:bookmarkStart w:id="3" w:name="_Toc189391087"/>
      <w:bookmarkStart w:id="4" w:name="_Toc192656974"/>
      <w:r>
        <w:rPr>
          <w:rFonts w:hint="eastAsia"/>
        </w:rPr>
        <w:t>研究</w:t>
      </w:r>
      <w:bookmarkEnd w:id="0"/>
      <w:bookmarkEnd w:id="1"/>
      <w:bookmarkEnd w:id="2"/>
      <w:r>
        <w:rPr>
          <w:rFonts w:hint="eastAsia"/>
        </w:rPr>
        <w:t>开发费用的</w:t>
      </w:r>
      <w:bookmarkEnd w:id="3"/>
      <w:bookmarkEnd w:id="4"/>
      <w:r>
        <w:rPr>
          <w:rFonts w:hint="eastAsia"/>
        </w:rPr>
        <w:t>归集范围</w:t>
      </w:r>
    </w:p>
    <w:p w14:paraId="090205CC" w14:textId="77777777" w:rsidR="00853106" w:rsidRDefault="00000000">
      <w:pPr>
        <w:topLinePunct/>
      </w:pPr>
      <w:bookmarkStart w:id="5" w:name="_Toc168751099"/>
      <w:r>
        <w:rPr>
          <w:rFonts w:hint="eastAsia"/>
        </w:rPr>
        <w:t>（</w:t>
      </w:r>
      <w:r>
        <w:rPr>
          <w:rFonts w:hint="eastAsia"/>
        </w:rPr>
        <w:t>1</w:t>
      </w:r>
      <w:r>
        <w:rPr>
          <w:rFonts w:hint="eastAsia"/>
        </w:rPr>
        <w:t>）人员人工</w:t>
      </w:r>
      <w:bookmarkEnd w:id="5"/>
      <w:r>
        <w:rPr>
          <w:rFonts w:hint="eastAsia"/>
        </w:rPr>
        <w:t>费用</w:t>
      </w:r>
    </w:p>
    <w:p w14:paraId="2DA50714" w14:textId="77777777" w:rsidR="00853106" w:rsidRDefault="00000000">
      <w:pPr>
        <w:topLinePunct/>
      </w:pPr>
      <w:r>
        <w:rPr>
          <w:rFonts w:hint="eastAsia"/>
        </w:rPr>
        <w:t>包括企业科技人员的工资薪金、基本养老保险费、基本医疗保险费、失业保险费、工伤保险费、生育保险费和住房公积金，以及外聘科技人员的劳务费用。</w:t>
      </w:r>
      <w:bookmarkStart w:id="6" w:name="_Toc168751100"/>
    </w:p>
    <w:bookmarkEnd w:id="6"/>
    <w:p w14:paraId="2F0D44F0" w14:textId="77777777" w:rsidR="00853106" w:rsidRDefault="00000000">
      <w:pPr>
        <w:topLinePunct/>
      </w:pPr>
      <w:r>
        <w:rPr>
          <w:rFonts w:hint="eastAsia"/>
        </w:rPr>
        <w:t>（</w:t>
      </w:r>
      <w:r>
        <w:rPr>
          <w:rFonts w:hint="eastAsia"/>
        </w:rPr>
        <w:t>2</w:t>
      </w:r>
      <w:r>
        <w:rPr>
          <w:rFonts w:hint="eastAsia"/>
        </w:rPr>
        <w:t>）直接投入费用</w:t>
      </w:r>
    </w:p>
    <w:p w14:paraId="2B1A6748" w14:textId="77777777" w:rsidR="00853106" w:rsidRDefault="00000000">
      <w:pPr>
        <w:topLinePunct/>
      </w:pPr>
      <w:r>
        <w:rPr>
          <w:rFonts w:hint="eastAsia"/>
        </w:rPr>
        <w:t>直接投入费用是指企业为实施研究开发活动而实际发生的相关支出。包括：</w:t>
      </w:r>
    </w:p>
    <w:p w14:paraId="2EF9028F" w14:textId="77777777" w:rsidR="00853106" w:rsidRDefault="00000000">
      <w:pPr>
        <w:topLinePunct/>
      </w:pPr>
      <w:r>
        <w:rPr>
          <w:rFonts w:hint="eastAsia"/>
        </w:rPr>
        <w:t>——直接消耗的</w:t>
      </w:r>
      <w:r w:rsidRPr="002A6A6A">
        <w:rPr>
          <w:rFonts w:hint="eastAsia"/>
          <w:color w:val="EE0000"/>
        </w:rPr>
        <w:t>材料、燃料和动力费用</w:t>
      </w:r>
      <w:r>
        <w:rPr>
          <w:rFonts w:hint="eastAsia"/>
        </w:rPr>
        <w:t>；</w:t>
      </w:r>
    </w:p>
    <w:p w14:paraId="21E3F3C7" w14:textId="77777777" w:rsidR="00853106" w:rsidRDefault="00000000">
      <w:pPr>
        <w:topLinePunct/>
      </w:pPr>
      <w:r>
        <w:rPr>
          <w:rFonts w:hint="eastAsia"/>
        </w:rPr>
        <w:t>——用于中间试验和产品试制的模具、工艺装备开发及制造费，不构成固定资产的样品、样机及一般测试手段购置费，试制产品的</w:t>
      </w:r>
      <w:r w:rsidRPr="004C3EF0">
        <w:rPr>
          <w:rFonts w:hint="eastAsia"/>
          <w:color w:val="EE0000"/>
          <w:highlight w:val="yellow"/>
        </w:rPr>
        <w:t>检验费</w:t>
      </w:r>
      <w:r>
        <w:rPr>
          <w:rFonts w:hint="eastAsia"/>
        </w:rPr>
        <w:t>；</w:t>
      </w:r>
    </w:p>
    <w:p w14:paraId="410BEC3D" w14:textId="77777777" w:rsidR="00853106" w:rsidRDefault="00000000">
      <w:pPr>
        <w:topLinePunct/>
      </w:pPr>
      <w:r>
        <w:rPr>
          <w:rFonts w:hint="eastAsia"/>
        </w:rPr>
        <w:t>——用于研究开发活动的仪器、设备的运行</w:t>
      </w:r>
      <w:r w:rsidRPr="00F6745C">
        <w:rPr>
          <w:rFonts w:hint="eastAsia"/>
          <w:color w:val="EE0000"/>
        </w:rPr>
        <w:t>维护、调整、检验、检测、维修</w:t>
      </w:r>
      <w:r>
        <w:rPr>
          <w:rFonts w:hint="eastAsia"/>
        </w:rPr>
        <w:t>等费用，以及通过经营租赁方式租入的用于研发活动的</w:t>
      </w:r>
      <w:r w:rsidRPr="00F6745C">
        <w:rPr>
          <w:rFonts w:hint="eastAsia"/>
          <w:color w:val="EE0000"/>
        </w:rPr>
        <w:t>固定资产租赁费</w:t>
      </w:r>
      <w:r>
        <w:rPr>
          <w:rFonts w:hint="eastAsia"/>
        </w:rPr>
        <w:t>。</w:t>
      </w:r>
    </w:p>
    <w:p w14:paraId="0172BCED" w14:textId="77777777" w:rsidR="00853106" w:rsidRPr="002A6A6A" w:rsidRDefault="00000000">
      <w:pPr>
        <w:topLinePunct/>
        <w:rPr>
          <w:color w:val="EE0000"/>
        </w:rPr>
      </w:pPr>
      <w:r>
        <w:rPr>
          <w:rFonts w:hint="eastAsia"/>
        </w:rPr>
        <w:t>（</w:t>
      </w:r>
      <w:r>
        <w:rPr>
          <w:rFonts w:hint="eastAsia"/>
        </w:rPr>
        <w:t>3</w:t>
      </w:r>
      <w:r>
        <w:rPr>
          <w:rFonts w:hint="eastAsia"/>
        </w:rPr>
        <w:t>）</w:t>
      </w:r>
      <w:r w:rsidRPr="00730B38">
        <w:rPr>
          <w:rFonts w:hint="eastAsia"/>
          <w:color w:val="000000" w:themeColor="text1"/>
        </w:rPr>
        <w:t>折旧费用与长期待摊费用</w:t>
      </w:r>
    </w:p>
    <w:p w14:paraId="29C67EA1" w14:textId="77777777" w:rsidR="00853106" w:rsidRDefault="00000000">
      <w:pPr>
        <w:topLinePunct/>
      </w:pPr>
      <w:r>
        <w:rPr>
          <w:rFonts w:hint="eastAsia"/>
        </w:rPr>
        <w:t>折旧费用是指用于研究开发活动的仪器、设备和在用建</w:t>
      </w:r>
      <w:r>
        <w:rPr>
          <w:rFonts w:hint="eastAsia"/>
        </w:rPr>
        <w:lastRenderedPageBreak/>
        <w:t>筑物的折旧费。</w:t>
      </w:r>
    </w:p>
    <w:p w14:paraId="3EF4B89C" w14:textId="77777777" w:rsidR="00853106" w:rsidRDefault="00000000">
      <w:pPr>
        <w:topLinePunct/>
      </w:pPr>
      <w:r>
        <w:rPr>
          <w:rFonts w:hint="eastAsia"/>
        </w:rPr>
        <w:t>长期待摊费用是指研发设施的改建、改装、装修和修理过程中发生的长期待摊费用。</w:t>
      </w:r>
    </w:p>
    <w:p w14:paraId="4D5B2102" w14:textId="77777777" w:rsidR="00853106" w:rsidRPr="002A6A6A" w:rsidRDefault="00000000">
      <w:pPr>
        <w:topLinePunct/>
        <w:rPr>
          <w:color w:val="EE0000"/>
        </w:rPr>
      </w:pPr>
      <w:r>
        <w:rPr>
          <w:rFonts w:hint="eastAsia"/>
        </w:rPr>
        <w:t>（</w:t>
      </w:r>
      <w:r>
        <w:rPr>
          <w:rFonts w:hint="eastAsia"/>
        </w:rPr>
        <w:t>4</w:t>
      </w:r>
      <w:r>
        <w:rPr>
          <w:rFonts w:hint="eastAsia"/>
        </w:rPr>
        <w:t>）</w:t>
      </w:r>
      <w:r w:rsidRPr="002A6A6A">
        <w:rPr>
          <w:rFonts w:hint="eastAsia"/>
          <w:color w:val="EE0000"/>
        </w:rPr>
        <w:t>无形资产摊销费用</w:t>
      </w:r>
    </w:p>
    <w:p w14:paraId="3C0E3446" w14:textId="77777777" w:rsidR="00853106" w:rsidRDefault="00000000">
      <w:pPr>
        <w:topLinePunct/>
      </w:pPr>
      <w:r>
        <w:rPr>
          <w:rFonts w:hint="eastAsia"/>
        </w:rPr>
        <w:t>无形资产摊销费用是指用于研究开发活动的软件、知识产权、非专利技术（专有技术、许可证、设计和计算方法等）的摊销费用。</w:t>
      </w:r>
    </w:p>
    <w:p w14:paraId="07F84683" w14:textId="77777777" w:rsidR="00853106" w:rsidRPr="002A6A6A" w:rsidRDefault="00000000">
      <w:pPr>
        <w:topLinePunct/>
        <w:rPr>
          <w:color w:val="EE0000"/>
        </w:rPr>
      </w:pPr>
      <w:r>
        <w:rPr>
          <w:rFonts w:hint="eastAsia"/>
        </w:rPr>
        <w:t>（</w:t>
      </w:r>
      <w:r>
        <w:rPr>
          <w:rFonts w:hint="eastAsia"/>
        </w:rPr>
        <w:t>5</w:t>
      </w:r>
      <w:r>
        <w:rPr>
          <w:rFonts w:hint="eastAsia"/>
        </w:rPr>
        <w:t>）</w:t>
      </w:r>
      <w:r w:rsidRPr="002A6A6A">
        <w:rPr>
          <w:rFonts w:hint="eastAsia"/>
          <w:color w:val="EE0000"/>
        </w:rPr>
        <w:t>设计费用</w:t>
      </w:r>
    </w:p>
    <w:p w14:paraId="5AB5C457" w14:textId="77777777" w:rsidR="00853106" w:rsidRDefault="00000000">
      <w:pPr>
        <w:topLinePunct/>
      </w:pPr>
      <w:r>
        <w:rPr>
          <w:rFonts w:hint="eastAsia"/>
        </w:rPr>
        <w:t>设计费用是指为新产品和新工艺进行构思、开发和制造，进行工序、技术规范、规程制定、操作特性方面的设计等发生的费用。包括为获得创新性、创意性、突破性产品进行的创意设计活动发生的相关费用。</w:t>
      </w:r>
    </w:p>
    <w:p w14:paraId="0A3A12A7" w14:textId="77777777" w:rsidR="00853106" w:rsidRDefault="00000000">
      <w:pPr>
        <w:topLinePunct/>
      </w:pPr>
      <w:r>
        <w:rPr>
          <w:rFonts w:hint="eastAsia"/>
        </w:rPr>
        <w:t>（</w:t>
      </w:r>
      <w:r>
        <w:rPr>
          <w:rFonts w:hint="eastAsia"/>
        </w:rPr>
        <w:t>6</w:t>
      </w:r>
      <w:r>
        <w:rPr>
          <w:rFonts w:hint="eastAsia"/>
        </w:rPr>
        <w:t>）</w:t>
      </w:r>
      <w:r w:rsidRPr="004C3EF0">
        <w:rPr>
          <w:rFonts w:hint="eastAsia"/>
          <w:color w:val="EE0000"/>
          <w:highlight w:val="yellow"/>
        </w:rPr>
        <w:t>装备调试费用与试验费用</w:t>
      </w:r>
    </w:p>
    <w:p w14:paraId="70EA4A5C" w14:textId="77777777" w:rsidR="00853106" w:rsidRDefault="00000000">
      <w:pPr>
        <w:topLinePunct/>
      </w:pPr>
      <w:r>
        <w:rPr>
          <w:rFonts w:hint="eastAsia"/>
        </w:rPr>
        <w:t>装备调试费用是指工装准备过程中研究开发活动所发生的费用，包括研制特殊、专用的生产机器，改变生产和质量控制程序，或制定新方法及标准等活动所发生的费用。</w:t>
      </w:r>
    </w:p>
    <w:p w14:paraId="6733A661" w14:textId="77777777" w:rsidR="00853106" w:rsidRDefault="00000000">
      <w:pPr>
        <w:topLinePunct/>
      </w:pPr>
      <w:r>
        <w:rPr>
          <w:rFonts w:hint="eastAsia"/>
        </w:rPr>
        <w:t>为大规模批量化和商业化生产所进行的常规性工装准</w:t>
      </w:r>
      <w:r>
        <w:rPr>
          <w:rFonts w:hint="eastAsia"/>
        </w:rPr>
        <w:lastRenderedPageBreak/>
        <w:t>备和工业工程发生的费用不能计入归集范围。</w:t>
      </w:r>
    </w:p>
    <w:p w14:paraId="4382B3ED" w14:textId="77777777" w:rsidR="00853106" w:rsidRDefault="00000000">
      <w:pPr>
        <w:topLinePunct/>
      </w:pPr>
      <w:r w:rsidRPr="004C3EF0">
        <w:rPr>
          <w:rFonts w:hint="eastAsia"/>
          <w:color w:val="EE0000"/>
          <w:highlight w:val="yellow"/>
        </w:rPr>
        <w:t>试验费用</w:t>
      </w:r>
      <w:r>
        <w:rPr>
          <w:rFonts w:hint="eastAsia"/>
        </w:rPr>
        <w:t>包括新药研制的临床试验费、勘探开发技术的现场试验费、田间试验费等。</w:t>
      </w:r>
    </w:p>
    <w:p w14:paraId="083D5907" w14:textId="01C47758" w:rsidR="00853106" w:rsidRPr="002A6A6A" w:rsidRDefault="00000000">
      <w:pPr>
        <w:topLinePunct/>
        <w:rPr>
          <w:rFonts w:hint="eastAsia"/>
          <w:color w:val="EE0000"/>
        </w:rPr>
      </w:pPr>
      <w:bookmarkStart w:id="7" w:name="_Toc168751105"/>
      <w:r>
        <w:rPr>
          <w:rFonts w:hint="eastAsia"/>
        </w:rPr>
        <w:t>（</w:t>
      </w:r>
      <w:r>
        <w:rPr>
          <w:rFonts w:hint="eastAsia"/>
        </w:rPr>
        <w:t>7</w:t>
      </w:r>
      <w:r>
        <w:rPr>
          <w:rFonts w:hint="eastAsia"/>
        </w:rPr>
        <w:t>）</w:t>
      </w:r>
      <w:r w:rsidRPr="002A6A6A">
        <w:rPr>
          <w:rFonts w:hint="eastAsia"/>
          <w:color w:val="EE0000"/>
        </w:rPr>
        <w:t>委托外部研究开发费用</w:t>
      </w:r>
      <w:r w:rsidR="00E0017B">
        <w:rPr>
          <w:rFonts w:hint="eastAsia"/>
          <w:color w:val="EE0000"/>
        </w:rPr>
        <w:t>---</w:t>
      </w:r>
      <w:r w:rsidR="00E0017B">
        <w:rPr>
          <w:rFonts w:hint="eastAsia"/>
          <w:color w:val="EE0000"/>
        </w:rPr>
        <w:t>一个合同对应一个备案，对应一个项目</w:t>
      </w:r>
    </w:p>
    <w:p w14:paraId="348D116C" w14:textId="77777777" w:rsidR="00853106" w:rsidRDefault="00000000">
      <w:pPr>
        <w:topLinePunct/>
      </w:pPr>
      <w:r>
        <w:rPr>
          <w:rFonts w:hint="eastAsia"/>
        </w:rPr>
        <w:t>委托外部研究开发费用是指企业委托境内外其他机构或个人进行研究开发活动所发生的费用（研究开发活动成果为委托方企业拥有，且与该企业的主要经营业务紧密相关）。委托外部研究开发费用的实际发生额应按照独立交易原则确定，按照实际发生额的</w:t>
      </w:r>
      <w:r>
        <w:rPr>
          <w:rFonts w:hint="eastAsia"/>
        </w:rPr>
        <w:t>80%</w:t>
      </w:r>
      <w:r>
        <w:rPr>
          <w:rFonts w:hint="eastAsia"/>
        </w:rPr>
        <w:t>计入委托方研发费用总额。</w:t>
      </w:r>
    </w:p>
    <w:bookmarkEnd w:id="7"/>
    <w:p w14:paraId="22E238B3" w14:textId="43E64E82" w:rsidR="00853106" w:rsidRPr="002A6A6A" w:rsidRDefault="00000000">
      <w:pPr>
        <w:topLinePunct/>
        <w:rPr>
          <w:rFonts w:hint="eastAsia"/>
          <w:color w:val="EE0000"/>
        </w:rPr>
      </w:pPr>
      <w:r>
        <w:rPr>
          <w:rFonts w:hint="eastAsia"/>
        </w:rPr>
        <w:t>（</w:t>
      </w:r>
      <w:r>
        <w:rPr>
          <w:rFonts w:hint="eastAsia"/>
        </w:rPr>
        <w:t>8</w:t>
      </w:r>
      <w:r>
        <w:rPr>
          <w:rFonts w:hint="eastAsia"/>
        </w:rPr>
        <w:t>）</w:t>
      </w:r>
      <w:r w:rsidRPr="002A6A6A">
        <w:rPr>
          <w:rFonts w:hint="eastAsia"/>
          <w:color w:val="EE0000"/>
        </w:rPr>
        <w:t>其他</w:t>
      </w:r>
      <w:proofErr w:type="gramStart"/>
      <w:r w:rsidRPr="002A6A6A">
        <w:rPr>
          <w:rFonts w:hint="eastAsia"/>
          <w:color w:val="EE0000"/>
        </w:rPr>
        <w:t>费用</w:t>
      </w:r>
      <w:r w:rsidR="00E0017B">
        <w:rPr>
          <w:color w:val="EE0000"/>
        </w:rPr>
        <w:t>—</w:t>
      </w:r>
      <w:r w:rsidR="00E0017B">
        <w:rPr>
          <w:rFonts w:hint="eastAsia"/>
          <w:color w:val="EE0000"/>
        </w:rPr>
        <w:t>该费用</w:t>
      </w:r>
      <w:proofErr w:type="gramEnd"/>
      <w:r w:rsidR="00E0017B">
        <w:rPr>
          <w:rFonts w:hint="eastAsia"/>
          <w:color w:val="EE0000"/>
        </w:rPr>
        <w:t>对应的项目，同期匹配</w:t>
      </w:r>
    </w:p>
    <w:p w14:paraId="5BA5E40C" w14:textId="77777777" w:rsidR="00853106" w:rsidRDefault="00000000">
      <w:pPr>
        <w:topLinePunct/>
      </w:pPr>
      <w:r>
        <w:rPr>
          <w:rFonts w:hint="eastAsia"/>
        </w:rPr>
        <w:t>其他费用是指上述费用之外与研究开发活动直接相关的其他费用，包括技术图书资料费、资料翻译费、专家咨询费、高新科技研发保险费，研发成果的检索、论证、评审、鉴定、验收费用，知识产权的申请费、注册费、代理费，会议费、差旅费、通讯费等。此项费用一般不得超过研究开发总费用的</w:t>
      </w:r>
      <w:r>
        <w:rPr>
          <w:rFonts w:hint="eastAsia"/>
        </w:rPr>
        <w:t>20%</w:t>
      </w:r>
      <w:r>
        <w:rPr>
          <w:rFonts w:hint="eastAsia"/>
        </w:rPr>
        <w:t>，另有规定的除外。</w:t>
      </w:r>
    </w:p>
    <w:p w14:paraId="062A82F8" w14:textId="77777777" w:rsidR="00853106" w:rsidRDefault="00000000">
      <w:pPr>
        <w:topLinePunct/>
      </w:pPr>
      <w:r>
        <w:rPr>
          <w:rFonts w:hint="eastAsia"/>
        </w:rPr>
        <w:lastRenderedPageBreak/>
        <w:t xml:space="preserve">3. </w:t>
      </w:r>
      <w:r>
        <w:rPr>
          <w:rFonts w:hint="eastAsia"/>
        </w:rPr>
        <w:t>企业在中国境内发生的研究开发费用</w:t>
      </w:r>
    </w:p>
    <w:p w14:paraId="27EF1912" w14:textId="77777777" w:rsidR="00853106" w:rsidRDefault="00000000">
      <w:pPr>
        <w:topLinePunct/>
      </w:pPr>
      <w:r>
        <w:rPr>
          <w:rFonts w:hint="eastAsia"/>
        </w:rPr>
        <w:t>企业在中国境内发生的研究开发费用，是指企业内部研究开发活动实际支出的全部费用与委托境内其他机构或个人进行的研究开发活动所支出的费用之和，不包括委托境外机构或个人完成的研究开发活动所发生的费用。受托研发的境外机构是指依照外国和地区（含港澳台）法律成立的企业和其他取得收入的组织；受托研发的境外个人是指外籍（含港澳台）个人。</w:t>
      </w:r>
    </w:p>
    <w:p w14:paraId="1AA18B21" w14:textId="77777777" w:rsidR="00853106" w:rsidRDefault="00000000">
      <w:pPr>
        <w:topLinePunct/>
      </w:pPr>
      <w:bookmarkStart w:id="8" w:name="_Toc171694544"/>
      <w:bookmarkStart w:id="9" w:name="_Toc168751107"/>
      <w:bookmarkStart w:id="10" w:name="_Toc183839237"/>
      <w:r>
        <w:rPr>
          <w:rFonts w:hint="eastAsia"/>
        </w:rPr>
        <w:t>4</w:t>
      </w:r>
      <w:bookmarkEnd w:id="8"/>
      <w:bookmarkEnd w:id="9"/>
      <w:bookmarkEnd w:id="10"/>
      <w:r>
        <w:rPr>
          <w:rFonts w:hint="eastAsia"/>
        </w:rPr>
        <w:t xml:space="preserve">. </w:t>
      </w:r>
      <w:r>
        <w:rPr>
          <w:rFonts w:hint="eastAsia"/>
        </w:rPr>
        <w:t>企业研究开发费用归集办法</w:t>
      </w:r>
    </w:p>
    <w:p w14:paraId="42631E52" w14:textId="77777777" w:rsidR="00853106" w:rsidRDefault="00000000">
      <w:pPr>
        <w:topLinePunct/>
      </w:pPr>
      <w:r>
        <w:rPr>
          <w:rFonts w:hint="eastAsia"/>
        </w:rPr>
        <w:t>企业应正确归集研发费用，由具有资质并符合本《工作指引》相关条件的中介机构进行专项审计或</w:t>
      </w:r>
      <w:proofErr w:type="gramStart"/>
      <w:r>
        <w:rPr>
          <w:rFonts w:hint="eastAsia"/>
        </w:rPr>
        <w:t>鉴证</w:t>
      </w:r>
      <w:proofErr w:type="gramEnd"/>
      <w:r>
        <w:rPr>
          <w:rFonts w:hint="eastAsia"/>
        </w:rPr>
        <w:t>。</w:t>
      </w:r>
    </w:p>
    <w:p w14:paraId="6F8F0581" w14:textId="77777777" w:rsidR="00853106" w:rsidRDefault="00000000">
      <w:pPr>
        <w:ind w:firstLine="620"/>
      </w:pPr>
      <w:r>
        <w:rPr>
          <w:rFonts w:hint="eastAsia"/>
          <w:spacing w:val="-5"/>
        </w:rPr>
        <w:t>企业的研究开发费用是以单个研发活动为基本单位分别进行测度并加</w:t>
      </w:r>
      <w:proofErr w:type="gramStart"/>
      <w:r>
        <w:rPr>
          <w:rFonts w:hint="eastAsia"/>
          <w:spacing w:val="-5"/>
        </w:rPr>
        <w:t>总计算</w:t>
      </w:r>
      <w:proofErr w:type="gramEnd"/>
      <w:r>
        <w:rPr>
          <w:rFonts w:hint="eastAsia"/>
          <w:spacing w:val="-5"/>
        </w:rPr>
        <w:t>的。企业应对包括直接研究开发活动和可以计入的间接研究开发活动所发生的费用进行归集，</w:t>
      </w:r>
    </w:p>
    <w:sectPr w:rsidR="008531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64F2" w14:textId="77777777" w:rsidR="00436815" w:rsidRDefault="00436815">
      <w:pPr>
        <w:spacing w:line="240" w:lineRule="auto"/>
      </w:pPr>
      <w:r>
        <w:separator/>
      </w:r>
    </w:p>
  </w:endnote>
  <w:endnote w:type="continuationSeparator" w:id="0">
    <w:p w14:paraId="5AFD1170" w14:textId="77777777" w:rsidR="00436815" w:rsidRDefault="004368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C44E" w14:textId="77777777" w:rsidR="00436815" w:rsidRDefault="00436815">
      <w:r>
        <w:separator/>
      </w:r>
    </w:p>
  </w:footnote>
  <w:footnote w:type="continuationSeparator" w:id="0">
    <w:p w14:paraId="0E0CB82A" w14:textId="77777777" w:rsidR="00436815" w:rsidRDefault="00436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E25757"/>
    <w:multiLevelType w:val="multilevel"/>
    <w:tmpl w:val="C7E25757"/>
    <w:lvl w:ilvl="0">
      <w:start w:val="1"/>
      <w:numFmt w:val="chineseCounting"/>
      <w:suff w:val="nothing"/>
      <w:lvlText w:val="%1、"/>
      <w:lvlJc w:val="left"/>
      <w:pPr>
        <w:ind w:left="0" w:firstLine="0"/>
      </w:pPr>
      <w:rPr>
        <w:rFonts w:hint="eastAsia"/>
      </w:rPr>
    </w:lvl>
    <w:lvl w:ilvl="1">
      <w:start w:val="1"/>
      <w:numFmt w:val="chineseCounting"/>
      <w:suff w:val="nothing"/>
      <w:lvlText w:val="（%2）"/>
      <w:lvlJc w:val="left"/>
      <w:pPr>
        <w:ind w:left="0" w:firstLine="0"/>
      </w:pPr>
      <w:rPr>
        <w:rFonts w:hint="eastAsia"/>
      </w:rPr>
    </w:lvl>
    <w:lvl w:ilvl="2">
      <w:start w:val="1"/>
      <w:numFmt w:val="decimal"/>
      <w:suff w:val="nothing"/>
      <w:lvlText w:val="%3．"/>
      <w:lvlJc w:val="left"/>
      <w:pPr>
        <w:ind w:left="0" w:firstLine="400"/>
      </w:pPr>
      <w:rPr>
        <w:rFonts w:hint="eastAsia"/>
      </w:rPr>
    </w:lvl>
    <w:lvl w:ilvl="3">
      <w:start w:val="1"/>
      <w:numFmt w:val="decimal"/>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 w15:restartNumberingAfterBreak="0">
    <w:nsid w:val="F4433113"/>
    <w:multiLevelType w:val="multilevel"/>
    <w:tmpl w:val="F4433113"/>
    <w:lvl w:ilvl="0">
      <w:start w:val="1"/>
      <w:numFmt w:val="chineseCounting"/>
      <w:suff w:val="nothing"/>
      <w:lvlText w:val="%1、"/>
      <w:lvlJc w:val="left"/>
      <w:pPr>
        <w:ind w:left="0" w:firstLine="0"/>
      </w:pPr>
      <w:rPr>
        <w:rFonts w:hint="eastAsia"/>
      </w:rPr>
    </w:lvl>
    <w:lvl w:ilvl="1">
      <w:start w:val="1"/>
      <w:numFmt w:val="chineseCounting"/>
      <w:pStyle w:val="2"/>
      <w:suff w:val="nothing"/>
      <w:lvlText w:val="（%2）"/>
      <w:lvlJc w:val="left"/>
      <w:pPr>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2" w15:restartNumberingAfterBreak="0">
    <w:nsid w:val="00000005"/>
    <w:multiLevelType w:val="singleLevel"/>
    <w:tmpl w:val="00000005"/>
    <w:lvl w:ilvl="0">
      <w:start w:val="1"/>
      <w:numFmt w:val="bullet"/>
      <w:pStyle w:val="a"/>
      <w:lvlText w:val=""/>
      <w:lvlJc w:val="left"/>
      <w:pPr>
        <w:tabs>
          <w:tab w:val="left" w:pos="360"/>
        </w:tabs>
        <w:ind w:left="360" w:hanging="360"/>
      </w:pPr>
      <w:rPr>
        <w:rFonts w:ascii="Wingdings" w:hAnsi="Wingdings" w:hint="default"/>
      </w:rPr>
    </w:lvl>
  </w:abstractNum>
  <w:abstractNum w:abstractNumId="3" w15:restartNumberingAfterBreak="0">
    <w:nsid w:val="70D29EF8"/>
    <w:multiLevelType w:val="multilevel"/>
    <w:tmpl w:val="70D29EF8"/>
    <w:lvl w:ilvl="0">
      <w:start w:val="1"/>
      <w:numFmt w:val="chineseCounting"/>
      <w:pStyle w:val="1"/>
      <w:suff w:val="nothing"/>
      <w:lvlText w:val="%1、"/>
      <w:lvlJc w:val="left"/>
      <w:pPr>
        <w:ind w:left="0" w:firstLine="0"/>
      </w:pPr>
      <w:rPr>
        <w:rFonts w:hint="eastAsia"/>
      </w:rPr>
    </w:lvl>
    <w:lvl w:ilvl="1">
      <w:start w:val="1"/>
      <w:numFmt w:val="chineseCounting"/>
      <w:suff w:val="nothing"/>
      <w:lvlText w:val="（%2）"/>
      <w:lvlJc w:val="left"/>
      <w:pPr>
        <w:ind w:left="0" w:firstLine="0"/>
      </w:pPr>
      <w:rPr>
        <w:rFonts w:hint="eastAsia"/>
      </w:rPr>
    </w:lvl>
    <w:lvl w:ilvl="2">
      <w:start w:val="1"/>
      <w:numFmt w:val="decimal"/>
      <w:suff w:val="nothing"/>
      <w:lvlText w:val="%3．"/>
      <w:lvlJc w:val="left"/>
      <w:pPr>
        <w:ind w:left="0" w:firstLine="400"/>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4" w15:restartNumberingAfterBreak="0">
    <w:nsid w:val="7F62CD9A"/>
    <w:multiLevelType w:val="singleLevel"/>
    <w:tmpl w:val="7F62CD9A"/>
    <w:lvl w:ilvl="0">
      <w:start w:val="1"/>
      <w:numFmt w:val="decimal"/>
      <w:pStyle w:val="a0"/>
      <w:lvlText w:val="%1."/>
      <w:lvlJc w:val="left"/>
      <w:pPr>
        <w:tabs>
          <w:tab w:val="left" w:pos="360"/>
        </w:tabs>
        <w:ind w:left="0" w:firstLine="0"/>
      </w:pPr>
      <w:rPr>
        <w:rFonts w:ascii="Times New Roman" w:hAnsi="Times New Roman" w:cs="Calibri" w:hint="default"/>
      </w:rPr>
    </w:lvl>
  </w:abstractNum>
  <w:num w:numId="1" w16cid:durableId="2128352111">
    <w:abstractNumId w:val="3"/>
  </w:num>
  <w:num w:numId="2" w16cid:durableId="1570263144">
    <w:abstractNumId w:val="1"/>
  </w:num>
  <w:num w:numId="3" w16cid:durableId="1731033717">
    <w:abstractNumId w:val="0"/>
  </w:num>
  <w:num w:numId="4" w16cid:durableId="249580054">
    <w:abstractNumId w:val="2"/>
  </w:num>
  <w:num w:numId="5" w16cid:durableId="1341859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205E69"/>
    <w:rsid w:val="001A7D2E"/>
    <w:rsid w:val="0026363A"/>
    <w:rsid w:val="00272634"/>
    <w:rsid w:val="002A6A6A"/>
    <w:rsid w:val="003A69A7"/>
    <w:rsid w:val="00436815"/>
    <w:rsid w:val="004C3EF0"/>
    <w:rsid w:val="00730B38"/>
    <w:rsid w:val="00853106"/>
    <w:rsid w:val="00D1335D"/>
    <w:rsid w:val="00E0017B"/>
    <w:rsid w:val="00F6745C"/>
    <w:rsid w:val="00FC16C8"/>
    <w:rsid w:val="02F8009D"/>
    <w:rsid w:val="03AA6FCE"/>
    <w:rsid w:val="045C07AB"/>
    <w:rsid w:val="04DF7408"/>
    <w:rsid w:val="0506004B"/>
    <w:rsid w:val="06C1141B"/>
    <w:rsid w:val="0962248A"/>
    <w:rsid w:val="09FF5075"/>
    <w:rsid w:val="0A6B04EC"/>
    <w:rsid w:val="0B205E69"/>
    <w:rsid w:val="0E433DCE"/>
    <w:rsid w:val="0ED52F0F"/>
    <w:rsid w:val="10313C3C"/>
    <w:rsid w:val="112C3BE4"/>
    <w:rsid w:val="12C32A01"/>
    <w:rsid w:val="14FE6CBC"/>
    <w:rsid w:val="1611647F"/>
    <w:rsid w:val="164E3C95"/>
    <w:rsid w:val="168242D0"/>
    <w:rsid w:val="172274BC"/>
    <w:rsid w:val="179C0A16"/>
    <w:rsid w:val="17B56290"/>
    <w:rsid w:val="187A7275"/>
    <w:rsid w:val="19BE6408"/>
    <w:rsid w:val="19EF24A3"/>
    <w:rsid w:val="1A3E0EA0"/>
    <w:rsid w:val="1A8D54B1"/>
    <w:rsid w:val="1E5A1B90"/>
    <w:rsid w:val="1F7921EC"/>
    <w:rsid w:val="1F845F6D"/>
    <w:rsid w:val="20835C71"/>
    <w:rsid w:val="21EB3D26"/>
    <w:rsid w:val="22E73790"/>
    <w:rsid w:val="23667E89"/>
    <w:rsid w:val="250F6494"/>
    <w:rsid w:val="25636BB9"/>
    <w:rsid w:val="25A55F80"/>
    <w:rsid w:val="26161FE6"/>
    <w:rsid w:val="26323EE2"/>
    <w:rsid w:val="269C26F2"/>
    <w:rsid w:val="27807F87"/>
    <w:rsid w:val="28564854"/>
    <w:rsid w:val="28606256"/>
    <w:rsid w:val="288400D8"/>
    <w:rsid w:val="29796FD2"/>
    <w:rsid w:val="299652CC"/>
    <w:rsid w:val="29BF3CBB"/>
    <w:rsid w:val="2AA0134C"/>
    <w:rsid w:val="2B835D64"/>
    <w:rsid w:val="2BA172C9"/>
    <w:rsid w:val="2E092534"/>
    <w:rsid w:val="2EC96F16"/>
    <w:rsid w:val="2F931CAF"/>
    <w:rsid w:val="310F7FBB"/>
    <w:rsid w:val="329F241C"/>
    <w:rsid w:val="32DE705C"/>
    <w:rsid w:val="339578C6"/>
    <w:rsid w:val="33BB77C8"/>
    <w:rsid w:val="33D01CEF"/>
    <w:rsid w:val="33DE7C27"/>
    <w:rsid w:val="34051117"/>
    <w:rsid w:val="3474178B"/>
    <w:rsid w:val="3582389A"/>
    <w:rsid w:val="361E7731"/>
    <w:rsid w:val="368F2168"/>
    <w:rsid w:val="37210F1A"/>
    <w:rsid w:val="3752089C"/>
    <w:rsid w:val="39335625"/>
    <w:rsid w:val="397C02A5"/>
    <w:rsid w:val="3BBF5041"/>
    <w:rsid w:val="3C974B14"/>
    <w:rsid w:val="3CFA7ED2"/>
    <w:rsid w:val="3DBB0C25"/>
    <w:rsid w:val="3EC81EEB"/>
    <w:rsid w:val="3FD17940"/>
    <w:rsid w:val="40664BFC"/>
    <w:rsid w:val="41036511"/>
    <w:rsid w:val="417C718E"/>
    <w:rsid w:val="430374A9"/>
    <w:rsid w:val="433A17D1"/>
    <w:rsid w:val="449443BB"/>
    <w:rsid w:val="44A36F5A"/>
    <w:rsid w:val="45542FCB"/>
    <w:rsid w:val="463E6D14"/>
    <w:rsid w:val="46851B9D"/>
    <w:rsid w:val="47BB151F"/>
    <w:rsid w:val="490E56AA"/>
    <w:rsid w:val="49982098"/>
    <w:rsid w:val="4AA12BAA"/>
    <w:rsid w:val="4B2D0E49"/>
    <w:rsid w:val="4D3F0047"/>
    <w:rsid w:val="4D7310BB"/>
    <w:rsid w:val="4E4A3F3A"/>
    <w:rsid w:val="4F4A3766"/>
    <w:rsid w:val="509B6FE2"/>
    <w:rsid w:val="50A4104E"/>
    <w:rsid w:val="5233537E"/>
    <w:rsid w:val="53EF6034"/>
    <w:rsid w:val="54570263"/>
    <w:rsid w:val="54885104"/>
    <w:rsid w:val="5499550F"/>
    <w:rsid w:val="556363F0"/>
    <w:rsid w:val="557E4224"/>
    <w:rsid w:val="55A21E50"/>
    <w:rsid w:val="560E41D9"/>
    <w:rsid w:val="5658654F"/>
    <w:rsid w:val="56D8324A"/>
    <w:rsid w:val="579A26D7"/>
    <w:rsid w:val="580D1960"/>
    <w:rsid w:val="58515970"/>
    <w:rsid w:val="597035DB"/>
    <w:rsid w:val="5BB64468"/>
    <w:rsid w:val="5BBB2458"/>
    <w:rsid w:val="5BF4699C"/>
    <w:rsid w:val="5D005877"/>
    <w:rsid w:val="5D6D74A4"/>
    <w:rsid w:val="5ECF5A68"/>
    <w:rsid w:val="5F6E604F"/>
    <w:rsid w:val="605936F3"/>
    <w:rsid w:val="60A126BD"/>
    <w:rsid w:val="60B17E75"/>
    <w:rsid w:val="63595FCE"/>
    <w:rsid w:val="63931BBD"/>
    <w:rsid w:val="64582240"/>
    <w:rsid w:val="658749E6"/>
    <w:rsid w:val="661928B4"/>
    <w:rsid w:val="66A521FA"/>
    <w:rsid w:val="66EE541F"/>
    <w:rsid w:val="67363C92"/>
    <w:rsid w:val="67584A39"/>
    <w:rsid w:val="679141EB"/>
    <w:rsid w:val="67957DFD"/>
    <w:rsid w:val="67FF11C0"/>
    <w:rsid w:val="6A1E49EE"/>
    <w:rsid w:val="6B864C86"/>
    <w:rsid w:val="6C0A614D"/>
    <w:rsid w:val="6C615764"/>
    <w:rsid w:val="6CD03DDE"/>
    <w:rsid w:val="6D534610"/>
    <w:rsid w:val="6D6D6950"/>
    <w:rsid w:val="6E3B063D"/>
    <w:rsid w:val="6E7300AA"/>
    <w:rsid w:val="6EFB023A"/>
    <w:rsid w:val="6F1104DD"/>
    <w:rsid w:val="70230127"/>
    <w:rsid w:val="703269E5"/>
    <w:rsid w:val="715A4658"/>
    <w:rsid w:val="754D6B5D"/>
    <w:rsid w:val="756E5C8B"/>
    <w:rsid w:val="76202760"/>
    <w:rsid w:val="76BF7180"/>
    <w:rsid w:val="776F5CF9"/>
    <w:rsid w:val="77930AE8"/>
    <w:rsid w:val="77B86ACC"/>
    <w:rsid w:val="78044C6A"/>
    <w:rsid w:val="78711A32"/>
    <w:rsid w:val="78DC3842"/>
    <w:rsid w:val="78EA1A88"/>
    <w:rsid w:val="78F04E11"/>
    <w:rsid w:val="79262C4E"/>
    <w:rsid w:val="795D449F"/>
    <w:rsid w:val="7A902877"/>
    <w:rsid w:val="7ACF1730"/>
    <w:rsid w:val="7AD41ADE"/>
    <w:rsid w:val="7B412E0E"/>
    <w:rsid w:val="7C72449C"/>
    <w:rsid w:val="7E6430BB"/>
    <w:rsid w:val="7EBE7C4C"/>
    <w:rsid w:val="7F567822"/>
    <w:rsid w:val="7F5A51EB"/>
    <w:rsid w:val="7F985B67"/>
    <w:rsid w:val="7FAC7684"/>
    <w:rsid w:val="7FFB1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AEFCB"/>
  <w15:docId w15:val="{14B32B67-F892-4EB7-A821-55405A2E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er" w:qFormat="1"/>
    <w:lsdException w:name="caption" w:semiHidden="1" w:unhideWhenUsed="1" w:qFormat="1"/>
    <w:lsdException w:name="List Bullet"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pPr>
      <w:widowControl w:val="0"/>
      <w:adjustRightInd w:val="0"/>
      <w:snapToGrid w:val="0"/>
      <w:spacing w:line="360" w:lineRule="auto"/>
      <w:ind w:firstLineChars="200" w:firstLine="640"/>
      <w:jc w:val="both"/>
    </w:pPr>
    <w:rPr>
      <w:rFonts w:ascii="Times New Roman" w:eastAsia="仿宋_GB2312" w:hAnsi="Times New Roman" w:cs="Times New Roman"/>
      <w:kern w:val="2"/>
      <w:sz w:val="32"/>
      <w:szCs w:val="32"/>
    </w:rPr>
  </w:style>
  <w:style w:type="paragraph" w:styleId="1">
    <w:name w:val="heading 1"/>
    <w:basedOn w:val="a1"/>
    <w:next w:val="a1"/>
    <w:qFormat/>
    <w:pPr>
      <w:keepNext/>
      <w:keepLines/>
      <w:numPr>
        <w:numId w:val="1"/>
      </w:numPr>
      <w:spacing w:line="600" w:lineRule="exact"/>
      <w:ind w:firstLineChars="0"/>
      <w:outlineLvl w:val="0"/>
    </w:pPr>
    <w:rPr>
      <w:rFonts w:eastAsia="黑体" w:cs="Calibri"/>
      <w:kern w:val="44"/>
      <w:szCs w:val="21"/>
    </w:rPr>
  </w:style>
  <w:style w:type="paragraph" w:styleId="2">
    <w:name w:val="heading 2"/>
    <w:basedOn w:val="a1"/>
    <w:next w:val="a1"/>
    <w:link w:val="20"/>
    <w:semiHidden/>
    <w:unhideWhenUsed/>
    <w:qFormat/>
    <w:pPr>
      <w:numPr>
        <w:ilvl w:val="1"/>
        <w:numId w:val="2"/>
      </w:numPr>
      <w:spacing w:beforeLines="50" w:before="50" w:afterLines="50" w:after="50"/>
      <w:ind w:firstLineChars="0"/>
      <w:outlineLvl w:val="1"/>
    </w:pPr>
    <w:rPr>
      <w:rFonts w:eastAsia="楷体_GB2312"/>
      <w:szCs w:val="24"/>
    </w:rPr>
  </w:style>
  <w:style w:type="paragraph" w:styleId="3">
    <w:name w:val="heading 3"/>
    <w:basedOn w:val="a1"/>
    <w:next w:val="a1"/>
    <w:link w:val="30"/>
    <w:semiHidden/>
    <w:unhideWhenUsed/>
    <w:qFormat/>
    <w:pPr>
      <w:widowControl/>
      <w:numPr>
        <w:ilvl w:val="2"/>
        <w:numId w:val="2"/>
      </w:numPr>
      <w:spacing w:beforeLines="20" w:before="20" w:afterLines="20" w:after="20"/>
      <w:ind w:firstLineChars="0"/>
      <w:jc w:val="left"/>
      <w:outlineLvl w:val="2"/>
    </w:pPr>
    <w:rPr>
      <w:rFonts w:eastAsia="宋体"/>
      <w:bCs/>
      <w:sz w:val="30"/>
      <w:szCs w:val="27"/>
    </w:rPr>
  </w:style>
  <w:style w:type="paragraph" w:styleId="4">
    <w:name w:val="heading 4"/>
    <w:basedOn w:val="a1"/>
    <w:next w:val="a1"/>
    <w:semiHidden/>
    <w:unhideWhenUsed/>
    <w:qFormat/>
    <w:pPr>
      <w:keepNext/>
      <w:keepLines/>
      <w:numPr>
        <w:ilvl w:val="3"/>
        <w:numId w:val="2"/>
      </w:numPr>
      <w:ind w:rightChars="50" w:right="140" w:firstLineChars="0"/>
      <w:outlineLvl w:val="3"/>
    </w:pPr>
    <w:rPr>
      <w:sz w:val="30"/>
    </w:rPr>
  </w:style>
  <w:style w:type="paragraph" w:styleId="5">
    <w:name w:val="heading 5"/>
    <w:basedOn w:val="a1"/>
    <w:next w:val="a1"/>
    <w:semiHidden/>
    <w:unhideWhenUsed/>
    <w:qFormat/>
    <w:pPr>
      <w:keepNext/>
      <w:keepLines/>
      <w:numPr>
        <w:ilvl w:val="4"/>
        <w:numId w:val="3"/>
      </w:numPr>
      <w:ind w:firstLineChars="0"/>
      <w:outlineLvl w:val="4"/>
    </w:pPr>
  </w:style>
  <w:style w:type="paragraph" w:styleId="6">
    <w:name w:val="heading 6"/>
    <w:basedOn w:val="a1"/>
    <w:next w:val="a1"/>
    <w:link w:val="60"/>
    <w:semiHidden/>
    <w:unhideWhenUsed/>
    <w:qFormat/>
    <w:pPr>
      <w:keepNext/>
      <w:keepLines/>
      <w:numPr>
        <w:ilvl w:val="5"/>
        <w:numId w:val="3"/>
      </w:numPr>
      <w:tabs>
        <w:tab w:val="left" w:pos="0"/>
      </w:tabs>
      <w:spacing w:line="600" w:lineRule="exact"/>
      <w:ind w:firstLineChars="0"/>
      <w:outlineLvl w:val="5"/>
    </w:pPr>
    <w:rPr>
      <w:rFonts w:ascii="Arial" w:hAnsi="Arial"/>
      <w:sz w:val="28"/>
    </w:rPr>
  </w:style>
  <w:style w:type="paragraph" w:styleId="7">
    <w:name w:val="heading 7"/>
    <w:basedOn w:val="a1"/>
    <w:next w:val="a1"/>
    <w:semiHidden/>
    <w:unhideWhenUsed/>
    <w:qFormat/>
    <w:pPr>
      <w:keepNext/>
      <w:keepLines/>
      <w:numPr>
        <w:ilvl w:val="6"/>
        <w:numId w:val="3"/>
      </w:numPr>
      <w:spacing w:before="240" w:after="64" w:line="317" w:lineRule="auto"/>
      <w:ind w:firstLineChars="0"/>
      <w:outlineLvl w:val="6"/>
    </w:pPr>
    <w:rPr>
      <w:b/>
      <w:sz w:val="24"/>
    </w:rPr>
  </w:style>
  <w:style w:type="paragraph" w:styleId="8">
    <w:name w:val="heading 8"/>
    <w:basedOn w:val="a1"/>
    <w:next w:val="a1"/>
    <w:semiHidden/>
    <w:unhideWhenUsed/>
    <w:qFormat/>
    <w:pPr>
      <w:keepNext/>
      <w:keepLines/>
      <w:numPr>
        <w:ilvl w:val="7"/>
        <w:numId w:val="3"/>
      </w:numPr>
      <w:spacing w:before="240" w:after="64" w:line="317" w:lineRule="auto"/>
      <w:ind w:firstLineChars="0"/>
      <w:outlineLvl w:val="7"/>
    </w:pPr>
    <w:rPr>
      <w:rFonts w:ascii="Arial" w:eastAsia="黑体" w:hAnsi="Arial"/>
      <w:sz w:val="24"/>
    </w:rPr>
  </w:style>
  <w:style w:type="paragraph" w:styleId="9">
    <w:name w:val="heading 9"/>
    <w:basedOn w:val="a1"/>
    <w:next w:val="a1"/>
    <w:semiHidden/>
    <w:unhideWhenUsed/>
    <w:qFormat/>
    <w:pPr>
      <w:keepNext/>
      <w:keepLines/>
      <w:numPr>
        <w:ilvl w:val="8"/>
        <w:numId w:val="3"/>
      </w:numPr>
      <w:spacing w:before="240" w:after="64" w:line="317" w:lineRule="auto"/>
      <w:ind w:firstLineChars="0"/>
      <w:outlineLvl w:val="8"/>
    </w:pPr>
    <w:rPr>
      <w:rFonts w:ascii="Arial" w:eastAsia="黑体" w:hAnsi="Arial"/>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semiHidden/>
    <w:unhideWhenUsed/>
    <w:qFormat/>
    <w:pPr>
      <w:jc w:val="center"/>
    </w:pPr>
    <w:rPr>
      <w:rFonts w:ascii="Arial" w:eastAsia="黑体" w:hAnsi="Arial"/>
      <w:sz w:val="20"/>
    </w:rPr>
  </w:style>
  <w:style w:type="paragraph" w:styleId="a">
    <w:name w:val="List Bullet"/>
    <w:basedOn w:val="a1"/>
    <w:qFormat/>
    <w:pPr>
      <w:numPr>
        <w:numId w:val="4"/>
      </w:numPr>
    </w:pPr>
  </w:style>
  <w:style w:type="paragraph" w:styleId="a6">
    <w:name w:val="Body Text"/>
    <w:basedOn w:val="a1"/>
    <w:next w:val="a7"/>
    <w:link w:val="a8"/>
    <w:qFormat/>
    <w:rPr>
      <w:szCs w:val="22"/>
    </w:rPr>
  </w:style>
  <w:style w:type="paragraph" w:styleId="a7">
    <w:name w:val="Title"/>
    <w:basedOn w:val="a1"/>
    <w:link w:val="a9"/>
    <w:qFormat/>
    <w:pPr>
      <w:spacing w:before="240" w:after="60"/>
      <w:jc w:val="center"/>
      <w:outlineLvl w:val="0"/>
    </w:pPr>
    <w:rPr>
      <w:rFonts w:ascii="Arial" w:eastAsia="黑体" w:hAnsi="Arial"/>
      <w:b/>
    </w:rPr>
  </w:style>
  <w:style w:type="paragraph" w:styleId="TOC3">
    <w:name w:val="toc 3"/>
    <w:basedOn w:val="a1"/>
    <w:next w:val="a1"/>
    <w:qFormat/>
    <w:pPr>
      <w:ind w:leftChars="400" w:left="840"/>
    </w:pPr>
    <w:rPr>
      <w:rFonts w:cs="Calibri"/>
      <w:sz w:val="30"/>
      <w:szCs w:val="21"/>
    </w:rPr>
  </w:style>
  <w:style w:type="paragraph" w:styleId="aa">
    <w:name w:val="footer"/>
    <w:basedOn w:val="a1"/>
    <w:qFormat/>
    <w:pPr>
      <w:tabs>
        <w:tab w:val="center" w:pos="4153"/>
        <w:tab w:val="right" w:pos="8306"/>
      </w:tabs>
      <w:jc w:val="left"/>
    </w:pPr>
    <w:rPr>
      <w:rFonts w:eastAsiaTheme="minorEastAsia" w:cs="仿宋_GB2312"/>
      <w:sz w:val="20"/>
    </w:rPr>
  </w:style>
  <w:style w:type="paragraph" w:styleId="TOC1">
    <w:name w:val="toc 1"/>
    <w:basedOn w:val="a1"/>
    <w:next w:val="a1"/>
    <w:link w:val="TOC10"/>
    <w:qFormat/>
    <w:pPr>
      <w:ind w:firstLineChars="0" w:firstLine="0"/>
    </w:pPr>
    <w:rPr>
      <w:rFonts w:eastAsia="黑体"/>
      <w:kern w:val="44"/>
      <w:sz w:val="30"/>
      <w:szCs w:val="24"/>
    </w:rPr>
  </w:style>
  <w:style w:type="paragraph" w:styleId="TOC2">
    <w:name w:val="toc 2"/>
    <w:basedOn w:val="a1"/>
    <w:next w:val="a1"/>
    <w:qFormat/>
    <w:pPr>
      <w:ind w:leftChars="200" w:left="560" w:firstLineChars="0" w:firstLine="0"/>
    </w:pPr>
    <w:rPr>
      <w:rFonts w:eastAsia="楷体_GB2312" w:cstheme="minorBidi"/>
      <w:szCs w:val="24"/>
    </w:rPr>
  </w:style>
  <w:style w:type="character" w:customStyle="1" w:styleId="a8">
    <w:name w:val="正文文本 字符"/>
    <w:basedOn w:val="a2"/>
    <w:link w:val="a6"/>
    <w:qFormat/>
    <w:rPr>
      <w:rFonts w:ascii="Times New Roman" w:hAnsi="Times New Roman"/>
      <w:kern w:val="2"/>
      <w:sz w:val="21"/>
      <w:szCs w:val="22"/>
    </w:rPr>
  </w:style>
  <w:style w:type="character" w:customStyle="1" w:styleId="TOC10">
    <w:name w:val="TOC 1 字符"/>
    <w:link w:val="TOC1"/>
    <w:uiPriority w:val="39"/>
    <w:qFormat/>
    <w:rPr>
      <w:rFonts w:ascii="Times New Roman" w:eastAsia="黑体" w:hAnsi="Times New Roman" w:cs="Times New Roman"/>
      <w:kern w:val="44"/>
      <w:sz w:val="30"/>
      <w:szCs w:val="24"/>
      <w:lang w:val="en-US" w:eastAsia="zh-CN" w:bidi="ar-SA"/>
    </w:rPr>
  </w:style>
  <w:style w:type="character" w:customStyle="1" w:styleId="20">
    <w:name w:val="标题 2 字符"/>
    <w:link w:val="2"/>
    <w:qFormat/>
    <w:rPr>
      <w:rFonts w:ascii="Times New Roman" w:eastAsia="楷体_GB2312" w:hAnsi="Times New Roman" w:cs="Times New Roman"/>
      <w:kern w:val="28"/>
      <w:sz w:val="32"/>
      <w:szCs w:val="24"/>
      <w:lang w:val="en-US" w:eastAsia="zh-CN" w:bidi="ar-SA"/>
    </w:rPr>
  </w:style>
  <w:style w:type="character" w:customStyle="1" w:styleId="60">
    <w:name w:val="标题 6 字符"/>
    <w:link w:val="6"/>
    <w:qFormat/>
    <w:rPr>
      <w:rFonts w:ascii="Arial" w:eastAsia="仿宋_GB2312" w:hAnsi="Arial"/>
      <w:sz w:val="28"/>
    </w:rPr>
  </w:style>
  <w:style w:type="character" w:customStyle="1" w:styleId="30">
    <w:name w:val="标题 3 字符"/>
    <w:link w:val="3"/>
    <w:qFormat/>
    <w:rPr>
      <w:rFonts w:ascii="Times New Roman" w:eastAsia="宋体" w:hAnsi="Times New Roman" w:cs="Times New Roman" w:hint="eastAsia"/>
      <w:bCs/>
      <w:kern w:val="2"/>
      <w:sz w:val="30"/>
      <w:szCs w:val="21"/>
      <w:lang w:bidi="ar"/>
    </w:rPr>
  </w:style>
  <w:style w:type="paragraph" w:customStyle="1" w:styleId="a0">
    <w:name w:val="单纯的序号"/>
    <w:basedOn w:val="a"/>
    <w:qFormat/>
    <w:pPr>
      <w:numPr>
        <w:numId w:val="5"/>
      </w:numPr>
      <w:ind w:firstLineChars="200" w:firstLine="880"/>
    </w:pPr>
  </w:style>
  <w:style w:type="paragraph" w:customStyle="1" w:styleId="FirstParagraph">
    <w:name w:val="First Paragraph"/>
    <w:basedOn w:val="a6"/>
    <w:next w:val="a6"/>
    <w:qFormat/>
    <w:pPr>
      <w:spacing w:beforeLines="100" w:before="100" w:afterLines="100" w:after="100"/>
    </w:pPr>
    <w:rPr>
      <w:rFonts w:eastAsia="宋体"/>
    </w:rPr>
  </w:style>
  <w:style w:type="character" w:customStyle="1" w:styleId="a9">
    <w:name w:val="标题 字符"/>
    <w:link w:val="a7"/>
    <w:qFormat/>
    <w:rPr>
      <w:rFonts w:ascii="Arial" w:eastAsia="黑体"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TotalTime>
  <Pages>4</Pages>
  <Words>446</Words>
  <Characters>910</Characters>
  <Application>Microsoft Office Word</Application>
  <DocSecurity>0</DocSecurity>
  <Lines>60</Lines>
  <Paragraphs>36</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dc:creator>
  <cp:lastModifiedBy>yi yin</cp:lastModifiedBy>
  <cp:revision>12</cp:revision>
  <dcterms:created xsi:type="dcterms:W3CDTF">2026-04-25T02:24:00Z</dcterms:created>
  <dcterms:modified xsi:type="dcterms:W3CDTF">2026-04-29T13:52:00Z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5AFCAC7C94204B5A8329F26BEF2F60FB_11</vt:lpwstr>
  </property>
  <property fmtid="{D5CDD505-2E9C-101B-9397-08002B2CF9AE}" pid="4" name="KSOTemplateDocerSaveRecord">
    <vt:lpwstr>eyJoZGlkIjoiOWJhMjg0N2ZjNzM1ZDFmNTEyNGNlZjQzMTUwNzJjNjEiLCJ1c2VySWQiOiI0MzgyNDQ2NzkifQ==</vt:lpwstr>
  </property>
</Properties>
</file>