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Automotive Indirect Procurement Demo Build PRD</w:t>
      </w:r>
    </w:p>
    <w:p>
      <w:pPr>
        <w:pStyle w:val="Subtitle"/>
        <w:spacing w:after="240"/>
      </w:pPr>
      <w:r>
        <w:t>Version 1.0   7 October 2026   English development specification</w:t>
      </w:r>
    </w:p>
    <w:p>
      <w:r>
        <w:rPr>
          <w:color w:val="000000"/>
        </w:rPr>
        <w:t xml:space="preserve">This specification defines the complete build of an anonymous automotive manufacturer's agentic indirect procurement demo. Extend the existing MRO application in </w:t>
      </w:r>
      <w:r>
        <w:rPr>
          <w:rFonts w:ascii="Consolas" w:hAnsi="Consolas"/>
          <w:color w:val="000000"/>
          <w:sz w:val="20"/>
        </w:rPr>
        <w:t>agentic-mro-procurement</w:t>
      </w:r>
      <w:r>
        <w:rPr>
          <w:color w:val="000000"/>
        </w:rPr>
        <w:t>, preserve New Request as the main transactional entry, and implement the six operating-model flows from opportunity identification to Finance-validated savings. The result must be a working, connected demo with consistent records, visible evidence and enforceable decision boundaries.</w:t>
      </w:r>
    </w:p>
    <w:p>
      <w:r>
        <w:rPr>
          <w:color w:val="000000"/>
        </w:rPr>
        <w:t xml:space="preserve">The build includes realistic locations and verified manufacturer part numbers. Transaction values, internal plant and material codes, supplier records, equipment assignments, commercial agreements and approvals are demonstration fixtures. The application and its exported documents must use the neutral identity </w:t>
      </w:r>
      <w:r>
        <w:rPr>
          <w:b/>
          <w:color w:val="000000"/>
        </w:rPr>
        <w:t>Automotive Procurement</w:t>
      </w:r>
      <w:r>
        <w:rPr>
          <w:color w:val="000000"/>
        </w:rPr>
        <w:t xml:space="preserve"> and must not display the actual customer's name or logo.</w:t>
      </w:r>
    </w:p>
    <w:p>
      <w:r>
        <w:br w:type="page"/>
      </w:r>
    </w:p>
    <w:p>
      <w:pPr>
        <w:pStyle w:val="Heading1"/>
      </w:pPr>
      <w:r>
        <w:t>Document contents</w:t>
      </w:r>
    </w:p>
    <w:p>
      <w:pPr>
        <w:spacing w:after="60"/>
      </w:pPr>
      <w:r>
        <w:rPr>
          <w:color w:val="000000"/>
        </w:rPr>
        <w:t>1 Product outcome and build scope</w:t>
      </w:r>
    </w:p>
    <w:p>
      <w:pPr>
        <w:spacing w:after="60"/>
      </w:pPr>
      <w:r>
        <w:rPr>
          <w:color w:val="000000"/>
        </w:rPr>
        <w:t>2 Source basis and current code behavior</w:t>
      </w:r>
    </w:p>
    <w:p>
      <w:pPr>
        <w:spacing w:after="60"/>
      </w:pPr>
      <w:r>
        <w:rPr>
          <w:color w:val="000000"/>
        </w:rPr>
        <w:t>3 Operating model and interaction design</w:t>
      </w:r>
    </w:p>
    <w:p>
      <w:pPr>
        <w:spacing w:after="60"/>
      </w:pPr>
      <w:r>
        <w:rPr>
          <w:color w:val="000000"/>
        </w:rPr>
        <w:t>4 Roles and authority</w:t>
      </w:r>
    </w:p>
    <w:p>
      <w:pPr>
        <w:spacing w:after="60"/>
      </w:pPr>
      <w:r>
        <w:rPr>
          <w:color w:val="000000"/>
        </w:rPr>
        <w:t>5 Decision engine and non-bypassable controls</w:t>
      </w:r>
    </w:p>
    <w:p>
      <w:pPr>
        <w:spacing w:after="60"/>
      </w:pPr>
      <w:r>
        <w:rPr>
          <w:color w:val="000000"/>
        </w:rPr>
        <w:t>6 Flow 1 PR to PO through New Request</w:t>
      </w:r>
    </w:p>
    <w:p>
      <w:pPr>
        <w:spacing w:after="60"/>
      </w:pPr>
      <w:r>
        <w:rPr>
          <w:color w:val="000000"/>
        </w:rPr>
        <w:t>7 Flow 0 Proactive opportunity pipeline</w:t>
      </w:r>
    </w:p>
    <w:p>
      <w:pPr>
        <w:spacing w:after="60"/>
      </w:pPr>
      <w:r>
        <w:rPr>
          <w:color w:val="000000"/>
        </w:rPr>
        <w:t>8 Flow 2 Tail sourcing</w:t>
      </w:r>
    </w:p>
    <w:p>
      <w:pPr>
        <w:spacing w:after="60"/>
      </w:pPr>
      <w:r>
        <w:rPr>
          <w:color w:val="000000"/>
        </w:rPr>
        <w:t>9 Flow 3 Contracting and clause bands</w:t>
      </w:r>
    </w:p>
    <w:p>
      <w:pPr>
        <w:spacing w:after="60"/>
      </w:pPr>
      <w:r>
        <w:rPr>
          <w:color w:val="000000"/>
        </w:rPr>
        <w:t>10 Flow 4 Supplier onboarding and risk</w:t>
      </w:r>
    </w:p>
    <w:p>
      <w:pPr>
        <w:spacing w:after="60"/>
      </w:pPr>
      <w:r>
        <w:rPr>
          <w:color w:val="000000"/>
        </w:rPr>
        <w:t>11 Flow 5 Value assurance and governance</w:t>
      </w:r>
    </w:p>
    <w:p>
      <w:pPr>
        <w:spacing w:after="60"/>
      </w:pPr>
      <w:r>
        <w:rPr>
          <w:color w:val="000000"/>
        </w:rPr>
        <w:t>12 Exceptions escalation and agent operations</w:t>
      </w:r>
    </w:p>
    <w:p>
      <w:pPr>
        <w:spacing w:after="60"/>
      </w:pPr>
      <w:r>
        <w:rPr>
          <w:color w:val="000000"/>
        </w:rPr>
        <w:t>13 Five primary stories and their builds</w:t>
      </w:r>
    </w:p>
    <w:p>
      <w:pPr>
        <w:spacing w:after="60"/>
      </w:pPr>
      <w:r>
        <w:rPr>
          <w:color w:val="000000"/>
        </w:rPr>
        <w:t>14 Mandatory UI restrictions and motion</w:t>
      </w:r>
    </w:p>
    <w:p>
      <w:pPr>
        <w:spacing w:after="60"/>
      </w:pPr>
      <w:r>
        <w:rPr>
          <w:color w:val="000000"/>
        </w:rPr>
        <w:t>15 Canonical automotive data</w:t>
      </w:r>
    </w:p>
    <w:p>
      <w:pPr>
        <w:spacing w:after="60"/>
      </w:pPr>
      <w:r>
        <w:rPr>
          <w:color w:val="000000"/>
        </w:rPr>
        <w:t>16 Financial measures and dashboard definitions</w:t>
      </w:r>
    </w:p>
    <w:p>
      <w:pPr>
        <w:spacing w:after="60"/>
      </w:pPr>
      <w:r>
        <w:rPr>
          <w:color w:val="000000"/>
        </w:rPr>
        <w:t>17 Domain state and event contract</w:t>
      </w:r>
    </w:p>
    <w:p>
      <w:pPr>
        <w:spacing w:after="60"/>
      </w:pPr>
      <w:r>
        <w:rPr>
          <w:color w:val="000000"/>
        </w:rPr>
        <w:t>18 Component reuse and file implementation map</w:t>
      </w:r>
    </w:p>
    <w:p>
      <w:pPr>
        <w:spacing w:after="60"/>
      </w:pPr>
      <w:r>
        <w:rPr>
          <w:color w:val="000000"/>
        </w:rPr>
        <w:t>19 Agent catalogue and bounded responsibilities</w:t>
      </w:r>
    </w:p>
    <w:p>
      <w:pPr>
        <w:spacing w:after="60"/>
      </w:pPr>
      <w:r>
        <w:rPr>
          <w:color w:val="000000"/>
        </w:rPr>
        <w:t>20 Enterprise interfaces and demo substitutes</w:t>
      </w:r>
    </w:p>
    <w:p>
      <w:pPr>
        <w:spacing w:after="60"/>
      </w:pPr>
      <w:r>
        <w:rPr>
          <w:color w:val="000000"/>
        </w:rPr>
        <w:t>21 Build sequence and deliverables</w:t>
      </w:r>
    </w:p>
    <w:p>
      <w:pPr>
        <w:spacing w:after="60"/>
      </w:pPr>
      <w:r>
        <w:rPr>
          <w:color w:val="000000"/>
        </w:rPr>
        <w:t>22 Acceptance suite</w:t>
      </w:r>
    </w:p>
    <w:p>
      <w:pPr>
        <w:spacing w:after="60"/>
      </w:pPr>
      <w:r>
        <w:rPr>
          <w:color w:val="000000"/>
        </w:rPr>
        <w:t>23 Requirement traceability and source references</w:t>
      </w:r>
    </w:p>
    <w:p>
      <w:pPr>
        <w:spacing w:after="60"/>
      </w:pPr>
      <w:r>
        <w:rPr>
          <w:color w:val="000000"/>
        </w:rPr>
        <w:t>24 Instructions for Claude build execution</w:t>
      </w:r>
    </w:p>
    <w:p>
      <w:r>
        <w:br w:type="page"/>
      </w:r>
    </w:p>
    <w:p>
      <w:pPr>
        <w:pStyle w:val="Heading1"/>
      </w:pPr>
      <w:r>
        <w:t>1 Product outcome and build scope</w:t>
      </w:r>
    </w:p>
    <w:p>
      <w:r>
        <w:rPr>
          <w:color w:val="000000"/>
        </w:rPr>
        <w:t>The demo must show how a plant request becomes an approved, correctly sourced purchase, how proactive opportunities influence that purchase, and how Finance validates the eventual saving. A presenter must be able to demonstrate a clean touchless path and then show the specific conditions that require human authority.</w:t>
      </w:r>
    </w:p>
    <w:p>
      <w:r>
        <w:rPr>
          <w:color w:val="000000"/>
        </w:rPr>
        <w:t>Keep the existing source-document previews, progressive extraction, agent handoffs, RFQ comparison, supplier conversation and analytics patterns. Expand the business model from individual MRO validations to indirect procurement across maintenance spares, consumables, engineering services and facilities services. Do not interpret the task as replacing names and prices in the current screens.</w:t>
      </w:r>
    </w:p>
    <w:p>
      <w:pPr>
        <w:pStyle w:val="Heading2"/>
      </w:pPr>
      <w:r>
        <w:t>1 1 Included in this build</w:t>
      </w:r>
    </w:p>
    <w:p>
      <w:pPr>
        <w:pStyle w:val="ListBullet"/>
      </w:pPr>
      <w:r>
        <w:rPr>
          <w:color w:val="000000"/>
        </w:rPr>
        <w:t>Flow 0 Opportunity Pipeline with spend classification, opportunity sizing, Category Lead approval and Finance baseline agreement.</w:t>
      </w:r>
    </w:p>
    <w:p>
      <w:pPr>
        <w:pStyle w:val="ListBullet"/>
      </w:pPr>
      <w:r>
        <w:rPr>
          <w:color w:val="000000"/>
        </w:rPr>
        <w:t>Flow 1 PR-to-PO with guided intake, policy checks, catalogue and contract matching, opportunity matching, approval and PO dispatch.</w:t>
      </w:r>
    </w:p>
    <w:p>
      <w:pPr>
        <w:pStyle w:val="ListBullet"/>
      </w:pPr>
      <w:r>
        <w:rPr>
          <w:color w:val="000000"/>
        </w:rPr>
        <w:t>Flow 2 Tail Sourcing with pooling, call-off detection, RFQ, quote comparison, BAFO, competition checks and award.</w:t>
      </w:r>
    </w:p>
    <w:p>
      <w:pPr>
        <w:pStyle w:val="ListBullet"/>
      </w:pPr>
      <w:r>
        <w:rPr>
          <w:color w:val="000000"/>
        </w:rPr>
        <w:t>Flow 3 Contracting with scope triage, versioned templates, Green/Amber/Red clause comparison, human decisions, simulated signing and repository storage.</w:t>
      </w:r>
    </w:p>
    <w:p>
      <w:pPr>
        <w:pStyle w:val="ListBullet"/>
      </w:pPr>
      <w:r>
        <w:rPr>
          <w:color w:val="000000"/>
        </w:rPr>
        <w:t>Flow 4 Supplier Onboarding with panel reuse, document validation, risk screening, human bank verification and activation.</w:t>
      </w:r>
    </w:p>
    <w:p>
      <w:pPr>
        <w:pStyle w:val="ListBullet"/>
      </w:pPr>
      <w:r>
        <w:rPr>
          <w:color w:val="000000"/>
        </w:rPr>
        <w:t>Flow 5 Value Assurance with PO-stage savings, receipt and invoice evidence, leakage recovery, Finance sign-off and governed changes.</w:t>
      </w:r>
    </w:p>
    <w:p>
      <w:pPr>
        <w:pStyle w:val="ListBullet"/>
      </w:pPr>
      <w:r>
        <w:rPr>
          <w:color w:val="000000"/>
        </w:rPr>
        <w:t>Cross-flow confidence lanes, hard constraints, role-based review, escalation timers, audit history, agent pause and case fallback.</w:t>
      </w:r>
    </w:p>
    <w:p>
      <w:pPr>
        <w:pStyle w:val="ListBullet"/>
      </w:pPr>
      <w:r>
        <w:rPr>
          <w:color w:val="000000"/>
        </w:rPr>
        <w:t>Existing supplier portal, service desk, requisition list, exception board and control tower, connected to the new records.</w:t>
      </w:r>
    </w:p>
    <w:p>
      <w:pPr>
        <w:pStyle w:val="ListBullet"/>
      </w:pPr>
      <w:r>
        <w:rPr>
          <w:color w:val="000000"/>
        </w:rPr>
        <w:t>Deterministic scenario replay, bounded free-text intake, reset and simulated time progression.</w:t>
      </w:r>
    </w:p>
    <w:p>
      <w:pPr>
        <w:pStyle w:val="Heading2"/>
      </w:pPr>
      <w:r>
        <w:t>1 2 Demo execution boundary</w:t>
      </w:r>
    </w:p>
    <w:p>
      <w:r>
        <w:rPr>
          <w:color w:val="000000"/>
        </w:rPr>
        <w:t>This is a front-end demonstration build. React state and deterministic mock connectors simulate enterprise events. The build does not require a production backend, live ERP credentials, live supplier screening, a model endpoint, real emails, actual signatures, actual orders or payment execution. A simulated external action must have an explicit event and result in the demo store. It must not claim that a real system received it.</w:t>
      </w:r>
    </w:p>
    <w:p>
      <w:r>
        <w:rPr>
          <w:color w:val="000000"/>
        </w:rPr>
        <w:t>Use brief business copy such as “Demo environment” in the application shell. Place detailed simulation settings in presenter controls, outside normal user flows. Preserve the ability to export the displayed business documents. Production integration requirements are documented in section 20 and are separate from demo acceptance.</w:t>
      </w:r>
    </w:p>
    <w:p>
      <w:pPr>
        <w:pStyle w:val="Heading2"/>
      </w:pPr>
      <w:r>
        <w:t>1 3 Completion definition</w:t>
      </w:r>
    </w:p>
    <w:p>
      <w:r>
        <w:rPr>
          <w:color w:val="000000"/>
        </w:rPr>
        <w:t>All six flows must be executable through their named screens and linked cases. Required decisions must change domain records and derived metrics. No core-flow page may consist only of descriptive agent cards. No happy-path outcome may be obtained by clicking through an unresolved hard constraint. The five primary stories in section 13, their required branches and the acceptance suite in section 22 define completion. These stories replace the previous demo's presenter stories.</w:t>
      </w:r>
    </w:p>
    <w:p>
      <w:pPr>
        <w:pStyle w:val="Heading1"/>
      </w:pPr>
      <w:r>
        <w:t>2 Source basis and current code behavior</w:t>
      </w:r>
    </w:p>
    <w:p>
      <w:r>
        <w:rPr>
          <w:color w:val="000000"/>
        </w:rPr>
        <w:t xml:space="preserve">The reviewed repository is </w:t>
      </w:r>
      <w:r>
        <w:rPr>
          <w:rFonts w:ascii="Consolas" w:hAnsi="Consolas"/>
          <w:color w:val="000000"/>
          <w:sz w:val="20"/>
        </w:rPr>
        <w:t>https:/​/​github.com/​lujunyangtcs/​agentic-mro-procurement</w:t>
      </w:r>
      <w:r>
        <w:rPr>
          <w:color w:val="000000"/>
        </w:rPr>
        <w:t xml:space="preserve">, pinned to commit </w:t>
      </w:r>
      <w:r>
        <w:rPr>
          <w:rFonts w:ascii="Consolas" w:hAnsi="Consolas"/>
          <w:color w:val="000000"/>
          <w:sz w:val="20"/>
        </w:rPr>
        <w:t>667bad650eb952c3883a04263e0c90f6e2325254</w:t>
      </w:r>
      <w:r>
        <w:rPr>
          <w:color w:val="000000"/>
        </w:rPr>
        <w:t>, dated 6 October 2026. Review covered the active application routing, MRO state and data modules, New Request intake, guided workspace, case definitions, source documents, RFQ and onboarding components, exception actions, invoice matching, supplier service desk and analytics selectors. Repository documentation was read as supporting context. Executable code takes precedence where old scripts disagree with it.</w:t>
      </w:r>
    </w:p>
    <w:p>
      <w:r>
        <w:rPr>
          <w:color w:val="000000"/>
        </w:rPr>
        <w:t xml:space="preserve">The supplied TOM deck contains 21 physical slides. Its visible footer numbers are not a continuous index and extend to 25. All slide references in this PRD use the </w:t>
      </w:r>
      <w:r>
        <w:rPr>
          <w:b/>
          <w:color w:val="000000"/>
        </w:rPr>
        <w:t>physical slide order</w:t>
      </w:r>
      <w:r>
        <w:rPr>
          <w:color w:val="000000"/>
        </w:rPr>
        <w:t>. Slides 1–9 explain the operating model and human responsibilities. Slides 10–21 define the agentic extension, confidence lanes, six flows, authority, constraints, measures and memory.</w:t>
      </w:r>
    </w:p>
    <w:p>
      <w:pPr>
        <w:pStyle w:val="Heading2"/>
      </w:pPr>
      <w:r>
        <w:t>2 1 Actual application entry</w:t>
      </w:r>
    </w:p>
    <w:p>
      <w:r>
        <w:rPr>
          <w:rFonts w:ascii="Consolas" w:hAnsi="Consolas"/>
          <w:color w:val="000000"/>
          <w:sz w:val="20"/>
        </w:rPr>
        <w:t>src/​main.tsx</w:t>
      </w:r>
      <w:r>
        <w:rPr>
          <w:color w:val="000000"/>
        </w:rPr>
        <w:t xml:space="preserve"> mounts </w:t>
      </w:r>
      <w:r>
        <w:rPr>
          <w:rFonts w:ascii="Consolas" w:hAnsi="Consolas"/>
          <w:color w:val="000000"/>
          <w:sz w:val="20"/>
        </w:rPr>
        <w:t>Root.tsx</w:t>
      </w:r>
      <w:r>
        <w:rPr>
          <w:color w:val="000000"/>
        </w:rPr>
        <w:t xml:space="preserve">. The root exposes Buyer and Supplier entry cards and launches </w:t>
      </w:r>
      <w:r>
        <w:rPr>
          <w:rFonts w:ascii="Consolas" w:hAnsi="Consolas"/>
          <w:color w:val="000000"/>
          <w:sz w:val="20"/>
        </w:rPr>
        <w:t>src/​mro/​App.tsx</w:t>
      </w:r>
      <w:r>
        <w:rPr>
          <w:color w:val="000000"/>
        </w:rPr>
        <w:t xml:space="preserve">. The sibling P2P, O2C and Freight applications remain wired in the repository but are not the procurement interface currently exposed at the door. Extend </w:t>
      </w:r>
      <w:r>
        <w:rPr>
          <w:rFonts w:ascii="Consolas" w:hAnsi="Consolas"/>
          <w:color w:val="000000"/>
          <w:sz w:val="20"/>
        </w:rPr>
        <w:t>src/​mro</w:t>
      </w:r>
      <w:r>
        <w:rPr>
          <w:color w:val="000000"/>
        </w:rPr>
        <w:t xml:space="preserve"> rather than implementing the new procurement requirements in the sibling </w:t>
      </w:r>
      <w:r>
        <w:rPr>
          <w:rFonts w:ascii="Consolas" w:hAnsi="Consolas"/>
          <w:color w:val="000000"/>
          <w:sz w:val="20"/>
        </w:rPr>
        <w:t>src/​App.tsx</w:t>
      </w:r>
      <w:r>
        <w:rPr>
          <w:color w:val="000000"/>
        </w:rPr>
        <w:t>.</w:t>
      </w:r>
    </w:p>
    <w:p>
      <w:r>
        <w:rPr>
          <w:rFonts w:ascii="Consolas" w:hAnsi="Consolas"/>
          <w:color w:val="000000"/>
          <w:sz w:val="20"/>
        </w:rPr>
        <w:t>ProcurementStoreProvider</w:t>
      </w:r>
      <w:r>
        <w:rPr>
          <w:color w:val="000000"/>
        </w:rPr>
        <w:t xml:space="preserve"> sits above the entry screen. Its requisitions, invoice tie-outs, supplier conversations and language remain available when the presenter signs out of one seat and enters another. </w:t>
      </w:r>
      <w:r>
        <w:rPr>
          <w:rFonts w:ascii="Consolas" w:hAnsi="Consolas"/>
          <w:color w:val="000000"/>
          <w:sz w:val="20"/>
        </w:rPr>
        <w:t>src/​mro/​state.tsx</w:t>
      </w:r>
      <w:r>
        <w:rPr>
          <w:color w:val="000000"/>
        </w:rPr>
        <w:t xml:space="preserve"> manages navigation and guided-run progress inside the MRO application. That progress is keyed by scenario-level </w:t>
      </w:r>
      <w:r>
        <w:rPr>
          <w:rFonts w:ascii="Consolas" w:hAnsi="Consolas"/>
          <w:color w:val="000000"/>
          <w:sz w:val="20"/>
        </w:rPr>
        <w:t>FlowId</w:t>
      </w:r>
      <w:r>
        <w:rPr>
          <w:color w:val="000000"/>
        </w:rPr>
        <w:t>, not by transaction instance.</w:t>
      </w:r>
    </w:p>
    <w:p>
      <w:pPr>
        <w:pStyle w:val="Heading2"/>
      </w:pPr>
      <w:r>
        <w:t>2 2 New Request path as implemented</w:t>
      </w:r>
    </w:p>
    <w:p>
      <w:r>
        <w:rPr>
          <w:color w:val="000000"/>
        </w:rPr>
        <w:t xml:space="preserve">The work menu opens the intake agent view. </w:t>
      </w:r>
      <w:r>
        <w:rPr>
          <w:rFonts w:ascii="Consolas" w:hAnsi="Consolas"/>
          <w:color w:val="000000"/>
          <w:sz w:val="20"/>
        </w:rPr>
        <w:t>IntakeConsole.tsx</w:t>
      </w:r>
      <w:r>
        <w:rPr>
          <w:color w:val="000000"/>
        </w:rPr>
        <w:t xml:space="preserve"> displays three channel cards: Email, Work order and Portal. </w:t>
      </w:r>
      <w:r>
        <w:rPr>
          <w:rFonts w:ascii="Consolas" w:hAnsi="Consolas"/>
          <w:color w:val="000000"/>
          <w:sz w:val="20"/>
        </w:rPr>
        <w:t>intakeChannels.tsx</w:t>
      </w:r>
      <w:r>
        <w:rPr>
          <w:color w:val="000000"/>
        </w:rPr>
        <w:t xml:space="preserve"> derives scripted intake content from the first source and extraction stages of the corresponding registered run. The email example uses the </w:t>
      </w:r>
      <w:r>
        <w:rPr>
          <w:rFonts w:ascii="Consolas" w:hAnsi="Consolas"/>
          <w:color w:val="000000"/>
          <w:sz w:val="20"/>
        </w:rPr>
        <w:t>catalogue</w:t>
      </w:r>
      <w:r>
        <w:rPr>
          <w:color w:val="000000"/>
        </w:rPr>
        <w:t xml:space="preserve"> filter-bag case, the work-order example uses the </w:t>
      </w:r>
      <w:r>
        <w:rPr>
          <w:rFonts w:ascii="Consolas" w:hAnsi="Consolas"/>
          <w:color w:val="000000"/>
          <w:sz w:val="20"/>
        </w:rPr>
        <w:t>bearing</w:t>
      </w:r>
      <w:r>
        <w:rPr>
          <w:color w:val="000000"/>
        </w:rPr>
        <w:t xml:space="preserve"> case, and the portal example uses the </w:t>
      </w:r>
      <w:r>
        <w:rPr>
          <w:rFonts w:ascii="Consolas" w:hAnsi="Consolas"/>
          <w:color w:val="000000"/>
          <w:sz w:val="20"/>
        </w:rPr>
        <w:t>gearbox</w:t>
      </w:r>
      <w:r>
        <w:rPr>
          <w:color w:val="000000"/>
        </w:rPr>
        <w:t xml:space="preserve"> case.</w:t>
      </w:r>
    </w:p>
    <w:p>
      <w:r>
        <w:rPr>
          <w:color w:val="000000"/>
        </w:rPr>
        <w:t>The intake conversation animates extraction and fills a requisition preview. Raising the request opens a receipt. Entering the run resets that scenario's progress, marks step zero approved and opens its workspace at index one, carrying the selected contract/RFQ route. It does not create a new business record. The underlying requisitions already exist in the seed dataset.</w:t>
      </w:r>
    </w:p>
    <w:p>
      <w:r>
        <w:rPr>
          <w:color w:val="000000"/>
        </w:rPr>
        <w:t xml:space="preserve">An arbitrary typed question currently reuses </w:t>
      </w:r>
      <w:r>
        <w:rPr>
          <w:rFonts w:ascii="Consolas" w:hAnsi="Consolas"/>
          <w:color w:val="000000"/>
          <w:sz w:val="20"/>
        </w:rPr>
        <w:t>chips[0].spec</w:t>
      </w:r>
      <w:r>
        <w:rPr>
          <w:color w:val="000000"/>
        </w:rPr>
        <w:t xml:space="preserve"> while replacing its displayed question. It therefore plays the same predefined extraction regardless of the user's actual specification. A new build must replace this behavior with the bounded intake behavior in section 6.</w:t>
      </w:r>
    </w:p>
    <w:p>
      <w:pPr>
        <w:pStyle w:val="Heading2"/>
      </w:pPr>
      <w:r>
        <w:t>2 3 Guided workspace as implemented</w:t>
      </w:r>
    </w:p>
    <w:p>
      <w:r>
        <w:rPr>
          <w:rFonts w:ascii="Consolas" w:hAnsi="Consolas"/>
          <w:color w:val="000000"/>
          <w:sz w:val="20"/>
        </w:rPr>
        <w:t>flowRuns.tsx</w:t>
      </w:r>
      <w:r>
        <w:rPr>
          <w:color w:val="000000"/>
        </w:rPr>
        <w:t xml:space="preserve"> registers eight scenario keys: </w:t>
      </w:r>
      <w:r>
        <w:rPr>
          <w:rFonts w:ascii="Consolas" w:hAnsi="Consolas"/>
          <w:color w:val="000000"/>
          <w:sz w:val="20"/>
        </w:rPr>
        <w:t>catalogue</w:t>
      </w:r>
      <w:r>
        <w:rPr>
          <w:color w:val="000000"/>
        </w:rPr>
        <w:t xml:space="preserve">, </w:t>
      </w:r>
      <w:r>
        <w:rPr>
          <w:rFonts w:ascii="Consolas" w:hAnsi="Consolas"/>
          <w:color w:val="000000"/>
          <w:sz w:val="20"/>
        </w:rPr>
        <w:t>bearing</w:t>
      </w:r>
      <w:r>
        <w:rPr>
          <w:color w:val="000000"/>
        </w:rPr>
        <w:t xml:space="preserve">, </w:t>
      </w:r>
      <w:r>
        <w:rPr>
          <w:rFonts w:ascii="Consolas" w:hAnsi="Consolas"/>
          <w:color w:val="000000"/>
          <w:sz w:val="20"/>
        </w:rPr>
        <w:t>pump</w:t>
      </w:r>
      <w:r>
        <w:rPr>
          <w:color w:val="000000"/>
        </w:rPr>
        <w:t xml:space="preserve">, </w:t>
      </w:r>
      <w:r>
        <w:rPr>
          <w:rFonts w:ascii="Consolas" w:hAnsi="Consolas"/>
          <w:color w:val="000000"/>
          <w:sz w:val="20"/>
        </w:rPr>
        <w:t>gearbox</w:t>
      </w:r>
      <w:r>
        <w:rPr>
          <w:color w:val="000000"/>
        </w:rPr>
        <w:t xml:space="preserve">, </w:t>
      </w:r>
      <w:r>
        <w:rPr>
          <w:rFonts w:ascii="Consolas" w:hAnsi="Consolas"/>
          <w:color w:val="000000"/>
          <w:sz w:val="20"/>
        </w:rPr>
        <w:t>risk</w:t>
      </w:r>
      <w:r>
        <w:rPr>
          <w:color w:val="000000"/>
        </w:rPr>
        <w:t xml:space="preserve">, </w:t>
      </w:r>
      <w:r>
        <w:rPr>
          <w:rFonts w:ascii="Consolas" w:hAnsi="Consolas"/>
          <w:color w:val="000000"/>
          <w:sz w:val="20"/>
        </w:rPr>
        <w:t>compliance</w:t>
      </w:r>
      <w:r>
        <w:rPr>
          <w:color w:val="000000"/>
        </w:rPr>
        <w:t xml:space="preserve">, </w:t>
      </w:r>
      <w:r>
        <w:rPr>
          <w:rFonts w:ascii="Consolas" w:hAnsi="Consolas"/>
          <w:color w:val="000000"/>
          <w:sz w:val="20"/>
        </w:rPr>
        <w:t>onboarding</w:t>
      </w:r>
      <w:r>
        <w:rPr>
          <w:color w:val="000000"/>
        </w:rPr>
        <w:t xml:space="preserve"> and </w:t>
      </w:r>
      <w:r>
        <w:rPr>
          <w:rFonts w:ascii="Consolas" w:hAnsi="Consolas"/>
          <w:color w:val="000000"/>
          <w:sz w:val="20"/>
        </w:rPr>
        <w:t>off-catalogue</w:t>
      </w:r>
      <w:r>
        <w:rPr>
          <w:color w:val="000000"/>
        </w:rPr>
        <w:t xml:space="preserve">. These keys do not correspond to the TOM's Flow 0–5 identifiers. For example, </w:t>
      </w:r>
      <w:r>
        <w:rPr>
          <w:rFonts w:ascii="Consolas" w:hAnsi="Consolas"/>
          <w:color w:val="000000"/>
          <w:sz w:val="20"/>
        </w:rPr>
        <w:t>bearing</w:t>
      </w:r>
      <w:r>
        <w:rPr>
          <w:color w:val="000000"/>
        </w:rPr>
        <w:t xml:space="preserve"> currently contains a pump-diaphragm purchase, while </w:t>
      </w:r>
      <w:r>
        <w:rPr>
          <w:rFonts w:ascii="Consolas" w:hAnsi="Consolas"/>
          <w:color w:val="000000"/>
          <w:sz w:val="20"/>
        </w:rPr>
        <w:t>pump</w:t>
      </w:r>
      <w:r>
        <w:rPr>
          <w:color w:val="000000"/>
        </w:rPr>
        <w:t xml:space="preserve"> contains a mechanical-seal request. Preserve these only as temporary migration aliases.</w:t>
      </w:r>
    </w:p>
    <w:p>
      <w:r>
        <w:rPr>
          <w:rFonts w:ascii="Consolas" w:hAnsi="Consolas"/>
          <w:color w:val="000000"/>
          <w:sz w:val="20"/>
        </w:rPr>
        <w:t>Workspace.tsx</w:t>
      </w:r>
      <w:r>
        <w:rPr>
          <w:color w:val="000000"/>
        </w:rPr>
        <w:t xml:space="preserve"> reads a scenario's scripted steps, previews evidence, shows the produced artifact, and advances after decisions. Choosing the contract route filters out an RFQ step and renumbers the remaining steps. Decisions are keyed by numerical step index. Approving an intermediate step hands off to the next agent. Approving the final step settles the run. Rejecting or escalating settles it as halted. Some flagged cases can continue with a pending item.</w:t>
      </w:r>
    </w:p>
    <w:p>
      <w:r>
        <w:rPr>
          <w:color w:val="000000"/>
        </w:rPr>
        <w:t>The main MRO workspace does not call the business store's requisition-release or invoice-update actions when it settles. Its progress and the shared business records can therefore describe different outcomes. Editable extraction fields are local wizard state, while many final documents are prebuilt React nodes. Edited values need to become transaction data in the new build.</w:t>
      </w:r>
    </w:p>
    <w:p>
      <w:pPr>
        <w:pStyle w:val="Heading2"/>
      </w:pPr>
      <w:r>
        <w:t>2 4 Existing strengths to reuse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744"/>
      </w:tblGrid>
      <w:tr>
        <w:trPr>
          <w:cantSplit/>
          <w:tblHeader/>
        </w:trPr>
        <w:tc>
          <w:tcPr>
            <w:tcW w:type="dxa" w:w="2376"/>
            <w:vAlign w:val="center"/>
            <w:shd w:fill="18354B"/>
            <w:tcMar>
              <w:top w:w="80" w:type="dxa"/>
              <w:bottom w:w="80" w:type="dxa"/>
              <w:left w:w="90" w:type="dxa"/>
              <w:right w:w="90" w:type="dxa"/>
            </w:tcMar>
          </w:tcPr>
          <w:p>
            <w:pPr>
              <w:keepNext/>
              <w:spacing w:after="0" w:line="250" w:lineRule="auto"/>
            </w:pPr>
            <w:r>
              <w:rPr>
                <w:b/>
                <w:color w:val="FFFFFF"/>
                <w:sz w:val="20"/>
              </w:rPr>
              <w:t>Existing capability</w:t>
            </w:r>
          </w:p>
        </w:tc>
        <w:tc>
          <w:tcPr>
            <w:tcW w:type="dxa" w:w="3960"/>
            <w:vAlign w:val="center"/>
            <w:shd w:fill="18354B"/>
            <w:tcMar>
              <w:top w:w="80" w:type="dxa"/>
              <w:bottom w:w="80" w:type="dxa"/>
              <w:left w:w="90" w:type="dxa"/>
              <w:right w:w="90" w:type="dxa"/>
            </w:tcMar>
          </w:tcPr>
          <w:p>
            <w:pPr>
              <w:keepNext/>
              <w:spacing w:after="0" w:line="250" w:lineRule="auto"/>
            </w:pPr>
            <w:r>
              <w:rPr>
                <w:b/>
                <w:color w:val="FFFFFF"/>
                <w:sz w:val="20"/>
              </w:rPr>
              <w:t>Code anchor</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Reuse decision</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Buyer and supplier entry with shared records</w:t>
            </w:r>
          </w:p>
        </w:tc>
        <w:tc>
          <w:tcPr>
            <w:tcW w:type="dxa" w:w="3960"/>
            <w:vAlign w:val="center"/>
            <w:shd w:fill="FFFFFF"/>
            <w:tcMar>
              <w:top w:w="80" w:type="dxa"/>
              <w:bottom w:w="80" w:type="dxa"/>
              <w:left w:w="90" w:type="dxa"/>
              <w:right w:w="90" w:type="dxa"/>
            </w:tcMar>
          </w:tcPr>
          <w:p>
            <w:pPr>
              <w:spacing w:after="0" w:line="250" w:lineRule="auto"/>
            </w:pPr>
            <w:r>
              <w:rPr>
                <w:rFonts w:ascii="Consolas" w:hAnsi="Consolas"/>
                <w:color w:val="000000"/>
                <w:sz w:val="19"/>
              </w:rPr>
              <w:t>src/​Root.tsx</w:t>
            </w:r>
            <w:r>
              <w:rPr>
                <w:color w:val="000000"/>
                <w:sz w:val="20"/>
              </w:rPr>
              <w:t xml:space="preserve">, </w:t>
            </w:r>
            <w:r>
              <w:rPr>
                <w:rFonts w:ascii="Consolas" w:hAnsi="Consolas"/>
                <w:color w:val="000000"/>
                <w:sz w:val="19"/>
              </w:rPr>
              <w:t>src/​views/​EntryLogin.tsx</w:t>
            </w:r>
          </w:p>
        </w:tc>
        <w:tc>
          <w:tcPr>
            <w:tcW w:type="dxa" w:w="3744"/>
            <w:vAlign w:val="center"/>
            <w:shd w:fill="FFFFFF"/>
            <w:tcMar>
              <w:top w:w="80" w:type="dxa"/>
              <w:bottom w:w="80" w:type="dxa"/>
              <w:left w:w="90" w:type="dxa"/>
              <w:right w:w="90" w:type="dxa"/>
            </w:tcMar>
          </w:tcPr>
          <w:p>
            <w:pPr>
              <w:spacing w:after="0" w:line="250" w:lineRule="auto"/>
            </w:pPr>
            <w:r>
              <w:rPr>
                <w:color w:val="000000"/>
                <w:sz w:val="20"/>
              </w:rPr>
              <w:t>Retain entry pattern and shared store lifetime</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Channel intake and extracted PR preview</w:t>
            </w:r>
          </w:p>
        </w:tc>
        <w:tc>
          <w:tcPr>
            <w:tcW w:type="dxa" w:w="3960"/>
            <w:vAlign w:val="center"/>
            <w:shd w:fill="F3F6F8"/>
            <w:tcMar>
              <w:top w:w="80" w:type="dxa"/>
              <w:bottom w:w="80" w:type="dxa"/>
              <w:left w:w="90" w:type="dxa"/>
              <w:right w:w="90" w:type="dxa"/>
            </w:tcMar>
          </w:tcPr>
          <w:p>
            <w:pPr>
              <w:spacing w:after="0" w:line="250" w:lineRule="auto"/>
            </w:pPr>
            <w:r>
              <w:rPr>
                <w:rFonts w:ascii="Consolas" w:hAnsi="Consolas"/>
                <w:color w:val="000000"/>
                <w:sz w:val="19"/>
              </w:rPr>
              <w:t>src/​mro/​views/​IntakeConsole.tsx</w:t>
            </w:r>
            <w:r>
              <w:rPr>
                <w:color w:val="000000"/>
                <w:sz w:val="20"/>
              </w:rPr>
              <w:t xml:space="preserve">, </w:t>
            </w:r>
            <w:r>
              <w:rPr>
                <w:rFonts w:ascii="Consolas" w:hAnsi="Consolas"/>
                <w:color w:val="000000"/>
                <w:sz w:val="19"/>
              </w:rPr>
              <w:t>data/​intakeChannels.tsx</w:t>
            </w:r>
          </w:p>
        </w:tc>
        <w:tc>
          <w:tcPr>
            <w:tcW w:type="dxa" w:w="3744"/>
            <w:vAlign w:val="center"/>
            <w:shd w:fill="F3F6F8"/>
            <w:tcMar>
              <w:top w:w="80" w:type="dxa"/>
              <w:bottom w:w="80" w:type="dxa"/>
              <w:left w:w="90" w:type="dxa"/>
              <w:right w:w="90" w:type="dxa"/>
            </w:tcMar>
          </w:tcPr>
          <w:p>
            <w:pPr>
              <w:spacing w:after="0" w:line="250" w:lineRule="auto"/>
            </w:pPr>
            <w:r>
              <w:rPr>
                <w:color w:val="000000"/>
                <w:sz w:val="20"/>
              </w:rPr>
              <w:t>Retain presentation, replace replay-only submission</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Source files and produced documents</w:t>
            </w:r>
          </w:p>
        </w:tc>
        <w:tc>
          <w:tcPr>
            <w:tcW w:type="dxa" w:w="3960"/>
            <w:vAlign w:val="center"/>
            <w:shd w:fill="FFFFFF"/>
            <w:tcMar>
              <w:top w:w="80" w:type="dxa"/>
              <w:bottom w:w="80" w:type="dxa"/>
              <w:left w:w="90" w:type="dxa"/>
              <w:right w:w="90" w:type="dxa"/>
            </w:tcMar>
          </w:tcPr>
          <w:p>
            <w:pPr>
              <w:spacing w:after="0" w:line="250" w:lineRule="auto"/>
            </w:pPr>
            <w:r>
              <w:rPr>
                <w:rFonts w:ascii="Consolas" w:hAnsi="Consolas"/>
                <w:color w:val="000000"/>
                <w:sz w:val="19"/>
              </w:rPr>
              <w:t>components/​workspace/​SourceFilesPanel.tsx</w:t>
            </w:r>
            <w:r>
              <w:rPr>
                <w:color w:val="000000"/>
                <w:sz w:val="20"/>
              </w:rPr>
              <w:t xml:space="preserve">, </w:t>
            </w:r>
            <w:r>
              <w:rPr>
                <w:rFonts w:ascii="Consolas" w:hAnsi="Consolas"/>
                <w:color w:val="000000"/>
                <w:sz w:val="19"/>
              </w:rPr>
              <w:t>SourceArtifactModal.tsx</w:t>
            </w:r>
          </w:p>
        </w:tc>
        <w:tc>
          <w:tcPr>
            <w:tcW w:type="dxa" w:w="3744"/>
            <w:vAlign w:val="center"/>
            <w:shd w:fill="FFFFFF"/>
            <w:tcMar>
              <w:top w:w="80" w:type="dxa"/>
              <w:bottom w:w="80" w:type="dxa"/>
              <w:left w:w="90" w:type="dxa"/>
              <w:right w:w="90" w:type="dxa"/>
            </w:tcMar>
          </w:tcPr>
          <w:p>
            <w:pPr>
              <w:spacing w:after="0" w:line="250" w:lineRule="auto"/>
            </w:pPr>
            <w:r>
              <w:rPr>
                <w:color w:val="000000"/>
                <w:sz w:val="20"/>
              </w:rPr>
              <w:t>Retain evidence preview and source highlighting</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Progressive extraction and editable fields</w:t>
            </w:r>
          </w:p>
        </w:tc>
        <w:tc>
          <w:tcPr>
            <w:tcW w:type="dxa" w:w="3960"/>
            <w:vAlign w:val="center"/>
            <w:shd w:fill="F3F6F8"/>
            <w:tcMar>
              <w:top w:w="80" w:type="dxa"/>
              <w:bottom w:w="80" w:type="dxa"/>
              <w:left w:w="90" w:type="dxa"/>
              <w:right w:w="90" w:type="dxa"/>
            </w:tcMar>
          </w:tcPr>
          <w:p>
            <w:pPr>
              <w:spacing w:after="0" w:line="250" w:lineRule="auto"/>
            </w:pPr>
            <w:r>
              <w:rPr>
                <w:rFonts w:ascii="Consolas" w:hAnsi="Consolas"/>
                <w:color w:val="000000"/>
                <w:sz w:val="19"/>
              </w:rPr>
              <w:t>components/​workspace/​ExtractionWizard.tsx</w:t>
            </w:r>
          </w:p>
        </w:tc>
        <w:tc>
          <w:tcPr>
            <w:tcW w:type="dxa" w:w="3744"/>
            <w:vAlign w:val="center"/>
            <w:shd w:fill="F3F6F8"/>
            <w:tcMar>
              <w:top w:w="80" w:type="dxa"/>
              <w:bottom w:w="80" w:type="dxa"/>
              <w:left w:w="90" w:type="dxa"/>
              <w:right w:w="90" w:type="dxa"/>
            </w:tcMar>
          </w:tcPr>
          <w:p>
            <w:pPr>
              <w:spacing w:after="0" w:line="250" w:lineRule="auto"/>
            </w:pPr>
            <w:r>
              <w:rPr>
                <w:color w:val="000000"/>
                <w:sz w:val="20"/>
              </w:rPr>
              <w:t>Persist edits and recompute downstream artifacts</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Catalogue and volume-break story</w:t>
            </w:r>
          </w:p>
        </w:tc>
        <w:tc>
          <w:tcPr>
            <w:tcW w:type="dxa" w:w="3960"/>
            <w:vAlign w:val="center"/>
            <w:shd w:fill="FFFFFF"/>
            <w:tcMar>
              <w:top w:w="80" w:type="dxa"/>
              <w:bottom w:w="80" w:type="dxa"/>
              <w:left w:w="90" w:type="dxa"/>
              <w:right w:w="90" w:type="dxa"/>
            </w:tcMar>
          </w:tcPr>
          <w:p>
            <w:pPr>
              <w:spacing w:after="0" w:line="250" w:lineRule="auto"/>
            </w:pPr>
            <w:r>
              <w:rPr>
                <w:rFonts w:ascii="Consolas" w:hAnsi="Consolas"/>
                <w:color w:val="000000"/>
                <w:sz w:val="19"/>
              </w:rPr>
              <w:t>data/​filterBagCase.tsx</w:t>
            </w:r>
            <w:r>
              <w:rPr>
                <w:color w:val="000000"/>
                <w:sz w:val="20"/>
              </w:rPr>
              <w:t xml:space="preserve">, </w:t>
            </w:r>
            <w:r>
              <w:rPr>
                <w:rFonts w:ascii="Consolas" w:hAnsi="Consolas"/>
                <w:color w:val="000000"/>
                <w:sz w:val="19"/>
              </w:rPr>
              <w:t>components/​workspace/​BuyingInsight.tsx</w:t>
            </w:r>
          </w:p>
        </w:tc>
        <w:tc>
          <w:tcPr>
            <w:tcW w:type="dxa" w:w="3744"/>
            <w:vAlign w:val="center"/>
            <w:shd w:fill="FFFFFF"/>
            <w:tcMar>
              <w:top w:w="80" w:type="dxa"/>
              <w:bottom w:w="80" w:type="dxa"/>
              <w:left w:w="90" w:type="dxa"/>
              <w:right w:w="90" w:type="dxa"/>
            </w:tcMar>
          </w:tcPr>
          <w:p>
            <w:pPr>
              <w:spacing w:after="0" w:line="250" w:lineRule="auto"/>
            </w:pPr>
            <w:r>
              <w:rPr>
                <w:color w:val="000000"/>
                <w:sz w:val="20"/>
              </w:rPr>
              <w:t>Rebuild with canonical automotive fixtures</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RFQ generation and quote review</w:t>
            </w:r>
          </w:p>
        </w:tc>
        <w:tc>
          <w:tcPr>
            <w:tcW w:type="dxa" w:w="3960"/>
            <w:vAlign w:val="center"/>
            <w:shd w:fill="F3F6F8"/>
            <w:tcMar>
              <w:top w:w="80" w:type="dxa"/>
              <w:bottom w:w="80" w:type="dxa"/>
              <w:left w:w="90" w:type="dxa"/>
              <w:right w:w="90" w:type="dxa"/>
            </w:tcMar>
          </w:tcPr>
          <w:p>
            <w:pPr>
              <w:spacing w:after="0" w:line="250" w:lineRule="auto"/>
            </w:pPr>
            <w:r>
              <w:rPr>
                <w:rFonts w:ascii="Consolas" w:hAnsi="Consolas"/>
                <w:color w:val="000000"/>
                <w:sz w:val="19"/>
              </w:rPr>
              <w:t>components/​workspace/​RfqFlow.tsx</w:t>
            </w:r>
            <w:r>
              <w:rPr>
                <w:color w:val="000000"/>
                <w:sz w:val="20"/>
              </w:rPr>
              <w:t xml:space="preserve">, </w:t>
            </w:r>
            <w:r>
              <w:rPr>
                <w:rFonts w:ascii="Consolas" w:hAnsi="Consolas"/>
                <w:color w:val="000000"/>
                <w:sz w:val="19"/>
              </w:rPr>
              <w:t>QuoteReview.tsx</w:t>
            </w:r>
          </w:p>
        </w:tc>
        <w:tc>
          <w:tcPr>
            <w:tcW w:type="dxa" w:w="3744"/>
            <w:vAlign w:val="center"/>
            <w:shd w:fill="F3F6F8"/>
            <w:tcMar>
              <w:top w:w="80" w:type="dxa"/>
              <w:bottom w:w="80" w:type="dxa"/>
              <w:left w:w="90" w:type="dxa"/>
              <w:right w:w="90" w:type="dxa"/>
            </w:tcMar>
          </w:tcPr>
          <w:p>
            <w:pPr>
              <w:spacing w:after="0" w:line="250" w:lineRule="auto"/>
            </w:pPr>
            <w:r>
              <w:rPr>
                <w:color w:val="000000"/>
                <w:sz w:val="20"/>
              </w:rPr>
              <w:t>Retain interaction and add award rules</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Supplier registration and screening documents</w:t>
            </w:r>
          </w:p>
        </w:tc>
        <w:tc>
          <w:tcPr>
            <w:tcW w:type="dxa" w:w="3960"/>
            <w:vAlign w:val="center"/>
            <w:shd w:fill="FFFFFF"/>
            <w:tcMar>
              <w:top w:w="80" w:type="dxa"/>
              <w:bottom w:w="80" w:type="dxa"/>
              <w:left w:w="90" w:type="dxa"/>
              <w:right w:w="90" w:type="dxa"/>
            </w:tcMar>
          </w:tcPr>
          <w:p>
            <w:pPr>
              <w:spacing w:after="0" w:line="250" w:lineRule="auto"/>
            </w:pPr>
            <w:r>
              <w:rPr>
                <w:rFonts w:ascii="Consolas" w:hAnsi="Consolas"/>
                <w:color w:val="000000"/>
                <w:sz w:val="19"/>
              </w:rPr>
              <w:t>data/​onboardingCase.tsx</w:t>
            </w:r>
          </w:p>
        </w:tc>
        <w:tc>
          <w:tcPr>
            <w:tcW w:type="dxa" w:w="3744"/>
            <w:vAlign w:val="center"/>
            <w:shd w:fill="FFFFFF"/>
            <w:tcMar>
              <w:top w:w="80" w:type="dxa"/>
              <w:bottom w:w="80" w:type="dxa"/>
              <w:left w:w="90" w:type="dxa"/>
              <w:right w:w="90" w:type="dxa"/>
            </w:tcMar>
          </w:tcPr>
          <w:p>
            <w:pPr>
              <w:spacing w:after="0" w:line="250" w:lineRule="auto"/>
            </w:pPr>
            <w:r>
              <w:rPr>
                <w:color w:val="000000"/>
                <w:sz w:val="20"/>
              </w:rPr>
              <w:t>Retain document-reading pattern and add actual activation state</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Exceptions update related business pages</w:t>
            </w:r>
          </w:p>
        </w:tc>
        <w:tc>
          <w:tcPr>
            <w:tcW w:type="dxa" w:w="3960"/>
            <w:vAlign w:val="center"/>
            <w:shd w:fill="F3F6F8"/>
            <w:tcMar>
              <w:top w:w="80" w:type="dxa"/>
              <w:bottom w:w="80" w:type="dxa"/>
              <w:left w:w="90" w:type="dxa"/>
              <w:right w:w="90" w:type="dxa"/>
            </w:tcMar>
          </w:tcPr>
          <w:p>
            <w:pPr>
              <w:spacing w:after="0" w:line="250" w:lineRule="auto"/>
            </w:pPr>
            <w:r>
              <w:rPr>
                <w:rFonts w:ascii="Consolas" w:hAnsi="Consolas"/>
                <w:color w:val="000000"/>
                <w:sz w:val="19"/>
              </w:rPr>
              <w:t>data/​store.tsx</w:t>
            </w:r>
            <w:r>
              <w:rPr>
                <w:color w:val="000000"/>
                <w:sz w:val="20"/>
              </w:rPr>
              <w:t xml:space="preserve">, </w:t>
            </w:r>
            <w:r>
              <w:rPr>
                <w:rFonts w:ascii="Consolas" w:hAnsi="Consolas"/>
                <w:color w:val="000000"/>
                <w:sz w:val="19"/>
              </w:rPr>
              <w:t>views/​Exceptions.tsx</w:t>
            </w:r>
          </w:p>
        </w:tc>
        <w:tc>
          <w:tcPr>
            <w:tcW w:type="dxa" w:w="3744"/>
            <w:vAlign w:val="center"/>
            <w:shd w:fill="F3F6F8"/>
            <w:tcMar>
              <w:top w:w="80" w:type="dxa"/>
              <w:bottom w:w="80" w:type="dxa"/>
              <w:left w:w="90" w:type="dxa"/>
              <w:right w:w="90" w:type="dxa"/>
            </w:tcMar>
          </w:tcPr>
          <w:p>
            <w:pPr>
              <w:spacing w:after="0" w:line="250" w:lineRule="auto"/>
            </w:pPr>
            <w:r>
              <w:rPr>
                <w:color w:val="000000"/>
                <w:sz w:val="20"/>
              </w:rPr>
              <w:t>Retain shared-state concept, strengthen checks</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Invoice and contract comparison</w:t>
            </w:r>
          </w:p>
        </w:tc>
        <w:tc>
          <w:tcPr>
            <w:tcW w:type="dxa" w:w="3960"/>
            <w:vAlign w:val="center"/>
            <w:shd w:fill="FFFFFF"/>
            <w:tcMar>
              <w:top w:w="80" w:type="dxa"/>
              <w:bottom w:w="80" w:type="dxa"/>
              <w:left w:w="90" w:type="dxa"/>
              <w:right w:w="90" w:type="dxa"/>
            </w:tcMar>
          </w:tcPr>
          <w:p>
            <w:pPr>
              <w:spacing w:after="0" w:line="250" w:lineRule="auto"/>
            </w:pPr>
            <w:r>
              <w:rPr>
                <w:rFonts w:ascii="Consolas" w:hAnsi="Consolas"/>
                <w:color w:val="000000"/>
                <w:sz w:val="19"/>
              </w:rPr>
              <w:t>views/​InvoiceMatching.tsx</w:t>
            </w:r>
            <w:r>
              <w:rPr>
                <w:color w:val="000000"/>
                <w:sz w:val="20"/>
              </w:rPr>
              <w:t xml:space="preserve">, </w:t>
            </w:r>
            <w:r>
              <w:rPr>
                <w:rFonts w:ascii="Consolas" w:hAnsi="Consolas"/>
                <w:color w:val="000000"/>
                <w:sz w:val="19"/>
              </w:rPr>
              <w:t>FourWayMatchGrid.tsx</w:t>
            </w:r>
          </w:p>
        </w:tc>
        <w:tc>
          <w:tcPr>
            <w:tcW w:type="dxa" w:w="3744"/>
            <w:vAlign w:val="center"/>
            <w:shd w:fill="FFFFFF"/>
            <w:tcMar>
              <w:top w:w="80" w:type="dxa"/>
              <w:bottom w:w="80" w:type="dxa"/>
              <w:left w:w="90" w:type="dxa"/>
              <w:right w:w="90" w:type="dxa"/>
            </w:tcMar>
          </w:tcPr>
          <w:p>
            <w:pPr>
              <w:spacing w:after="0" w:line="250" w:lineRule="auto"/>
            </w:pPr>
            <w:r>
              <w:rPr>
                <w:color w:val="000000"/>
                <w:sz w:val="20"/>
              </w:rPr>
              <w:t>Retain grid, add value record and Finance signature</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Supplier factual and strategic conversations</w:t>
            </w:r>
          </w:p>
        </w:tc>
        <w:tc>
          <w:tcPr>
            <w:tcW w:type="dxa" w:w="3960"/>
            <w:vAlign w:val="center"/>
            <w:shd w:fill="F3F6F8"/>
            <w:tcMar>
              <w:top w:w="80" w:type="dxa"/>
              <w:bottom w:w="80" w:type="dxa"/>
              <w:left w:w="90" w:type="dxa"/>
              <w:right w:w="90" w:type="dxa"/>
            </w:tcMar>
          </w:tcPr>
          <w:p>
            <w:pPr>
              <w:spacing w:after="0" w:line="250" w:lineRule="auto"/>
            </w:pPr>
            <w:r>
              <w:rPr>
                <w:rFonts w:ascii="Consolas" w:hAnsi="Consolas"/>
                <w:color w:val="000000"/>
                <w:sz w:val="19"/>
              </w:rPr>
              <w:t>views/​SupplierPortal.tsx</w:t>
            </w:r>
            <w:r>
              <w:rPr>
                <w:color w:val="000000"/>
                <w:sz w:val="20"/>
              </w:rPr>
              <w:t xml:space="preserve">, </w:t>
            </w:r>
            <w:r>
              <w:rPr>
                <w:rFonts w:ascii="Consolas" w:hAnsi="Consolas"/>
                <w:color w:val="000000"/>
                <w:sz w:val="19"/>
              </w:rPr>
              <w:t>ServiceDesk.tsx</w:t>
            </w:r>
          </w:p>
        </w:tc>
        <w:tc>
          <w:tcPr>
            <w:tcW w:type="dxa" w:w="3744"/>
            <w:vAlign w:val="center"/>
            <w:shd w:fill="F3F6F8"/>
            <w:tcMar>
              <w:top w:w="80" w:type="dxa"/>
              <w:bottom w:w="80" w:type="dxa"/>
              <w:left w:w="90" w:type="dxa"/>
              <w:right w:w="90" w:type="dxa"/>
            </w:tcMar>
          </w:tcPr>
          <w:p>
            <w:pPr>
              <w:spacing w:after="0" w:line="250" w:lineRule="auto"/>
            </w:pPr>
            <w:r>
              <w:rPr>
                <w:color w:val="000000"/>
                <w:sz w:val="20"/>
              </w:rPr>
              <w:t>Retain and route commercial decisions to client authority</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Spend charts and dataset-driven answers</w:t>
            </w:r>
          </w:p>
        </w:tc>
        <w:tc>
          <w:tcPr>
            <w:tcW w:type="dxa" w:w="3960"/>
            <w:vAlign w:val="center"/>
            <w:shd w:fill="FFFFFF"/>
            <w:tcMar>
              <w:top w:w="80" w:type="dxa"/>
              <w:bottom w:w="80" w:type="dxa"/>
              <w:left w:w="90" w:type="dxa"/>
              <w:right w:w="90" w:type="dxa"/>
            </w:tcMar>
          </w:tcPr>
          <w:p>
            <w:pPr>
              <w:spacing w:after="0" w:line="250" w:lineRule="auto"/>
            </w:pPr>
            <w:r>
              <w:rPr>
                <w:rFonts w:ascii="Consolas" w:hAnsi="Consolas"/>
                <w:color w:val="000000"/>
                <w:sz w:val="19"/>
              </w:rPr>
              <w:t>views/​ControlTower.tsx</w:t>
            </w:r>
            <w:r>
              <w:rPr>
                <w:color w:val="000000"/>
                <w:sz w:val="20"/>
              </w:rPr>
              <w:t xml:space="preserve">, </w:t>
            </w:r>
            <w:r>
              <w:rPr>
                <w:rFonts w:ascii="Consolas" w:hAnsi="Consolas"/>
                <w:color w:val="000000"/>
                <w:sz w:val="19"/>
              </w:rPr>
              <w:t>data/​spend.ts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Retain charts, unify site model and add actionable opportunities</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Scripted multilingual rendering and HTML export</w:t>
            </w:r>
          </w:p>
        </w:tc>
        <w:tc>
          <w:tcPr>
            <w:tcW w:type="dxa" w:w="3960"/>
            <w:vAlign w:val="center"/>
            <w:shd w:fill="F3F6F8"/>
            <w:tcMar>
              <w:top w:w="80" w:type="dxa"/>
              <w:bottom w:w="80" w:type="dxa"/>
              <w:left w:w="90" w:type="dxa"/>
              <w:right w:w="90" w:type="dxa"/>
            </w:tcMar>
          </w:tcPr>
          <w:p>
            <w:pPr>
              <w:spacing w:after="0" w:line="250" w:lineRule="auto"/>
            </w:pPr>
            <w:r>
              <w:rPr>
                <w:rFonts w:ascii="Consolas" w:hAnsi="Consolas"/>
                <w:color w:val="000000"/>
                <w:sz w:val="19"/>
              </w:rPr>
              <w:t>lib/​i18n.tsx</w:t>
            </w:r>
            <w:r>
              <w:rPr>
                <w:color w:val="000000"/>
                <w:sz w:val="20"/>
              </w:rPr>
              <w:t xml:space="preserve">, </w:t>
            </w:r>
            <w:r>
              <w:rPr>
                <w:rFonts w:ascii="Consolas" w:hAnsi="Consolas"/>
                <w:color w:val="000000"/>
                <w:sz w:val="19"/>
              </w:rPr>
              <w:t>lib/​exportDoc.ts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Preserve supported languages and scrub legacy identities</w:t>
            </w:r>
          </w:p>
        </w:tc>
      </w:tr>
    </w:tbl>
    <w:p>
      <w:pPr>
        <w:spacing w:after="20"/>
      </w:pPr>
    </w:p>
    <w:p>
      <w:pPr>
        <w:pStyle w:val="Heading2"/>
      </w:pPr>
      <w:r>
        <w:t>2 5 Gaps that must be corrected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744"/>
      </w:tblGrid>
      <w:tr>
        <w:trPr>
          <w:cantSplit/>
          <w:tblHeader/>
        </w:trPr>
        <w:tc>
          <w:tcPr>
            <w:tcW w:type="dxa" w:w="2376"/>
            <w:vAlign w:val="center"/>
            <w:shd w:fill="18354B"/>
            <w:tcMar>
              <w:top w:w="80" w:type="dxa"/>
              <w:bottom w:w="80" w:type="dxa"/>
              <w:left w:w="90" w:type="dxa"/>
              <w:right w:w="90" w:type="dxa"/>
            </w:tcMar>
          </w:tcPr>
          <w:p>
            <w:pPr>
              <w:keepNext/>
              <w:spacing w:after="0" w:line="250" w:lineRule="auto"/>
            </w:pPr>
            <w:r>
              <w:rPr>
                <w:b/>
                <w:color w:val="FFFFFF"/>
                <w:sz w:val="20"/>
              </w:rPr>
              <w:t>Gap</w:t>
            </w:r>
          </w:p>
        </w:tc>
        <w:tc>
          <w:tcPr>
            <w:tcW w:type="dxa" w:w="3960"/>
            <w:vAlign w:val="center"/>
            <w:shd w:fill="18354B"/>
            <w:tcMar>
              <w:top w:w="80" w:type="dxa"/>
              <w:bottom w:w="80" w:type="dxa"/>
              <w:left w:w="90" w:type="dxa"/>
              <w:right w:w="90" w:type="dxa"/>
            </w:tcMar>
          </w:tcPr>
          <w:p>
            <w:pPr>
              <w:keepNext/>
              <w:spacing w:after="0" w:line="250" w:lineRule="auto"/>
            </w:pPr>
            <w:r>
              <w:rPr>
                <w:b/>
                <w:color w:val="FFFFFF"/>
                <w:sz w:val="20"/>
              </w:rPr>
              <w:t>Observed behavior</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Required outcome</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Brand and industry drift</w:t>
            </w:r>
          </w:p>
        </w:tc>
        <w:tc>
          <w:tcPr>
            <w:tcW w:type="dxa" w:w="3960"/>
            <w:vAlign w:val="center"/>
            <w:shd w:fill="FFFFFF"/>
            <w:tcMar>
              <w:top w:w="80" w:type="dxa"/>
              <w:bottom w:w="80" w:type="dxa"/>
              <w:left w:w="90" w:type="dxa"/>
              <w:right w:w="90" w:type="dxa"/>
            </w:tcMar>
          </w:tcPr>
          <w:p>
            <w:pPr>
              <w:spacing w:after="0" w:line="250" w:lineRule="auto"/>
            </w:pPr>
            <w:r>
              <w:rPr>
                <w:color w:val="000000"/>
                <w:sz w:val="20"/>
              </w:rPr>
              <w:t>Active data mixes legacy names, electronics, deburring, coatings and other plant contexts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One anonymous automotive setting across UI and exports</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Currency and geography</w:t>
            </w:r>
          </w:p>
        </w:tc>
        <w:tc>
          <w:tcPr>
            <w:tcW w:type="dxa" w:w="3960"/>
            <w:vAlign w:val="center"/>
            <w:shd w:fill="F3F6F8"/>
            <w:tcMar>
              <w:top w:w="80" w:type="dxa"/>
              <w:bottom w:w="80" w:type="dxa"/>
              <w:left w:w="90" w:type="dxa"/>
              <w:right w:w="90" w:type="dxa"/>
            </w:tcMar>
          </w:tcPr>
          <w:p>
            <w:pPr>
              <w:spacing w:after="0" w:line="250" w:lineRule="auto"/>
            </w:pPr>
            <w:r>
              <w:rPr>
                <w:color w:val="000000"/>
                <w:sz w:val="20"/>
              </w:rPr>
              <w:t>USD formatter and legacy country/site types drive most records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GBP-first pricing and shared UK site registry</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Request creation</w:t>
            </w:r>
          </w:p>
        </w:tc>
        <w:tc>
          <w:tcPr>
            <w:tcW w:type="dxa" w:w="3960"/>
            <w:vAlign w:val="center"/>
            <w:shd w:fill="FFFFFF"/>
            <w:tcMar>
              <w:top w:w="80" w:type="dxa"/>
              <w:bottom w:w="80" w:type="dxa"/>
              <w:left w:w="90" w:type="dxa"/>
              <w:right w:w="90" w:type="dxa"/>
            </w:tcMar>
          </w:tcPr>
          <w:p>
            <w:pPr>
              <w:spacing w:after="0" w:line="250" w:lineRule="auto"/>
            </w:pPr>
            <w:r>
              <w:rPr>
                <w:color w:val="000000"/>
                <w:sz w:val="20"/>
              </w:rPr>
              <w:t>Intake replays a pre-existing PR</w:t>
            </w:r>
          </w:p>
        </w:tc>
        <w:tc>
          <w:tcPr>
            <w:tcW w:type="dxa" w:w="3744"/>
            <w:vAlign w:val="center"/>
            <w:shd w:fill="FFFFFF"/>
            <w:tcMar>
              <w:top w:w="80" w:type="dxa"/>
              <w:bottom w:w="80" w:type="dxa"/>
              <w:left w:w="90" w:type="dxa"/>
              <w:right w:w="90" w:type="dxa"/>
            </w:tcMar>
          </w:tcPr>
          <w:p>
            <w:pPr>
              <w:spacing w:after="0" w:line="250" w:lineRule="auto"/>
            </w:pPr>
            <w:r>
              <w:rPr>
                <w:color w:val="000000"/>
                <w:sz w:val="20"/>
              </w:rPr>
              <w:t>Submit creates an instance and a durable case in the demo store</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Flow identity</w:t>
            </w:r>
          </w:p>
        </w:tc>
        <w:tc>
          <w:tcPr>
            <w:tcW w:type="dxa" w:w="3960"/>
            <w:vAlign w:val="center"/>
            <w:shd w:fill="F3F6F8"/>
            <w:tcMar>
              <w:top w:w="80" w:type="dxa"/>
              <w:bottom w:w="80" w:type="dxa"/>
              <w:left w:w="90" w:type="dxa"/>
              <w:right w:w="90" w:type="dxa"/>
            </w:tcMar>
          </w:tcPr>
          <w:p>
            <w:pPr>
              <w:spacing w:after="0" w:line="250" w:lineRule="auto"/>
            </w:pPr>
            <w:r>
              <w:rPr>
                <w:color w:val="000000"/>
                <w:sz w:val="20"/>
              </w:rPr>
              <w:t>One progress entry per scenario</w:t>
            </w:r>
          </w:p>
        </w:tc>
        <w:tc>
          <w:tcPr>
            <w:tcW w:type="dxa" w:w="3744"/>
            <w:vAlign w:val="center"/>
            <w:shd w:fill="F3F6F8"/>
            <w:tcMar>
              <w:top w:w="80" w:type="dxa"/>
              <w:bottom w:w="80" w:type="dxa"/>
              <w:left w:w="90" w:type="dxa"/>
              <w:right w:w="90" w:type="dxa"/>
            </w:tcMar>
          </w:tcPr>
          <w:p>
            <w:pPr>
              <w:spacing w:after="0" w:line="250" w:lineRule="auto"/>
            </w:pPr>
            <w:r>
              <w:rPr>
                <w:color w:val="000000"/>
                <w:sz w:val="20"/>
              </w:rPr>
              <w:t>Independent progress per case with TOM flow tags</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Editable extraction</w:t>
            </w:r>
          </w:p>
        </w:tc>
        <w:tc>
          <w:tcPr>
            <w:tcW w:type="dxa" w:w="3960"/>
            <w:vAlign w:val="center"/>
            <w:shd w:fill="FFFFFF"/>
            <w:tcMar>
              <w:top w:w="80" w:type="dxa"/>
              <w:bottom w:w="80" w:type="dxa"/>
              <w:left w:w="90" w:type="dxa"/>
              <w:right w:w="90" w:type="dxa"/>
            </w:tcMar>
          </w:tcPr>
          <w:p>
            <w:pPr>
              <w:spacing w:after="0" w:line="250" w:lineRule="auto"/>
            </w:pPr>
            <w:r>
              <w:rPr>
                <w:color w:val="000000"/>
                <w:sz w:val="20"/>
              </w:rPr>
              <w:t>Wizard changes can remain local</w:t>
            </w:r>
          </w:p>
        </w:tc>
        <w:tc>
          <w:tcPr>
            <w:tcW w:type="dxa" w:w="3744"/>
            <w:vAlign w:val="center"/>
            <w:shd w:fill="FFFFFF"/>
            <w:tcMar>
              <w:top w:w="80" w:type="dxa"/>
              <w:bottom w:w="80" w:type="dxa"/>
              <w:left w:w="90" w:type="dxa"/>
              <w:right w:w="90" w:type="dxa"/>
            </w:tcMar>
          </w:tcPr>
          <w:p>
            <w:pPr>
              <w:spacing w:after="0" w:line="250" w:lineRule="auto"/>
            </w:pPr>
            <w:r>
              <w:rPr>
                <w:color w:val="000000"/>
                <w:sz w:val="20"/>
              </w:rPr>
              <w:t>Changes persist, regenerate documents and invalidate affected checks</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Shared-state consistency</w:t>
            </w:r>
          </w:p>
        </w:tc>
        <w:tc>
          <w:tcPr>
            <w:tcW w:type="dxa" w:w="3960"/>
            <w:vAlign w:val="center"/>
            <w:shd w:fill="F3F6F8"/>
            <w:tcMar>
              <w:top w:w="80" w:type="dxa"/>
              <w:bottom w:w="80" w:type="dxa"/>
              <w:left w:w="90" w:type="dxa"/>
              <w:right w:w="90" w:type="dxa"/>
            </w:tcMar>
          </w:tcPr>
          <w:p>
            <w:pPr>
              <w:spacing w:after="0" w:line="250" w:lineRule="auto"/>
            </w:pPr>
            <w:r>
              <w:rPr>
                <w:color w:val="000000"/>
                <w:sz w:val="20"/>
              </w:rPr>
              <w:t>Guided completion differs from seed record status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One domain event updates every relevant view</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Confidence</w:t>
            </w:r>
          </w:p>
        </w:tc>
        <w:tc>
          <w:tcPr>
            <w:tcW w:type="dxa" w:w="3960"/>
            <w:vAlign w:val="center"/>
            <w:shd w:fill="FFFFFF"/>
            <w:tcMar>
              <w:top w:w="80" w:type="dxa"/>
              <w:bottom w:w="80" w:type="dxa"/>
              <w:left w:w="90" w:type="dxa"/>
              <w:right w:w="90" w:type="dxa"/>
            </w:tcMar>
          </w:tcPr>
          <w:p>
            <w:pPr>
              <w:spacing w:after="0" w:line="250" w:lineRule="auto"/>
            </w:pPr>
            <w:r>
              <w:rPr>
                <w:color w:val="000000"/>
                <w:sz w:val="20"/>
              </w:rPr>
              <w:t>Default configuration has 0.95, but displayed confidence is mostly fixture copy</w:t>
            </w:r>
          </w:p>
        </w:tc>
        <w:tc>
          <w:tcPr>
            <w:tcW w:type="dxa" w:w="3744"/>
            <w:vAlign w:val="center"/>
            <w:shd w:fill="FFFFFF"/>
            <w:tcMar>
              <w:top w:w="80" w:type="dxa"/>
              <w:bottom w:w="80" w:type="dxa"/>
              <w:left w:w="90" w:type="dxa"/>
              <w:right w:w="90" w:type="dxa"/>
            </w:tcMar>
          </w:tcPr>
          <w:p>
            <w:pPr>
              <w:spacing w:after="0" w:line="250" w:lineRule="auto"/>
            </w:pPr>
            <w:r>
              <w:rPr>
                <w:color w:val="000000"/>
                <w:sz w:val="20"/>
              </w:rPr>
              <w:t>Central 0.90/0.70 lane evaluation with evidence and policy snapshot</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Approval enforcement</w:t>
            </w:r>
          </w:p>
        </w:tc>
        <w:tc>
          <w:tcPr>
            <w:tcW w:type="dxa" w:w="3960"/>
            <w:vAlign w:val="center"/>
            <w:shd w:fill="F3F6F8"/>
            <w:tcMar>
              <w:top w:w="80" w:type="dxa"/>
              <w:bottom w:w="80" w:type="dxa"/>
              <w:left w:w="90" w:type="dxa"/>
              <w:right w:w="90" w:type="dxa"/>
            </w:tcMar>
          </w:tcPr>
          <w:p>
            <w:pPr>
              <w:spacing w:after="0" w:line="250" w:lineRule="auto"/>
            </w:pPr>
            <w:r>
              <w:rPr>
                <w:color w:val="000000"/>
                <w:sz w:val="20"/>
              </w:rPr>
              <w:t>Generic approve/continue buttons can advance flagged steps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Specific authorised actions and non-bypassable release checks</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Supplier competition</w:t>
            </w:r>
          </w:p>
        </w:tc>
        <w:tc>
          <w:tcPr>
            <w:tcW w:type="dxa" w:w="3960"/>
            <w:vAlign w:val="center"/>
            <w:shd w:fill="FFFFFF"/>
            <w:tcMar>
              <w:top w:w="80" w:type="dxa"/>
              <w:bottom w:w="80" w:type="dxa"/>
              <w:left w:w="90" w:type="dxa"/>
              <w:right w:w="90" w:type="dxa"/>
            </w:tcMar>
          </w:tcPr>
          <w:p>
            <w:pPr>
              <w:spacing w:after="0" w:line="250" w:lineRule="auto"/>
            </w:pPr>
            <w:r>
              <w:rPr>
                <w:color w:val="000000"/>
                <w:sz w:val="20"/>
              </w:rPr>
              <w:t>Existing onboarding story compares two quotes without the new competition gate</w:t>
            </w:r>
          </w:p>
        </w:tc>
        <w:tc>
          <w:tcPr>
            <w:tcW w:type="dxa" w:w="3744"/>
            <w:vAlign w:val="center"/>
            <w:shd w:fill="FFFFFF"/>
            <w:tcMar>
              <w:top w:w="80" w:type="dxa"/>
              <w:bottom w:w="80" w:type="dxa"/>
              <w:left w:w="90" w:type="dxa"/>
              <w:right w:w="90" w:type="dxa"/>
            </w:tcMar>
          </w:tcPr>
          <w:p>
            <w:pPr>
              <w:spacing w:after="0" w:line="250" w:lineRule="auto"/>
            </w:pPr>
            <w:r>
              <w:rPr>
                <w:color w:val="000000"/>
                <w:sz w:val="20"/>
              </w:rPr>
              <w:t>Three compliant quotes or signed sole-source approval</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Proactive pipeline</w:t>
            </w:r>
          </w:p>
        </w:tc>
        <w:tc>
          <w:tcPr>
            <w:tcW w:type="dxa" w:w="3960"/>
            <w:vAlign w:val="center"/>
            <w:shd w:fill="F3F6F8"/>
            <w:tcMar>
              <w:top w:w="80" w:type="dxa"/>
              <w:bottom w:w="80" w:type="dxa"/>
              <w:left w:w="90" w:type="dxa"/>
              <w:right w:w="90" w:type="dxa"/>
            </w:tcMar>
          </w:tcPr>
          <w:p>
            <w:pPr>
              <w:spacing w:after="0" w:line="250" w:lineRule="auto"/>
            </w:pPr>
            <w:r>
              <w:rPr>
                <w:color w:val="000000"/>
                <w:sz w:val="20"/>
              </w:rPr>
              <w:t>Static analytics and contextual insights exist</w:t>
            </w:r>
          </w:p>
        </w:tc>
        <w:tc>
          <w:tcPr>
            <w:tcW w:type="dxa" w:w="3744"/>
            <w:vAlign w:val="center"/>
            <w:shd w:fill="F3F6F8"/>
            <w:tcMar>
              <w:top w:w="80" w:type="dxa"/>
              <w:bottom w:w="80" w:type="dxa"/>
              <w:left w:w="90" w:type="dxa"/>
              <w:right w:w="90" w:type="dxa"/>
            </w:tcMar>
          </w:tcPr>
          <w:p>
            <w:pPr>
              <w:spacing w:after="0" w:line="250" w:lineRule="auto"/>
            </w:pPr>
            <w:r>
              <w:rPr>
                <w:color w:val="000000"/>
                <w:sz w:val="20"/>
              </w:rPr>
              <w:t>Executable opportunity approval and live PR matching</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Contract review</w:t>
            </w:r>
          </w:p>
        </w:tc>
        <w:tc>
          <w:tcPr>
            <w:tcW w:type="dxa" w:w="3960"/>
            <w:vAlign w:val="center"/>
            <w:shd w:fill="FFFFFF"/>
            <w:tcMar>
              <w:top w:w="80" w:type="dxa"/>
              <w:bottom w:w="80" w:type="dxa"/>
              <w:left w:w="90" w:type="dxa"/>
              <w:right w:w="90" w:type="dxa"/>
            </w:tcMar>
          </w:tcPr>
          <w:p>
            <w:pPr>
              <w:spacing w:after="0" w:line="250" w:lineRule="auto"/>
            </w:pPr>
            <w:r>
              <w:rPr>
                <w:color w:val="000000"/>
                <w:sz w:val="20"/>
              </w:rPr>
              <w:t>Contract evidence exists, but no complete clause-band workflow</w:t>
            </w:r>
          </w:p>
        </w:tc>
        <w:tc>
          <w:tcPr>
            <w:tcW w:type="dxa" w:w="3744"/>
            <w:vAlign w:val="center"/>
            <w:shd w:fill="FFFFFF"/>
            <w:tcMar>
              <w:top w:w="80" w:type="dxa"/>
              <w:bottom w:w="80" w:type="dxa"/>
              <w:left w:w="90" w:type="dxa"/>
              <w:right w:w="90" w:type="dxa"/>
            </w:tcMar>
          </w:tcPr>
          <w:p>
            <w:pPr>
              <w:spacing w:after="0" w:line="250" w:lineRule="auto"/>
            </w:pPr>
            <w:r>
              <w:rPr>
                <w:color w:val="000000"/>
                <w:sz w:val="20"/>
              </w:rPr>
              <w:t>Operable triage, redlines, approval, signing and storage</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Savings validation</w:t>
            </w:r>
          </w:p>
        </w:tc>
        <w:tc>
          <w:tcPr>
            <w:tcW w:type="dxa" w:w="3960"/>
            <w:vAlign w:val="center"/>
            <w:shd w:fill="F3F6F8"/>
            <w:tcMar>
              <w:top w:w="80" w:type="dxa"/>
              <w:bottom w:w="80" w:type="dxa"/>
              <w:left w:w="90" w:type="dxa"/>
              <w:right w:w="90" w:type="dxa"/>
            </w:tcMar>
          </w:tcPr>
          <w:p>
            <w:pPr>
              <w:spacing w:after="0" w:line="250" w:lineRule="auto"/>
            </w:pPr>
            <w:r>
              <w:rPr>
                <w:color w:val="000000"/>
                <w:sz w:val="20"/>
              </w:rPr>
              <w:t>Insights and PO savings can imply final savings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Separate expected, invoice-evidenced and Finance-validated stages</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Payment wording</w:t>
            </w:r>
          </w:p>
        </w:tc>
        <w:tc>
          <w:tcPr>
            <w:tcW w:type="dxa" w:w="3960"/>
            <w:vAlign w:val="center"/>
            <w:shd w:fill="FFFFFF"/>
            <w:tcMar>
              <w:top w:w="80" w:type="dxa"/>
              <w:bottom w:w="80" w:type="dxa"/>
              <w:left w:w="90" w:type="dxa"/>
              <w:right w:w="90" w:type="dxa"/>
            </w:tcMar>
          </w:tcPr>
          <w:p>
            <w:pPr>
              <w:spacing w:after="0" w:line="250" w:lineRule="auto"/>
            </w:pPr>
            <w:r>
              <w:rPr>
                <w:color w:val="000000"/>
                <w:sz w:val="20"/>
              </w:rPr>
              <w:t>Some completion pills say paid while documents only schedule payment</w:t>
            </w:r>
          </w:p>
        </w:tc>
        <w:tc>
          <w:tcPr>
            <w:tcW w:type="dxa" w:w="3744"/>
            <w:vAlign w:val="center"/>
            <w:shd w:fill="FFFFFF"/>
            <w:tcMar>
              <w:top w:w="80" w:type="dxa"/>
              <w:bottom w:w="80" w:type="dxa"/>
              <w:left w:w="90" w:type="dxa"/>
              <w:right w:w="90" w:type="dxa"/>
            </w:tcMar>
          </w:tcPr>
          <w:p>
            <w:pPr>
              <w:spacing w:after="0" w:line="250" w:lineRule="auto"/>
            </w:pPr>
            <w:r>
              <w:rPr>
                <w:color w:val="000000"/>
                <w:sz w:val="20"/>
              </w:rPr>
              <w:t>Display matched, scheduled or paid only from the matching event</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Governance</w:t>
            </w:r>
          </w:p>
        </w:tc>
        <w:tc>
          <w:tcPr>
            <w:tcW w:type="dxa" w:w="3960"/>
            <w:vAlign w:val="center"/>
            <w:shd w:fill="F3F6F8"/>
            <w:tcMar>
              <w:top w:w="80" w:type="dxa"/>
              <w:bottom w:w="80" w:type="dxa"/>
              <w:left w:w="90" w:type="dxa"/>
              <w:right w:w="90" w:type="dxa"/>
            </w:tcMar>
          </w:tcPr>
          <w:p>
            <w:pPr>
              <w:spacing w:after="0" w:line="250" w:lineRule="auto"/>
            </w:pPr>
            <w:r>
              <w:rPr>
                <w:color w:val="000000"/>
                <w:sz w:val="20"/>
              </w:rPr>
              <w:t>Agent profiles describe behavior</w:t>
            </w:r>
          </w:p>
        </w:tc>
        <w:tc>
          <w:tcPr>
            <w:tcW w:type="dxa" w:w="3744"/>
            <w:vAlign w:val="center"/>
            <w:shd w:fill="F3F6F8"/>
            <w:tcMar>
              <w:top w:w="80" w:type="dxa"/>
              <w:bottom w:w="80" w:type="dxa"/>
              <w:left w:w="90" w:type="dxa"/>
              <w:right w:w="90" w:type="dxa"/>
            </w:tcMar>
          </w:tcPr>
          <w:p>
            <w:pPr>
              <w:spacing w:after="0" w:line="250" w:lineRule="auto"/>
            </w:pPr>
            <w:r>
              <w:rPr>
                <w:color w:val="000000"/>
                <w:sz w:val="20"/>
              </w:rPr>
              <w:t>Governed changes, rule versions, audit samples and agent pause</w:t>
            </w:r>
          </w:p>
        </w:tc>
      </w:tr>
    </w:tbl>
    <w:p>
      <w:pPr>
        <w:spacing w:after="20"/>
      </w:pPr>
    </w:p>
    <w:p>
      <w:r>
        <w:rPr>
          <w:rFonts w:ascii="Consolas" w:hAnsi="Consolas"/>
          <w:color w:val="000000"/>
          <w:sz w:val="20"/>
        </w:rPr>
        <w:t>DEMO-SCRIPT.md</w:t>
      </w:r>
      <w:r>
        <w:rPr>
          <w:color w:val="000000"/>
        </w:rPr>
        <w:t xml:space="preserve"> contains legacy names and scenarios that disagree with current fixtures. Rewrite it after the build. Do not use it to override this specification or the implemented case data.</w:t>
      </w:r>
    </w:p>
    <w:p>
      <w:pPr>
        <w:pStyle w:val="Heading1"/>
      </w:pPr>
      <w:r>
        <w:t>3 Operating model and interaction design</w:t>
      </w:r>
    </w:p>
    <w:p>
      <w:r>
        <w:rPr>
          <w:color w:val="000000"/>
        </w:rPr>
        <w:t>The demo has two routes into buying. The reactive route begins with New Request. The proactive route begins with a spend refresh and an approved opportunity. They meet when Channel Decision checks an incoming PR against live catalogue items, contracts, rate cards and pipeline opportunities. Sourcing, contracting and onboarding are linked work packages under the same procurement case. Flow 5 preserves the evidence from award through invoice.</w:t>
      </w:r>
    </w:p>
    <w:p>
      <w:r>
        <w:rPr>
          <w:color w:val="000000"/>
        </w:rPr>
        <w:t>TCS personnel perform transaction preparation, review, corrections and follow-up. Client roles own spend commitments above the standing automatic authority, material supplier awards, commercial and legal exceptions, bank verification, risk decisions, baselines and savings sign-off. Specialist agents execute only inside an approved policy envelope. Every human decision records the person, role, organisation, time, evidence and recommendation. Every override also records its reason.</w:t>
      </w:r>
    </w:p>
    <w:p>
      <w:pPr>
        <w:pStyle w:val="Heading2"/>
      </w:pPr>
      <w:r>
        <w:t>3 1 Preserve the current visual approach</w:t>
      </w:r>
    </w:p>
    <w:p>
      <w:r>
        <w:rPr>
          <w:color w:val="000000"/>
        </w:rPr>
        <w:t>Retain the calm card-based console, existing typography, source previews, step rail, staged extraction and handoff animation. Add business pages rather than introducing a second application shell. Use short action labels, clear amounts and concise recommendations. Keep buttons on one line. Use agent icons from the existing icon system. Do not copy the deck's swimlanes literally into the interface.</w:t>
      </w:r>
    </w:p>
    <w:p>
      <w:r>
        <w:rPr>
          <w:color w:val="000000"/>
        </w:rPr>
        <w:t xml:space="preserve">Use </w:t>
      </w:r>
      <w:r>
        <w:rPr>
          <w:b/>
          <w:color w:val="000000"/>
        </w:rPr>
        <w:t>New Request</w:t>
      </w:r>
      <w:r>
        <w:rPr>
          <w:color w:val="000000"/>
        </w:rPr>
        <w:t xml:space="preserve"> consistently in navigation and primary actions. The main workspace shows the case reference, item/service, site, value, current TOM flow, lane and responsible owner. A read-only process strip shows completed and current work packages. Selecting a completed step opens its evidence without replaying actions.</w:t>
      </w:r>
    </w:p>
    <w:p>
      <w:pPr>
        <w:pStyle w:val="Heading2"/>
      </w:pPr>
      <w:r>
        <w:t>3 2 Proposed navigation and surfaces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744"/>
      </w:tblGrid>
      <w:tr>
        <w:trPr>
          <w:cantSplit/>
          <w:tblHeader/>
        </w:trPr>
        <w:tc>
          <w:tcPr>
            <w:tcW w:type="dxa" w:w="2376"/>
            <w:vAlign w:val="center"/>
            <w:shd w:fill="18354B"/>
            <w:tcMar>
              <w:top w:w="80" w:type="dxa"/>
              <w:bottom w:w="80" w:type="dxa"/>
              <w:left w:w="90" w:type="dxa"/>
              <w:right w:w="90" w:type="dxa"/>
            </w:tcMar>
          </w:tcPr>
          <w:p>
            <w:pPr>
              <w:keepNext/>
              <w:spacing w:after="0" w:line="250" w:lineRule="auto"/>
            </w:pPr>
            <w:r>
              <w:rPr>
                <w:b/>
                <w:color w:val="FFFFFF"/>
                <w:sz w:val="20"/>
              </w:rPr>
              <w:t>Navigation label</w:t>
            </w:r>
          </w:p>
        </w:tc>
        <w:tc>
          <w:tcPr>
            <w:tcW w:type="dxa" w:w="3960"/>
            <w:vAlign w:val="center"/>
            <w:shd w:fill="18354B"/>
            <w:tcMar>
              <w:top w:w="80" w:type="dxa"/>
              <w:bottom w:w="80" w:type="dxa"/>
              <w:left w:w="90" w:type="dxa"/>
              <w:right w:w="90" w:type="dxa"/>
            </w:tcMar>
          </w:tcPr>
          <w:p>
            <w:pPr>
              <w:keepNext/>
              <w:spacing w:after="0" w:line="250" w:lineRule="auto"/>
            </w:pPr>
            <w:r>
              <w:rPr>
                <w:b/>
                <w:color w:val="FFFFFF"/>
                <w:sz w:val="20"/>
              </w:rPr>
              <w:t>Purpose</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Implementation</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My Desk</w:t>
            </w:r>
          </w:p>
        </w:tc>
        <w:tc>
          <w:tcPr>
            <w:tcW w:type="dxa" w:w="3960"/>
            <w:vAlign w:val="center"/>
            <w:shd w:fill="FFFFFF"/>
            <w:tcMar>
              <w:top w:w="80" w:type="dxa"/>
              <w:bottom w:w="80" w:type="dxa"/>
              <w:left w:w="90" w:type="dxa"/>
              <w:right w:w="90" w:type="dxa"/>
            </w:tcMar>
          </w:tcPr>
          <w:p>
            <w:pPr>
              <w:spacing w:after="0" w:line="250" w:lineRule="auto"/>
            </w:pPr>
            <w:r>
              <w:rPr>
                <w:color w:val="000000"/>
                <w:sz w:val="20"/>
              </w:rPr>
              <w:t>Requests, approvals, exceptions, opportunity alerts and value awaiting sign-off</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Extend </w:t>
            </w:r>
            <w:r>
              <w:rPr>
                <w:rFonts w:ascii="Consolas" w:hAnsi="Consolas"/>
                <w:color w:val="000000"/>
                <w:sz w:val="19"/>
              </w:rPr>
              <w:t>Cockpit.tsx</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New Request</w:t>
            </w:r>
          </w:p>
        </w:tc>
        <w:tc>
          <w:tcPr>
            <w:tcW w:type="dxa" w:w="3960"/>
            <w:vAlign w:val="center"/>
            <w:shd w:fill="F3F6F8"/>
            <w:tcMar>
              <w:top w:w="80" w:type="dxa"/>
              <w:bottom w:w="80" w:type="dxa"/>
              <w:left w:w="90" w:type="dxa"/>
              <w:right w:w="90" w:type="dxa"/>
            </w:tcMar>
          </w:tcPr>
          <w:p>
            <w:pPr>
              <w:spacing w:after="0" w:line="250" w:lineRule="auto"/>
            </w:pPr>
            <w:r>
              <w:rPr>
                <w:color w:val="000000"/>
                <w:sz w:val="20"/>
              </w:rPr>
              <w:t>Guided form, captured email/Teams content and work-order demand</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Extend </w:t>
            </w:r>
            <w:r>
              <w:rPr>
                <w:rFonts w:ascii="Consolas" w:hAnsi="Consolas"/>
                <w:color w:val="000000"/>
                <w:sz w:val="19"/>
              </w:rPr>
              <w:t>IntakeConsole.tsx</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Requisitions</w:t>
            </w:r>
          </w:p>
        </w:tc>
        <w:tc>
          <w:tcPr>
            <w:tcW w:type="dxa" w:w="3960"/>
            <w:vAlign w:val="center"/>
            <w:shd w:fill="FFFFFF"/>
            <w:tcMar>
              <w:top w:w="80" w:type="dxa"/>
              <w:bottom w:w="80" w:type="dxa"/>
              <w:left w:w="90" w:type="dxa"/>
              <w:right w:w="90" w:type="dxa"/>
            </w:tcMar>
          </w:tcPr>
          <w:p>
            <w:pPr>
              <w:spacing w:after="0" w:line="250" w:lineRule="auto"/>
            </w:pPr>
            <w:r>
              <w:rPr>
                <w:color w:val="000000"/>
                <w:sz w:val="20"/>
              </w:rPr>
              <w:t>Searchable PRs with linked cases and purchasing status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Extend </w:t>
            </w:r>
            <w:r>
              <w:rPr>
                <w:rFonts w:ascii="Consolas" w:hAnsi="Consolas"/>
                <w:color w:val="000000"/>
                <w:sz w:val="19"/>
              </w:rPr>
              <w:t>Requisitions.tsx</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Opportunities</w:t>
            </w:r>
          </w:p>
        </w:tc>
        <w:tc>
          <w:tcPr>
            <w:tcW w:type="dxa" w:w="3960"/>
            <w:vAlign w:val="center"/>
            <w:shd w:fill="F3F6F8"/>
            <w:tcMar>
              <w:top w:w="80" w:type="dxa"/>
              <w:bottom w:w="80" w:type="dxa"/>
              <w:left w:w="90" w:type="dxa"/>
              <w:right w:w="90" w:type="dxa"/>
            </w:tcMar>
          </w:tcPr>
          <w:p>
            <w:pPr>
              <w:spacing w:after="0" w:line="250" w:lineRule="auto"/>
            </w:pPr>
            <w:r>
              <w:rPr>
                <w:color w:val="000000"/>
                <w:sz w:val="20"/>
              </w:rPr>
              <w:t>Spend findings, baseline, approval, pipeline and matched demand</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OpportunityPipeline.tsx</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Sourcing</w:t>
            </w:r>
          </w:p>
        </w:tc>
        <w:tc>
          <w:tcPr>
            <w:tcW w:type="dxa" w:w="3960"/>
            <w:vAlign w:val="center"/>
            <w:shd w:fill="FFFFFF"/>
            <w:tcMar>
              <w:top w:w="80" w:type="dxa"/>
              <w:bottom w:w="80" w:type="dxa"/>
              <w:left w:w="90" w:type="dxa"/>
              <w:right w:w="90" w:type="dxa"/>
            </w:tcMar>
          </w:tcPr>
          <w:p>
            <w:pPr>
              <w:spacing w:after="0" w:line="250" w:lineRule="auto"/>
            </w:pPr>
            <w:r>
              <w:rPr>
                <w:color w:val="000000"/>
                <w:sz w:val="20"/>
              </w:rPr>
              <w:t>Pools, RFQs, bids, comparison, BAFO and awards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SourcingWorkbench.tsx</w:t>
            </w:r>
            <w:r>
              <w:rPr>
                <w:color w:val="000000"/>
                <w:sz w:val="20"/>
              </w:rPr>
              <w:t xml:space="preserve"> using existing components</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Contracts</w:t>
            </w:r>
          </w:p>
        </w:tc>
        <w:tc>
          <w:tcPr>
            <w:tcW w:type="dxa" w:w="3960"/>
            <w:vAlign w:val="center"/>
            <w:shd w:fill="F3F6F8"/>
            <w:tcMar>
              <w:top w:w="80" w:type="dxa"/>
              <w:bottom w:w="80" w:type="dxa"/>
              <w:left w:w="90" w:type="dxa"/>
              <w:right w:w="90" w:type="dxa"/>
            </w:tcMar>
          </w:tcPr>
          <w:p>
            <w:pPr>
              <w:spacing w:after="0" w:line="250" w:lineRule="auto"/>
            </w:pPr>
            <w:r>
              <w:rPr>
                <w:color w:val="000000"/>
                <w:sz w:val="20"/>
              </w:rPr>
              <w:t>Scope, clause comparison, approvals, signature and repository status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ContractWorkbench.tsx</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Suppliers</w:t>
            </w:r>
          </w:p>
        </w:tc>
        <w:tc>
          <w:tcPr>
            <w:tcW w:type="dxa" w:w="3960"/>
            <w:vAlign w:val="center"/>
            <w:shd w:fill="FFFFFF"/>
            <w:tcMar>
              <w:top w:w="80" w:type="dxa"/>
              <w:bottom w:w="80" w:type="dxa"/>
              <w:left w:w="90" w:type="dxa"/>
              <w:right w:w="90" w:type="dxa"/>
            </w:tcMar>
          </w:tcPr>
          <w:p>
            <w:pPr>
              <w:spacing w:after="0" w:line="250" w:lineRule="auto"/>
            </w:pPr>
            <w:r>
              <w:rPr>
                <w:color w:val="000000"/>
                <w:sz w:val="20"/>
              </w:rPr>
              <w:t>Panel matches, registration, risk, bank verification and activation</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SupplierWorkbench.tsx</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Exceptions</w:t>
            </w:r>
          </w:p>
        </w:tc>
        <w:tc>
          <w:tcPr>
            <w:tcW w:type="dxa" w:w="3960"/>
            <w:vAlign w:val="center"/>
            <w:shd w:fill="F3F6F8"/>
            <w:tcMar>
              <w:top w:w="80" w:type="dxa"/>
              <w:bottom w:w="80" w:type="dxa"/>
              <w:left w:w="90" w:type="dxa"/>
              <w:right w:w="90" w:type="dxa"/>
            </w:tcMar>
          </w:tcPr>
          <w:p>
            <w:pPr>
              <w:spacing w:after="0" w:line="250" w:lineRule="auto"/>
            </w:pPr>
            <w:r>
              <w:rPr>
                <w:color w:val="000000"/>
                <w:sz w:val="20"/>
              </w:rPr>
              <w:t>Cross-flow queues by reason, owner, SLA and blocked action</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Extend </w:t>
            </w:r>
            <w:r>
              <w:rPr>
                <w:rFonts w:ascii="Consolas" w:hAnsi="Consolas"/>
                <w:color w:val="000000"/>
                <w:sz w:val="19"/>
              </w:rPr>
              <w:t>Exceptions.tsx</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Invoice Matching</w:t>
            </w:r>
          </w:p>
        </w:tc>
        <w:tc>
          <w:tcPr>
            <w:tcW w:type="dxa" w:w="3960"/>
            <w:vAlign w:val="center"/>
            <w:shd w:fill="FFFFFF"/>
            <w:tcMar>
              <w:top w:w="80" w:type="dxa"/>
              <w:bottom w:w="80" w:type="dxa"/>
              <w:left w:w="90" w:type="dxa"/>
              <w:right w:w="90" w:type="dxa"/>
            </w:tcMar>
          </w:tcPr>
          <w:p>
            <w:pPr>
              <w:spacing w:after="0" w:line="250" w:lineRule="auto"/>
            </w:pPr>
            <w:r>
              <w:rPr>
                <w:color w:val="000000"/>
                <w:sz w:val="20"/>
              </w:rPr>
              <w:t>PO/receipt/invoice/contract and baseline evidence</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Extend </w:t>
            </w:r>
            <w:r>
              <w:rPr>
                <w:rFonts w:ascii="Consolas" w:hAnsi="Consolas"/>
                <w:color w:val="000000"/>
                <w:sz w:val="19"/>
              </w:rPr>
              <w:t>InvoiceMatching.tsx</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Value Assurance</w:t>
            </w:r>
          </w:p>
        </w:tc>
        <w:tc>
          <w:tcPr>
            <w:tcW w:type="dxa" w:w="3960"/>
            <w:vAlign w:val="center"/>
            <w:shd w:fill="F3F6F8"/>
            <w:tcMar>
              <w:top w:w="80" w:type="dxa"/>
              <w:bottom w:w="80" w:type="dxa"/>
              <w:left w:w="90" w:type="dxa"/>
              <w:right w:w="90" w:type="dxa"/>
            </w:tcMar>
          </w:tcPr>
          <w:p>
            <w:pPr>
              <w:spacing w:after="0" w:line="250" w:lineRule="auto"/>
            </w:pPr>
            <w:r>
              <w:rPr>
                <w:color w:val="000000"/>
                <w:sz w:val="20"/>
              </w:rPr>
              <w:t>Award records, expected and validated savings, leakage and Finance queue</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ValueAssurance.tsx</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Control Tower</w:t>
            </w:r>
          </w:p>
        </w:tc>
        <w:tc>
          <w:tcPr>
            <w:tcW w:type="dxa" w:w="3960"/>
            <w:vAlign w:val="center"/>
            <w:shd w:fill="FFFFFF"/>
            <w:tcMar>
              <w:top w:w="80" w:type="dxa"/>
              <w:bottom w:w="80" w:type="dxa"/>
              <w:left w:w="90" w:type="dxa"/>
              <w:right w:w="90" w:type="dxa"/>
            </w:tcMar>
          </w:tcPr>
          <w:p>
            <w:pPr>
              <w:spacing w:after="0" w:line="250" w:lineRule="auto"/>
            </w:pPr>
            <w:r>
              <w:rPr>
                <w:color w:val="000000"/>
                <w:sz w:val="20"/>
              </w:rPr>
              <w:t>Spend, channels, suppliers, pipeline, process and value analytics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Extend </w:t>
            </w:r>
            <w:r>
              <w:rPr>
                <w:rFonts w:ascii="Consolas" w:hAnsi="Consolas"/>
                <w:color w:val="000000"/>
                <w:sz w:val="19"/>
              </w:rPr>
              <w:t>ControlTower.tsx</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Governance</w:t>
            </w:r>
          </w:p>
        </w:tc>
        <w:tc>
          <w:tcPr>
            <w:tcW w:type="dxa" w:w="3960"/>
            <w:vAlign w:val="center"/>
            <w:shd w:fill="F3F6F8"/>
            <w:tcMar>
              <w:top w:w="80" w:type="dxa"/>
              <w:bottom w:w="80" w:type="dxa"/>
              <w:left w:w="90" w:type="dxa"/>
              <w:right w:w="90" w:type="dxa"/>
            </w:tcMar>
          </w:tcPr>
          <w:p>
            <w:pPr>
              <w:spacing w:after="0" w:line="250" w:lineRule="auto"/>
            </w:pPr>
            <w:r>
              <w:rPr>
                <w:color w:val="000000"/>
                <w:sz w:val="20"/>
              </w:rPr>
              <w:t>Agent health, audit samples, pause, council decisions and rule versions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GovernanceConsole.tsx</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Service Desk</w:t>
            </w:r>
          </w:p>
        </w:tc>
        <w:tc>
          <w:tcPr>
            <w:tcW w:type="dxa" w:w="3960"/>
            <w:vAlign w:val="center"/>
            <w:shd w:fill="FFFFFF"/>
            <w:tcMar>
              <w:top w:w="80" w:type="dxa"/>
              <w:bottom w:w="80" w:type="dxa"/>
              <w:left w:w="90" w:type="dxa"/>
              <w:right w:w="90" w:type="dxa"/>
            </w:tcMar>
          </w:tcPr>
          <w:p>
            <w:pPr>
              <w:spacing w:after="0" w:line="250" w:lineRule="auto"/>
            </w:pPr>
            <w:r>
              <w:rPr>
                <w:color w:val="000000"/>
                <w:sz w:val="20"/>
              </w:rPr>
              <w:t>Supplier questions and human commercial response queue</w:t>
            </w:r>
          </w:p>
        </w:tc>
        <w:tc>
          <w:tcPr>
            <w:tcW w:type="dxa" w:w="3744"/>
            <w:vAlign w:val="center"/>
            <w:shd w:fill="FFFFFF"/>
            <w:tcMar>
              <w:top w:w="80" w:type="dxa"/>
              <w:bottom w:w="80" w:type="dxa"/>
              <w:left w:w="90" w:type="dxa"/>
              <w:right w:w="90" w:type="dxa"/>
            </w:tcMar>
          </w:tcPr>
          <w:p>
            <w:pPr>
              <w:spacing w:after="0" w:line="250" w:lineRule="auto"/>
            </w:pPr>
            <w:r>
              <w:rPr>
                <w:color w:val="000000"/>
                <w:sz w:val="20"/>
              </w:rPr>
              <w:t>Retain and connect existing page</w:t>
            </w:r>
          </w:p>
        </w:tc>
      </w:tr>
    </w:tbl>
    <w:p>
      <w:pPr>
        <w:spacing w:after="20"/>
      </w:pPr>
    </w:p>
    <w:p>
      <w:r>
        <w:rPr>
          <w:color w:val="000000"/>
        </w:rPr>
        <w:t xml:space="preserve">Keep Supplier entry as a separate seat. Show only that supplier's own orders, invoices, registration tasks, questions and replies. Client decision tasks open in the buyer-side workbench through a clearly labelled </w:t>
      </w:r>
      <w:r>
        <w:rPr>
          <w:b/>
          <w:color w:val="000000"/>
        </w:rPr>
        <w:t>Review as</w:t>
      </w:r>
      <w:r>
        <w:rPr>
          <w:color w:val="000000"/>
        </w:rPr>
        <w:t xml:space="preserve"> role selector in presenter controls. This selector simulates identity for the demo and is not production authentication. Normal screens still show the active role and its permitted decisions.</w:t>
      </w:r>
    </w:p>
    <w:p>
      <w:pPr>
        <w:pStyle w:val="Heading2"/>
      </w:pPr>
      <w:r>
        <w:t>3 3 Workspace content contract</w:t>
      </w:r>
    </w:p>
    <w:p>
      <w:r>
        <w:rPr>
          <w:color w:val="000000"/>
        </w:rPr>
        <w:t>Every meaningful agent step shows: the source records it read, the checks and their results, a brief evidence-based recommendation, the produced artifact, and the next owner or action. Show a short decision rationale rather than an invented private reasoning transcript. Existing streamed text can animate these observable checks.</w:t>
      </w:r>
    </w:p>
    <w:p>
      <w:r>
        <w:rPr>
          <w:color w:val="000000"/>
        </w:rPr>
        <w:t xml:space="preserve">A step that executes automatically displays </w:t>
      </w:r>
      <w:r>
        <w:rPr>
          <w:b/>
          <w:color w:val="000000"/>
        </w:rPr>
        <w:t>Executed under policy</w:t>
      </w:r>
      <w:r>
        <w:rPr>
          <w:color w:val="000000"/>
        </w:rPr>
        <w:t xml:space="preserve"> with the policy version and evidence. </w:t>
      </w:r>
      <w:r>
        <w:rPr>
          <w:b/>
          <w:color w:val="000000"/>
        </w:rPr>
        <w:t>View evidence</w:t>
      </w:r>
      <w:r>
        <w:rPr>
          <w:color w:val="000000"/>
        </w:rPr>
        <w:t xml:space="preserve"> and </w:t>
      </w:r>
      <w:r>
        <w:rPr>
          <w:b/>
          <w:color w:val="000000"/>
        </w:rPr>
        <w:t>Pause</w:t>
      </w:r>
      <w:r>
        <w:rPr>
          <w:color w:val="000000"/>
        </w:rPr>
        <w:t xml:space="preserve"> do not count as purchase approvals. A step requiring human authority displays </w:t>
      </w:r>
      <w:r>
        <w:rPr>
          <w:b/>
          <w:color w:val="000000"/>
        </w:rPr>
        <w:t>Awaiting Budget Holder</w:t>
      </w:r>
      <w:r>
        <w:rPr>
          <w:color w:val="000000"/>
        </w:rPr>
        <w:t xml:space="preserve">, </w:t>
      </w:r>
      <w:r>
        <w:rPr>
          <w:b/>
          <w:color w:val="000000"/>
        </w:rPr>
        <w:t>Awaiting Legal</w:t>
      </w:r>
      <w:r>
        <w:rPr>
          <w:color w:val="000000"/>
        </w:rPr>
        <w:t xml:space="preserve">, </w:t>
      </w:r>
      <w:r>
        <w:rPr>
          <w:b/>
          <w:color w:val="000000"/>
        </w:rPr>
        <w:t>Awaiting Finance</w:t>
      </w:r>
      <w:r>
        <w:rPr>
          <w:color w:val="000000"/>
        </w:rPr>
        <w:t xml:space="preserve"> or the applicable owner. Opening an evidence document never commits a business action.</w:t>
      </w:r>
    </w:p>
    <w:p>
      <w:pPr>
        <w:pStyle w:val="Heading1"/>
      </w:pPr>
      <w:r>
        <w:t>4 Roles and authority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368"/>
        <w:gridCol w:w="3600"/>
        <w:gridCol w:w="3456"/>
      </w:tblGrid>
      <w:tr>
        <w:trPr>
          <w:cantSplit/>
          <w:tblHeader/>
        </w:trPr>
        <w:tc>
          <w:tcPr>
            <w:tcW w:type="dxa" w:w="1656"/>
            <w:vAlign w:val="center"/>
            <w:shd w:fill="18354B"/>
            <w:tcMar>
              <w:top w:w="80" w:type="dxa"/>
              <w:bottom w:w="80" w:type="dxa"/>
              <w:left w:w="90" w:type="dxa"/>
              <w:right w:w="90" w:type="dxa"/>
            </w:tcMar>
          </w:tcPr>
          <w:p>
            <w:pPr>
              <w:keepNext/>
              <w:spacing w:after="0" w:line="250" w:lineRule="auto"/>
            </w:pPr>
            <w:r>
              <w:rPr>
                <w:b/>
                <w:color w:val="FFFFFF"/>
                <w:sz w:val="20"/>
              </w:rPr>
              <w:t>Role</w:t>
            </w:r>
          </w:p>
        </w:tc>
        <w:tc>
          <w:tcPr>
            <w:tcW w:type="dxa" w:w="1368"/>
            <w:vAlign w:val="center"/>
            <w:shd w:fill="18354B"/>
            <w:tcMar>
              <w:top w:w="80" w:type="dxa"/>
              <w:bottom w:w="80" w:type="dxa"/>
              <w:left w:w="90" w:type="dxa"/>
              <w:right w:w="90" w:type="dxa"/>
            </w:tcMar>
          </w:tcPr>
          <w:p>
            <w:pPr>
              <w:keepNext/>
              <w:spacing w:after="0" w:line="250" w:lineRule="auto"/>
            </w:pPr>
            <w:r>
              <w:rPr>
                <w:b/>
                <w:color w:val="FFFFFF"/>
                <w:sz w:val="20"/>
              </w:rPr>
              <w:t>Organisation</w:t>
            </w:r>
          </w:p>
        </w:tc>
        <w:tc>
          <w:tcPr>
            <w:tcW w:type="dxa" w:w="3600"/>
            <w:vAlign w:val="center"/>
            <w:shd w:fill="18354B"/>
            <w:tcMar>
              <w:top w:w="80" w:type="dxa"/>
              <w:bottom w:w="80" w:type="dxa"/>
              <w:left w:w="90" w:type="dxa"/>
              <w:right w:w="90" w:type="dxa"/>
            </w:tcMar>
          </w:tcPr>
          <w:p>
            <w:pPr>
              <w:keepNext/>
              <w:spacing w:after="0" w:line="250" w:lineRule="auto"/>
            </w:pPr>
            <w:r>
              <w:rPr>
                <w:b/>
                <w:color w:val="FFFFFF"/>
                <w:sz w:val="20"/>
              </w:rPr>
              <w:t>Permitted actions</w:t>
            </w:r>
          </w:p>
        </w:tc>
        <w:tc>
          <w:tcPr>
            <w:tcW w:type="dxa" w:w="3456"/>
            <w:vAlign w:val="center"/>
            <w:shd w:fill="18354B"/>
            <w:tcMar>
              <w:top w:w="80" w:type="dxa"/>
              <w:bottom w:w="80" w:type="dxa"/>
              <w:left w:w="90" w:type="dxa"/>
              <w:right w:w="90" w:type="dxa"/>
            </w:tcMar>
          </w:tcPr>
          <w:p>
            <w:pPr>
              <w:keepNext/>
              <w:spacing w:after="0" w:line="250" w:lineRule="auto"/>
            </w:pPr>
            <w:r>
              <w:rPr>
                <w:b/>
                <w:color w:val="FFFFFF"/>
                <w:sz w:val="20"/>
              </w:rPr>
              <w:t>Decisions it cannot make</w:t>
            </w:r>
          </w:p>
        </w:tc>
      </w:tr>
      <w:tr>
        <w:trPr>
          <w:cantSplit/>
        </w:trPr>
        <w:tc>
          <w:tcPr>
            <w:tcW w:type="dxa" w:w="1656"/>
            <w:vAlign w:val="center"/>
            <w:shd w:fill="FFFFFF"/>
            <w:tcMar>
              <w:top w:w="80" w:type="dxa"/>
              <w:bottom w:w="80" w:type="dxa"/>
              <w:left w:w="90" w:type="dxa"/>
              <w:right w:w="90" w:type="dxa"/>
            </w:tcMar>
          </w:tcPr>
          <w:p>
            <w:pPr>
              <w:spacing w:after="0" w:line="250" w:lineRule="auto"/>
            </w:pPr>
            <w:r>
              <w:rPr>
                <w:color w:val="000000"/>
                <w:sz w:val="20"/>
              </w:rPr>
              <w:t>Requester</w:t>
            </w:r>
          </w:p>
        </w:tc>
        <w:tc>
          <w:tcPr>
            <w:tcW w:type="dxa" w:w="1368"/>
            <w:vAlign w:val="center"/>
            <w:shd w:fill="FFFFFF"/>
            <w:tcMar>
              <w:top w:w="80" w:type="dxa"/>
              <w:bottom w:w="80" w:type="dxa"/>
              <w:left w:w="90" w:type="dxa"/>
              <w:right w:w="90" w:type="dxa"/>
            </w:tcMar>
          </w:tcPr>
          <w:p>
            <w:pPr>
              <w:spacing w:after="0" w:line="250" w:lineRule="auto"/>
            </w:pPr>
            <w:r>
              <w:rPr>
                <w:color w:val="000000"/>
                <w:sz w:val="20"/>
              </w:rPr>
              <w:t>Client</w:t>
            </w:r>
          </w:p>
        </w:tc>
        <w:tc>
          <w:tcPr>
            <w:tcW w:type="dxa" w:w="3600"/>
            <w:vAlign w:val="center"/>
            <w:shd w:fill="FFFFFF"/>
            <w:tcMar>
              <w:top w:w="80" w:type="dxa"/>
              <w:bottom w:w="80" w:type="dxa"/>
              <w:left w:w="90" w:type="dxa"/>
              <w:right w:w="90" w:type="dxa"/>
            </w:tcMar>
          </w:tcPr>
          <w:p>
            <w:pPr>
              <w:spacing w:after="0" w:line="250" w:lineRule="auto"/>
            </w:pPr>
            <w:r>
              <w:rPr>
                <w:color w:val="000000"/>
                <w:sz w:val="20"/>
              </w:rPr>
              <w:t>Submit need, confirm specification, revise returned PR, confirm receipt</w:t>
            </w:r>
          </w:p>
        </w:tc>
        <w:tc>
          <w:tcPr>
            <w:tcW w:type="dxa" w:w="3456"/>
            <w:vAlign w:val="center"/>
            <w:shd w:fill="FFFFFF"/>
            <w:tcMar>
              <w:top w:w="80" w:type="dxa"/>
              <w:bottom w:w="80" w:type="dxa"/>
              <w:left w:w="90" w:type="dxa"/>
              <w:right w:w="90" w:type="dxa"/>
            </w:tcMar>
          </w:tcPr>
          <w:p>
            <w:pPr>
              <w:spacing w:after="0" w:line="250" w:lineRule="auto"/>
            </w:pPr>
            <w:r>
              <w:rPr>
                <w:color w:val="000000"/>
                <w:sz w:val="20"/>
              </w:rPr>
              <w:t>Own supplier approval or higher spend approval</w:t>
            </w:r>
          </w:p>
        </w:tc>
      </w:tr>
      <w:tr>
        <w:trPr>
          <w:cantSplit/>
        </w:trPr>
        <w:tc>
          <w:tcPr>
            <w:tcW w:type="dxa" w:w="1656"/>
            <w:vAlign w:val="center"/>
            <w:shd w:fill="F3F6F8"/>
            <w:tcMar>
              <w:top w:w="80" w:type="dxa"/>
              <w:bottom w:w="80" w:type="dxa"/>
              <w:left w:w="90" w:type="dxa"/>
              <w:right w:w="90" w:type="dxa"/>
            </w:tcMar>
          </w:tcPr>
          <w:p>
            <w:pPr>
              <w:spacing w:after="0" w:line="250" w:lineRule="auto"/>
            </w:pPr>
            <w:r>
              <w:rPr>
                <w:color w:val="000000"/>
                <w:sz w:val="20"/>
              </w:rPr>
              <w:t>Application Owner</w:t>
            </w:r>
          </w:p>
        </w:tc>
        <w:tc>
          <w:tcPr>
            <w:tcW w:type="dxa" w:w="1368"/>
            <w:vAlign w:val="center"/>
            <w:shd w:fill="F3F6F8"/>
            <w:tcMar>
              <w:top w:w="80" w:type="dxa"/>
              <w:bottom w:w="80" w:type="dxa"/>
              <w:left w:w="90" w:type="dxa"/>
              <w:right w:w="90" w:type="dxa"/>
            </w:tcMar>
          </w:tcPr>
          <w:p>
            <w:pPr>
              <w:spacing w:after="0" w:line="250" w:lineRule="auto"/>
            </w:pPr>
            <w:r>
              <w:rPr>
                <w:color w:val="000000"/>
                <w:sz w:val="20"/>
              </w:rPr>
              <w:t>Client</w:t>
            </w:r>
          </w:p>
        </w:tc>
        <w:tc>
          <w:tcPr>
            <w:tcW w:type="dxa" w:w="3600"/>
            <w:vAlign w:val="center"/>
            <w:shd w:fill="F3F6F8"/>
            <w:tcMar>
              <w:top w:w="80" w:type="dxa"/>
              <w:bottom w:w="80" w:type="dxa"/>
              <w:left w:w="90" w:type="dxa"/>
              <w:right w:w="90" w:type="dxa"/>
            </w:tcMar>
          </w:tcPr>
          <w:p>
            <w:pPr>
              <w:spacing w:after="0" w:line="250" w:lineRule="auto"/>
            </w:pPr>
            <w:r>
              <w:rPr>
                <w:color w:val="000000"/>
                <w:sz w:val="20"/>
              </w:rPr>
              <w:t>Approve reusable licence pools, functional fit and entitlement assignments</w:t>
            </w:r>
          </w:p>
        </w:tc>
        <w:tc>
          <w:tcPr>
            <w:tcW w:type="dxa" w:w="3456"/>
            <w:vAlign w:val="center"/>
            <w:shd w:fill="F3F6F8"/>
            <w:tcMar>
              <w:top w:w="80" w:type="dxa"/>
              <w:bottom w:w="80" w:type="dxa"/>
              <w:left w:w="90" w:type="dxa"/>
              <w:right w:w="90" w:type="dxa"/>
            </w:tcMar>
          </w:tcPr>
          <w:p>
            <w:pPr>
              <w:spacing w:after="0" w:line="250" w:lineRule="auto"/>
            </w:pPr>
            <w:r>
              <w:rPr>
                <w:color w:val="000000"/>
                <w:sz w:val="20"/>
              </w:rPr>
              <w:t>Change security policy or approve unrelated spend</w:t>
            </w:r>
          </w:p>
        </w:tc>
      </w:tr>
      <w:tr>
        <w:trPr>
          <w:cantSplit/>
        </w:trPr>
        <w:tc>
          <w:tcPr>
            <w:tcW w:type="dxa" w:w="1656"/>
            <w:vAlign w:val="center"/>
            <w:shd w:fill="FFFFFF"/>
            <w:tcMar>
              <w:top w:w="80" w:type="dxa"/>
              <w:bottom w:w="80" w:type="dxa"/>
              <w:left w:w="90" w:type="dxa"/>
              <w:right w:w="90" w:type="dxa"/>
            </w:tcMar>
          </w:tcPr>
          <w:p>
            <w:pPr>
              <w:spacing w:after="0" w:line="250" w:lineRule="auto"/>
            </w:pPr>
            <w:r>
              <w:rPr>
                <w:color w:val="000000"/>
                <w:sz w:val="20"/>
              </w:rPr>
              <w:t>IT Security</w:t>
            </w:r>
          </w:p>
        </w:tc>
        <w:tc>
          <w:tcPr>
            <w:tcW w:type="dxa" w:w="1368"/>
            <w:vAlign w:val="center"/>
            <w:shd w:fill="FFFFFF"/>
            <w:tcMar>
              <w:top w:w="80" w:type="dxa"/>
              <w:bottom w:w="80" w:type="dxa"/>
              <w:left w:w="90" w:type="dxa"/>
              <w:right w:w="90" w:type="dxa"/>
            </w:tcMar>
          </w:tcPr>
          <w:p>
            <w:pPr>
              <w:spacing w:after="0" w:line="250" w:lineRule="auto"/>
            </w:pPr>
            <w:r>
              <w:rPr>
                <w:color w:val="000000"/>
                <w:sz w:val="20"/>
              </w:rPr>
              <w:t>Client</w:t>
            </w:r>
          </w:p>
        </w:tc>
        <w:tc>
          <w:tcPr>
            <w:tcW w:type="dxa" w:w="3600"/>
            <w:vAlign w:val="center"/>
            <w:shd w:fill="FFFFFF"/>
            <w:tcMar>
              <w:top w:w="80" w:type="dxa"/>
              <w:bottom w:w="80" w:type="dxa"/>
              <w:left w:w="90" w:type="dxa"/>
              <w:right w:w="90" w:type="dxa"/>
            </w:tcMar>
          </w:tcPr>
          <w:p>
            <w:pPr>
              <w:spacing w:after="0" w:line="250" w:lineRule="auto"/>
            </w:pPr>
            <w:r>
              <w:rPr>
                <w:color w:val="000000"/>
                <w:sz w:val="20"/>
              </w:rPr>
              <w:t>Approve access-level and licence-tier changes</w:t>
            </w:r>
          </w:p>
        </w:tc>
        <w:tc>
          <w:tcPr>
            <w:tcW w:type="dxa" w:w="3456"/>
            <w:vAlign w:val="center"/>
            <w:shd w:fill="FFFFFF"/>
            <w:tcMar>
              <w:top w:w="80" w:type="dxa"/>
              <w:bottom w:w="80" w:type="dxa"/>
              <w:left w:w="90" w:type="dxa"/>
              <w:right w:w="90" w:type="dxa"/>
            </w:tcMar>
          </w:tcPr>
          <w:p>
            <w:pPr>
              <w:spacing w:after="0" w:line="250" w:lineRule="auto"/>
            </w:pPr>
            <w:r>
              <w:rPr>
                <w:color w:val="000000"/>
                <w:sz w:val="20"/>
              </w:rPr>
              <w:t>Treat available seats as permission to grant new access</w:t>
            </w:r>
          </w:p>
        </w:tc>
      </w:tr>
      <w:tr>
        <w:trPr>
          <w:cantSplit/>
        </w:trPr>
        <w:tc>
          <w:tcPr>
            <w:tcW w:type="dxa" w:w="1656"/>
            <w:vAlign w:val="center"/>
            <w:shd w:fill="F3F6F8"/>
            <w:tcMar>
              <w:top w:w="80" w:type="dxa"/>
              <w:bottom w:w="80" w:type="dxa"/>
              <w:left w:w="90" w:type="dxa"/>
              <w:right w:w="90" w:type="dxa"/>
            </w:tcMar>
          </w:tcPr>
          <w:p>
            <w:pPr>
              <w:spacing w:after="0" w:line="250" w:lineRule="auto"/>
            </w:pPr>
            <w:r>
              <w:rPr>
                <w:color w:val="000000"/>
                <w:sz w:val="20"/>
              </w:rPr>
              <w:t>Technical Owner</w:t>
            </w:r>
          </w:p>
        </w:tc>
        <w:tc>
          <w:tcPr>
            <w:tcW w:type="dxa" w:w="1368"/>
            <w:vAlign w:val="center"/>
            <w:shd w:fill="F3F6F8"/>
            <w:tcMar>
              <w:top w:w="80" w:type="dxa"/>
              <w:bottom w:w="80" w:type="dxa"/>
              <w:left w:w="90" w:type="dxa"/>
              <w:right w:w="90" w:type="dxa"/>
            </w:tcMar>
          </w:tcPr>
          <w:p>
            <w:pPr>
              <w:spacing w:after="0" w:line="250" w:lineRule="auto"/>
            </w:pPr>
            <w:r>
              <w:rPr>
                <w:color w:val="000000"/>
                <w:sz w:val="20"/>
              </w:rPr>
              <w:t>Client</w:t>
            </w:r>
          </w:p>
        </w:tc>
        <w:tc>
          <w:tcPr>
            <w:tcW w:type="dxa" w:w="3600"/>
            <w:vAlign w:val="center"/>
            <w:shd w:fill="F3F6F8"/>
            <w:tcMar>
              <w:top w:w="80" w:type="dxa"/>
              <w:bottom w:w="80" w:type="dxa"/>
              <w:left w:w="90" w:type="dxa"/>
              <w:right w:w="90" w:type="dxa"/>
            </w:tcMar>
          </w:tcPr>
          <w:p>
            <w:pPr>
              <w:spacing w:after="0" w:line="250" w:lineRule="auto"/>
            </w:pPr>
            <w:r>
              <w:rPr>
                <w:color w:val="000000"/>
                <w:sz w:val="20"/>
              </w:rPr>
              <w:t>Confirm essential attributes and application-specific equivalence</w:t>
            </w:r>
          </w:p>
        </w:tc>
        <w:tc>
          <w:tcPr>
            <w:tcW w:type="dxa" w:w="3456"/>
            <w:vAlign w:val="center"/>
            <w:shd w:fill="F3F6F8"/>
            <w:tcMar>
              <w:top w:w="80" w:type="dxa"/>
              <w:bottom w:w="80" w:type="dxa"/>
              <w:left w:w="90" w:type="dxa"/>
              <w:right w:w="90" w:type="dxa"/>
            </w:tcMar>
          </w:tcPr>
          <w:p>
            <w:pPr>
              <w:spacing w:after="0" w:line="250" w:lineRule="auto"/>
            </w:pPr>
            <w:r>
              <w:rPr>
                <w:color w:val="000000"/>
                <w:sz w:val="20"/>
              </w:rPr>
              <w:t>Accept supplier award or waive competition alone</w:t>
            </w:r>
          </w:p>
        </w:tc>
      </w:tr>
      <w:tr>
        <w:trPr>
          <w:cantSplit/>
        </w:trPr>
        <w:tc>
          <w:tcPr>
            <w:tcW w:type="dxa" w:w="1656"/>
            <w:vAlign w:val="center"/>
            <w:shd w:fill="FFFFFF"/>
            <w:tcMar>
              <w:top w:w="80" w:type="dxa"/>
              <w:bottom w:w="80" w:type="dxa"/>
              <w:left w:w="90" w:type="dxa"/>
              <w:right w:w="90" w:type="dxa"/>
            </w:tcMar>
          </w:tcPr>
          <w:p>
            <w:pPr>
              <w:spacing w:after="0" w:line="250" w:lineRule="auto"/>
            </w:pPr>
            <w:r>
              <w:rPr>
                <w:color w:val="000000"/>
                <w:sz w:val="20"/>
              </w:rPr>
              <w:t>Buy Desk Analyst</w:t>
            </w:r>
          </w:p>
        </w:tc>
        <w:tc>
          <w:tcPr>
            <w:tcW w:type="dxa" w:w="1368"/>
            <w:vAlign w:val="center"/>
            <w:shd w:fill="FFFFFF"/>
            <w:tcMar>
              <w:top w:w="80" w:type="dxa"/>
              <w:bottom w:w="80" w:type="dxa"/>
              <w:left w:w="90" w:type="dxa"/>
              <w:right w:w="90" w:type="dxa"/>
            </w:tcMar>
          </w:tcPr>
          <w:p>
            <w:pPr>
              <w:spacing w:after="0" w:line="250" w:lineRule="auto"/>
            </w:pPr>
            <w:r>
              <w:rPr>
                <w:color w:val="000000"/>
                <w:sz w:val="20"/>
              </w:rPr>
              <w:t>TCS</w:t>
            </w:r>
          </w:p>
        </w:tc>
        <w:tc>
          <w:tcPr>
            <w:tcW w:type="dxa" w:w="3600"/>
            <w:vAlign w:val="center"/>
            <w:shd w:fill="FFFFFF"/>
            <w:tcMar>
              <w:top w:w="80" w:type="dxa"/>
              <w:bottom w:w="80" w:type="dxa"/>
              <w:left w:w="90" w:type="dxa"/>
              <w:right w:w="90" w:type="dxa"/>
            </w:tcMar>
          </w:tcPr>
          <w:p>
            <w:pPr>
              <w:spacing w:after="0" w:line="250" w:lineRule="auto"/>
            </w:pPr>
            <w:r>
              <w:rPr>
                <w:color w:val="000000"/>
                <w:sz w:val="20"/>
              </w:rPr>
              <w:t>Correct coding, recommend channel, prepare RFQ and evidence</w:t>
            </w:r>
          </w:p>
        </w:tc>
        <w:tc>
          <w:tcPr>
            <w:tcW w:type="dxa" w:w="3456"/>
            <w:vAlign w:val="center"/>
            <w:shd w:fill="FFFFFF"/>
            <w:tcMar>
              <w:top w:w="80" w:type="dxa"/>
              <w:bottom w:w="80" w:type="dxa"/>
              <w:left w:w="90" w:type="dxa"/>
              <w:right w:w="90" w:type="dxa"/>
            </w:tcMar>
          </w:tcPr>
          <w:p>
            <w:pPr>
              <w:spacing w:after="0" w:line="250" w:lineRule="auto"/>
            </w:pPr>
            <w:r>
              <w:rPr>
                <w:color w:val="000000"/>
                <w:sz w:val="20"/>
              </w:rPr>
              <w:t>Commit above authority, award above £30K, accept Amber/Red</w:t>
            </w:r>
          </w:p>
        </w:tc>
      </w:tr>
      <w:tr>
        <w:trPr>
          <w:cantSplit/>
        </w:trPr>
        <w:tc>
          <w:tcPr>
            <w:tcW w:type="dxa" w:w="1656"/>
            <w:vAlign w:val="center"/>
            <w:shd w:fill="F3F6F8"/>
            <w:tcMar>
              <w:top w:w="80" w:type="dxa"/>
              <w:bottom w:w="80" w:type="dxa"/>
              <w:left w:w="90" w:type="dxa"/>
              <w:right w:w="90" w:type="dxa"/>
            </w:tcMar>
          </w:tcPr>
          <w:p>
            <w:pPr>
              <w:spacing w:after="0" w:line="250" w:lineRule="auto"/>
            </w:pPr>
            <w:r>
              <w:rPr>
                <w:color w:val="000000"/>
                <w:sz w:val="20"/>
              </w:rPr>
              <w:t>Contract Analyst</w:t>
            </w:r>
          </w:p>
        </w:tc>
        <w:tc>
          <w:tcPr>
            <w:tcW w:type="dxa" w:w="1368"/>
            <w:vAlign w:val="center"/>
            <w:shd w:fill="F3F6F8"/>
            <w:tcMar>
              <w:top w:w="80" w:type="dxa"/>
              <w:bottom w:w="80" w:type="dxa"/>
              <w:left w:w="90" w:type="dxa"/>
              <w:right w:w="90" w:type="dxa"/>
            </w:tcMar>
          </w:tcPr>
          <w:p>
            <w:pPr>
              <w:spacing w:after="0" w:line="250" w:lineRule="auto"/>
            </w:pPr>
            <w:r>
              <w:rPr>
                <w:color w:val="000000"/>
                <w:sz w:val="20"/>
              </w:rPr>
              <w:t>TCS</w:t>
            </w:r>
          </w:p>
        </w:tc>
        <w:tc>
          <w:tcPr>
            <w:tcW w:type="dxa" w:w="3600"/>
            <w:vAlign w:val="center"/>
            <w:shd w:fill="F3F6F8"/>
            <w:tcMar>
              <w:top w:w="80" w:type="dxa"/>
              <w:bottom w:w="80" w:type="dxa"/>
              <w:left w:w="90" w:type="dxa"/>
              <w:right w:w="90" w:type="dxa"/>
            </w:tcMar>
          </w:tcPr>
          <w:p>
            <w:pPr>
              <w:spacing w:after="0" w:line="250" w:lineRule="auto"/>
            </w:pPr>
            <w:r>
              <w:rPr>
                <w:color w:val="000000"/>
                <w:sz w:val="20"/>
              </w:rPr>
              <w:t>Draft, compare clauses, prepare recommendation</w:t>
            </w:r>
          </w:p>
        </w:tc>
        <w:tc>
          <w:tcPr>
            <w:tcW w:type="dxa" w:w="3456"/>
            <w:vAlign w:val="center"/>
            <w:shd w:fill="F3F6F8"/>
            <w:tcMar>
              <w:top w:w="80" w:type="dxa"/>
              <w:bottom w:w="80" w:type="dxa"/>
              <w:left w:w="90" w:type="dxa"/>
              <w:right w:w="90" w:type="dxa"/>
            </w:tcMar>
          </w:tcPr>
          <w:p>
            <w:pPr>
              <w:spacing w:after="0" w:line="250" w:lineRule="auto"/>
            </w:pPr>
            <w:r>
              <w:rPr>
                <w:color w:val="000000"/>
                <w:sz w:val="20"/>
              </w:rPr>
              <w:t>Approve Amber or Red deviations</w:t>
            </w:r>
          </w:p>
        </w:tc>
      </w:tr>
      <w:tr>
        <w:trPr>
          <w:cantSplit/>
        </w:trPr>
        <w:tc>
          <w:tcPr>
            <w:tcW w:type="dxa" w:w="1656"/>
            <w:vAlign w:val="center"/>
            <w:shd w:fill="FFFFFF"/>
            <w:tcMar>
              <w:top w:w="80" w:type="dxa"/>
              <w:bottom w:w="80" w:type="dxa"/>
              <w:left w:w="90" w:type="dxa"/>
              <w:right w:w="90" w:type="dxa"/>
            </w:tcMar>
          </w:tcPr>
          <w:p>
            <w:pPr>
              <w:spacing w:after="0" w:line="250" w:lineRule="auto"/>
            </w:pPr>
            <w:r>
              <w:rPr>
                <w:color w:val="000000"/>
                <w:sz w:val="20"/>
              </w:rPr>
              <w:t>Value Analyst</w:t>
            </w:r>
          </w:p>
        </w:tc>
        <w:tc>
          <w:tcPr>
            <w:tcW w:type="dxa" w:w="1368"/>
            <w:vAlign w:val="center"/>
            <w:shd w:fill="FFFFFF"/>
            <w:tcMar>
              <w:top w:w="80" w:type="dxa"/>
              <w:bottom w:w="80" w:type="dxa"/>
              <w:left w:w="90" w:type="dxa"/>
              <w:right w:w="90" w:type="dxa"/>
            </w:tcMar>
          </w:tcPr>
          <w:p>
            <w:pPr>
              <w:spacing w:after="0" w:line="250" w:lineRule="auto"/>
            </w:pPr>
            <w:r>
              <w:rPr>
                <w:color w:val="000000"/>
                <w:sz w:val="20"/>
              </w:rPr>
              <w:t>TCS</w:t>
            </w:r>
          </w:p>
        </w:tc>
        <w:tc>
          <w:tcPr>
            <w:tcW w:type="dxa" w:w="3600"/>
            <w:vAlign w:val="center"/>
            <w:shd w:fill="FFFFFF"/>
            <w:tcMar>
              <w:top w:w="80" w:type="dxa"/>
              <w:bottom w:w="80" w:type="dxa"/>
              <w:left w:w="90" w:type="dxa"/>
              <w:right w:w="90" w:type="dxa"/>
            </w:tcMar>
          </w:tcPr>
          <w:p>
            <w:pPr>
              <w:spacing w:after="0" w:line="250" w:lineRule="auto"/>
            </w:pPr>
            <w:r>
              <w:rPr>
                <w:color w:val="000000"/>
                <w:sz w:val="20"/>
              </w:rPr>
              <w:t>Calculate expected savings, assemble evidence, chase leakage</w:t>
            </w:r>
          </w:p>
        </w:tc>
        <w:tc>
          <w:tcPr>
            <w:tcW w:type="dxa" w:w="3456"/>
            <w:vAlign w:val="center"/>
            <w:shd w:fill="FFFFFF"/>
            <w:tcMar>
              <w:top w:w="80" w:type="dxa"/>
              <w:bottom w:w="80" w:type="dxa"/>
              <w:left w:w="90" w:type="dxa"/>
              <w:right w:w="90" w:type="dxa"/>
            </w:tcMar>
          </w:tcPr>
          <w:p>
            <w:pPr>
              <w:spacing w:after="0" w:line="250" w:lineRule="auto"/>
            </w:pPr>
            <w:r>
              <w:rPr>
                <w:color w:val="000000"/>
                <w:sz w:val="20"/>
              </w:rPr>
              <w:t>Validate its own savings claim</w:t>
            </w:r>
          </w:p>
        </w:tc>
      </w:tr>
      <w:tr>
        <w:trPr>
          <w:cantSplit/>
        </w:trPr>
        <w:tc>
          <w:tcPr>
            <w:tcW w:type="dxa" w:w="1656"/>
            <w:vAlign w:val="center"/>
            <w:shd w:fill="F3F6F8"/>
            <w:tcMar>
              <w:top w:w="80" w:type="dxa"/>
              <w:bottom w:w="80" w:type="dxa"/>
              <w:left w:w="90" w:type="dxa"/>
              <w:right w:w="90" w:type="dxa"/>
            </w:tcMar>
          </w:tcPr>
          <w:p>
            <w:pPr>
              <w:spacing w:after="0" w:line="250" w:lineRule="auto"/>
            </w:pPr>
            <w:r>
              <w:rPr>
                <w:color w:val="000000"/>
                <w:sz w:val="20"/>
              </w:rPr>
              <w:t>Buy Desk Lead</w:t>
            </w:r>
          </w:p>
        </w:tc>
        <w:tc>
          <w:tcPr>
            <w:tcW w:type="dxa" w:w="1368"/>
            <w:vAlign w:val="center"/>
            <w:shd w:fill="F3F6F8"/>
            <w:tcMar>
              <w:top w:w="80" w:type="dxa"/>
              <w:bottom w:w="80" w:type="dxa"/>
              <w:left w:w="90" w:type="dxa"/>
              <w:right w:w="90" w:type="dxa"/>
            </w:tcMar>
          </w:tcPr>
          <w:p>
            <w:pPr>
              <w:spacing w:after="0" w:line="250" w:lineRule="auto"/>
            </w:pPr>
            <w:r>
              <w:rPr>
                <w:color w:val="000000"/>
                <w:sz w:val="20"/>
              </w:rPr>
              <w:t>TCS</w:t>
            </w:r>
          </w:p>
        </w:tc>
        <w:tc>
          <w:tcPr>
            <w:tcW w:type="dxa" w:w="3600"/>
            <w:vAlign w:val="center"/>
            <w:shd w:fill="F3F6F8"/>
            <w:tcMar>
              <w:top w:w="80" w:type="dxa"/>
              <w:bottom w:w="80" w:type="dxa"/>
              <w:left w:w="90" w:type="dxa"/>
              <w:right w:w="90" w:type="dxa"/>
            </w:tcMar>
          </w:tcPr>
          <w:p>
            <w:pPr>
              <w:spacing w:after="0" w:line="250" w:lineRule="auto"/>
            </w:pPr>
            <w:r>
              <w:rPr>
                <w:color w:val="000000"/>
                <w:sz w:val="20"/>
              </w:rPr>
              <w:t>Reassign queues, coordinate fallback and escalation</w:t>
            </w:r>
          </w:p>
        </w:tc>
        <w:tc>
          <w:tcPr>
            <w:tcW w:type="dxa" w:w="3456"/>
            <w:vAlign w:val="center"/>
            <w:shd w:fill="F3F6F8"/>
            <w:tcMar>
              <w:top w:w="80" w:type="dxa"/>
              <w:bottom w:w="80" w:type="dxa"/>
              <w:left w:w="90" w:type="dxa"/>
              <w:right w:w="90" w:type="dxa"/>
            </w:tcMar>
          </w:tcPr>
          <w:p>
            <w:pPr>
              <w:spacing w:after="0" w:line="250" w:lineRule="auto"/>
            </w:pPr>
            <w:r>
              <w:rPr>
                <w:color w:val="000000"/>
                <w:sz w:val="20"/>
              </w:rPr>
              <w:t>Raise limits or change policy</w:t>
            </w:r>
          </w:p>
        </w:tc>
      </w:tr>
      <w:tr>
        <w:trPr>
          <w:cantSplit/>
        </w:trPr>
        <w:tc>
          <w:tcPr>
            <w:tcW w:type="dxa" w:w="1656"/>
            <w:vAlign w:val="center"/>
            <w:shd w:fill="FFFFFF"/>
            <w:tcMar>
              <w:top w:w="80" w:type="dxa"/>
              <w:bottom w:w="80" w:type="dxa"/>
              <w:left w:w="90" w:type="dxa"/>
              <w:right w:w="90" w:type="dxa"/>
            </w:tcMar>
          </w:tcPr>
          <w:p>
            <w:pPr>
              <w:spacing w:after="0" w:line="250" w:lineRule="auto"/>
            </w:pPr>
            <w:r>
              <w:rPr>
                <w:color w:val="000000"/>
                <w:sz w:val="20"/>
              </w:rPr>
              <w:t>AI Ops Steward</w:t>
            </w:r>
          </w:p>
        </w:tc>
        <w:tc>
          <w:tcPr>
            <w:tcW w:type="dxa" w:w="1368"/>
            <w:vAlign w:val="center"/>
            <w:shd w:fill="FFFFFF"/>
            <w:tcMar>
              <w:top w:w="80" w:type="dxa"/>
              <w:bottom w:w="80" w:type="dxa"/>
              <w:left w:w="90" w:type="dxa"/>
              <w:right w:w="90" w:type="dxa"/>
            </w:tcMar>
          </w:tcPr>
          <w:p>
            <w:pPr>
              <w:spacing w:after="0" w:line="250" w:lineRule="auto"/>
            </w:pPr>
            <w:r>
              <w:rPr>
                <w:color w:val="000000"/>
                <w:sz w:val="20"/>
              </w:rPr>
              <w:t>TCS</w:t>
            </w:r>
          </w:p>
        </w:tc>
        <w:tc>
          <w:tcPr>
            <w:tcW w:type="dxa" w:w="3600"/>
            <w:vAlign w:val="center"/>
            <w:shd w:fill="FFFFFF"/>
            <w:tcMar>
              <w:top w:w="80" w:type="dxa"/>
              <w:bottom w:w="80" w:type="dxa"/>
              <w:left w:w="90" w:type="dxa"/>
              <w:right w:w="90" w:type="dxa"/>
            </w:tcMar>
          </w:tcPr>
          <w:p>
            <w:pPr>
              <w:spacing w:after="0" w:line="250" w:lineRule="auto"/>
            </w:pPr>
            <w:r>
              <w:rPr>
                <w:color w:val="000000"/>
                <w:sz w:val="20"/>
              </w:rPr>
              <w:t>Pause agents, lower operational lane availability, review samples</w:t>
            </w:r>
          </w:p>
        </w:tc>
        <w:tc>
          <w:tcPr>
            <w:tcW w:type="dxa" w:w="3456"/>
            <w:vAlign w:val="center"/>
            <w:shd w:fill="FFFFFF"/>
            <w:tcMar>
              <w:top w:w="80" w:type="dxa"/>
              <w:bottom w:w="80" w:type="dxa"/>
              <w:left w:w="90" w:type="dxa"/>
              <w:right w:w="90" w:type="dxa"/>
            </w:tcMar>
          </w:tcPr>
          <w:p>
            <w:pPr>
              <w:spacing w:after="0" w:line="250" w:lineRule="auto"/>
            </w:pPr>
            <w:r>
              <w:rPr>
                <w:color w:val="000000"/>
                <w:sz w:val="20"/>
              </w:rPr>
              <w:t>Widen lanes or change approved thresholds alone</w:t>
            </w:r>
          </w:p>
        </w:tc>
      </w:tr>
      <w:tr>
        <w:trPr>
          <w:cantSplit/>
        </w:trPr>
        <w:tc>
          <w:tcPr>
            <w:tcW w:type="dxa" w:w="1656"/>
            <w:vAlign w:val="center"/>
            <w:shd w:fill="F3F6F8"/>
            <w:tcMar>
              <w:top w:w="80" w:type="dxa"/>
              <w:bottom w:w="80" w:type="dxa"/>
              <w:left w:w="90" w:type="dxa"/>
              <w:right w:w="90" w:type="dxa"/>
            </w:tcMar>
          </w:tcPr>
          <w:p>
            <w:pPr>
              <w:spacing w:after="0" w:line="250" w:lineRule="auto"/>
            </w:pPr>
            <w:r>
              <w:rPr>
                <w:color w:val="000000"/>
                <w:sz w:val="20"/>
              </w:rPr>
              <w:t>Budget Holder</w:t>
            </w:r>
          </w:p>
        </w:tc>
        <w:tc>
          <w:tcPr>
            <w:tcW w:type="dxa" w:w="1368"/>
            <w:vAlign w:val="center"/>
            <w:shd w:fill="F3F6F8"/>
            <w:tcMar>
              <w:top w:w="80" w:type="dxa"/>
              <w:bottom w:w="80" w:type="dxa"/>
              <w:left w:w="90" w:type="dxa"/>
              <w:right w:w="90" w:type="dxa"/>
            </w:tcMar>
          </w:tcPr>
          <w:p>
            <w:pPr>
              <w:spacing w:after="0" w:line="250" w:lineRule="auto"/>
            </w:pPr>
            <w:r>
              <w:rPr>
                <w:color w:val="000000"/>
                <w:sz w:val="20"/>
              </w:rPr>
              <w:t>Client</w:t>
            </w:r>
          </w:p>
        </w:tc>
        <w:tc>
          <w:tcPr>
            <w:tcW w:type="dxa" w:w="3600"/>
            <w:vAlign w:val="center"/>
            <w:shd w:fill="F3F6F8"/>
            <w:tcMar>
              <w:top w:w="80" w:type="dxa"/>
              <w:bottom w:w="80" w:type="dxa"/>
              <w:left w:w="90" w:type="dxa"/>
              <w:right w:w="90" w:type="dxa"/>
            </w:tcMar>
          </w:tcPr>
          <w:p>
            <w:pPr>
              <w:spacing w:after="0" w:line="250" w:lineRule="auto"/>
            </w:pPr>
            <w:r>
              <w:rPr>
                <w:color w:val="000000"/>
                <w:sz w:val="20"/>
              </w:rPr>
              <w:t>Approve spend within own configured DoA</w:t>
            </w:r>
          </w:p>
        </w:tc>
        <w:tc>
          <w:tcPr>
            <w:tcW w:type="dxa" w:w="3456"/>
            <w:vAlign w:val="center"/>
            <w:shd w:fill="F3F6F8"/>
            <w:tcMar>
              <w:top w:w="80" w:type="dxa"/>
              <w:bottom w:w="80" w:type="dxa"/>
              <w:left w:w="90" w:type="dxa"/>
              <w:right w:w="90" w:type="dxa"/>
            </w:tcMar>
          </w:tcPr>
          <w:p>
            <w:pPr>
              <w:spacing w:after="0" w:line="250" w:lineRule="auto"/>
            </w:pPr>
            <w:r>
              <w:rPr>
                <w:color w:val="000000"/>
                <w:sz w:val="20"/>
              </w:rPr>
              <w:t>Approve above own limit</w:t>
            </w:r>
          </w:p>
        </w:tc>
      </w:tr>
      <w:tr>
        <w:trPr>
          <w:cantSplit/>
        </w:trPr>
        <w:tc>
          <w:tcPr>
            <w:tcW w:type="dxa" w:w="1656"/>
            <w:vAlign w:val="center"/>
            <w:shd w:fill="FFFFFF"/>
            <w:tcMar>
              <w:top w:w="80" w:type="dxa"/>
              <w:bottom w:w="80" w:type="dxa"/>
              <w:left w:w="90" w:type="dxa"/>
              <w:right w:w="90" w:type="dxa"/>
            </w:tcMar>
          </w:tcPr>
          <w:p>
            <w:pPr>
              <w:spacing w:after="0" w:line="250" w:lineRule="auto"/>
            </w:pPr>
            <w:r>
              <w:rPr>
                <w:color w:val="000000"/>
                <w:sz w:val="20"/>
              </w:rPr>
              <w:t>Category Lead</w:t>
            </w:r>
          </w:p>
        </w:tc>
        <w:tc>
          <w:tcPr>
            <w:tcW w:type="dxa" w:w="1368"/>
            <w:vAlign w:val="center"/>
            <w:shd w:fill="FFFFFF"/>
            <w:tcMar>
              <w:top w:w="80" w:type="dxa"/>
              <w:bottom w:w="80" w:type="dxa"/>
              <w:left w:w="90" w:type="dxa"/>
              <w:right w:w="90" w:type="dxa"/>
            </w:tcMar>
          </w:tcPr>
          <w:p>
            <w:pPr>
              <w:spacing w:after="0" w:line="250" w:lineRule="auto"/>
            </w:pPr>
            <w:r>
              <w:rPr>
                <w:color w:val="000000"/>
                <w:sz w:val="20"/>
              </w:rPr>
              <w:t>Client</w:t>
            </w:r>
          </w:p>
        </w:tc>
        <w:tc>
          <w:tcPr>
            <w:tcW w:type="dxa" w:w="3600"/>
            <w:vAlign w:val="center"/>
            <w:shd w:fill="FFFFFF"/>
            <w:tcMar>
              <w:top w:w="80" w:type="dxa"/>
              <w:bottom w:w="80" w:type="dxa"/>
              <w:left w:w="90" w:type="dxa"/>
              <w:right w:w="90" w:type="dxa"/>
            </w:tcMar>
          </w:tcPr>
          <w:p>
            <w:pPr>
              <w:spacing w:after="0" w:line="250" w:lineRule="auto"/>
            </w:pPr>
            <w:r>
              <w:rPr>
                <w:color w:val="000000"/>
                <w:sz w:val="20"/>
              </w:rPr>
              <w:t>Pipeline, material awards, sole-source justification and commercial decisions</w:t>
            </w:r>
          </w:p>
        </w:tc>
        <w:tc>
          <w:tcPr>
            <w:tcW w:type="dxa" w:w="3456"/>
            <w:vAlign w:val="center"/>
            <w:shd w:fill="FFFFFF"/>
            <w:tcMar>
              <w:top w:w="80" w:type="dxa"/>
              <w:bottom w:w="80" w:type="dxa"/>
              <w:left w:w="90" w:type="dxa"/>
              <w:right w:w="90" w:type="dxa"/>
            </w:tcMar>
          </w:tcPr>
          <w:p>
            <w:pPr>
              <w:spacing w:after="0" w:line="250" w:lineRule="auto"/>
            </w:pPr>
            <w:r>
              <w:rPr>
                <w:color w:val="000000"/>
                <w:sz w:val="20"/>
              </w:rPr>
              <w:t>Accept Red legal clauses or approve banking alone</w:t>
            </w:r>
          </w:p>
        </w:tc>
      </w:tr>
      <w:tr>
        <w:trPr>
          <w:cantSplit/>
        </w:trPr>
        <w:tc>
          <w:tcPr>
            <w:tcW w:type="dxa" w:w="1656"/>
            <w:vAlign w:val="center"/>
            <w:shd w:fill="F3F6F8"/>
            <w:tcMar>
              <w:top w:w="80" w:type="dxa"/>
              <w:bottom w:w="80" w:type="dxa"/>
              <w:left w:w="90" w:type="dxa"/>
              <w:right w:w="90" w:type="dxa"/>
            </w:tcMar>
          </w:tcPr>
          <w:p>
            <w:pPr>
              <w:spacing w:after="0" w:line="250" w:lineRule="auto"/>
            </w:pPr>
            <w:r>
              <w:rPr>
                <w:color w:val="000000"/>
                <w:sz w:val="20"/>
              </w:rPr>
              <w:t>Delegated Approver</w:t>
            </w:r>
          </w:p>
        </w:tc>
        <w:tc>
          <w:tcPr>
            <w:tcW w:type="dxa" w:w="1368"/>
            <w:vAlign w:val="center"/>
            <w:shd w:fill="F3F6F8"/>
            <w:tcMar>
              <w:top w:w="80" w:type="dxa"/>
              <w:bottom w:w="80" w:type="dxa"/>
              <w:left w:w="90" w:type="dxa"/>
              <w:right w:w="90" w:type="dxa"/>
            </w:tcMar>
          </w:tcPr>
          <w:p>
            <w:pPr>
              <w:spacing w:after="0" w:line="250" w:lineRule="auto"/>
            </w:pPr>
            <w:r>
              <w:rPr>
                <w:color w:val="000000"/>
                <w:sz w:val="20"/>
              </w:rPr>
              <w:t>Client</w:t>
            </w:r>
          </w:p>
        </w:tc>
        <w:tc>
          <w:tcPr>
            <w:tcW w:type="dxa" w:w="3600"/>
            <w:vAlign w:val="center"/>
            <w:shd w:fill="F3F6F8"/>
            <w:tcMar>
              <w:top w:w="80" w:type="dxa"/>
              <w:bottom w:w="80" w:type="dxa"/>
              <w:left w:w="90" w:type="dxa"/>
              <w:right w:w="90" w:type="dxa"/>
            </w:tcMar>
          </w:tcPr>
          <w:p>
            <w:pPr>
              <w:spacing w:after="0" w:line="250" w:lineRule="auto"/>
            </w:pPr>
            <w:r>
              <w:rPr>
                <w:color w:val="000000"/>
                <w:sz w:val="20"/>
              </w:rPr>
              <w:t>Amber deviations inside the approved clause band</w:t>
            </w:r>
          </w:p>
        </w:tc>
        <w:tc>
          <w:tcPr>
            <w:tcW w:type="dxa" w:w="3456"/>
            <w:vAlign w:val="center"/>
            <w:shd w:fill="F3F6F8"/>
            <w:tcMar>
              <w:top w:w="80" w:type="dxa"/>
              <w:bottom w:w="80" w:type="dxa"/>
              <w:left w:w="90" w:type="dxa"/>
              <w:right w:w="90" w:type="dxa"/>
            </w:tcMar>
          </w:tcPr>
          <w:p>
            <w:pPr>
              <w:spacing w:after="0" w:line="250" w:lineRule="auto"/>
            </w:pPr>
            <w:r>
              <w:rPr>
                <w:color w:val="000000"/>
                <w:sz w:val="20"/>
              </w:rPr>
              <w:t>Accept Red or unknown clauses</w:t>
            </w:r>
          </w:p>
        </w:tc>
      </w:tr>
      <w:tr>
        <w:trPr>
          <w:cantSplit/>
        </w:trPr>
        <w:tc>
          <w:tcPr>
            <w:tcW w:type="dxa" w:w="1656"/>
            <w:vAlign w:val="center"/>
            <w:shd w:fill="FFFFFF"/>
            <w:tcMar>
              <w:top w:w="80" w:type="dxa"/>
              <w:bottom w:w="80" w:type="dxa"/>
              <w:left w:w="90" w:type="dxa"/>
              <w:right w:w="90" w:type="dxa"/>
            </w:tcMar>
          </w:tcPr>
          <w:p>
            <w:pPr>
              <w:spacing w:after="0" w:line="250" w:lineRule="auto"/>
            </w:pPr>
            <w:r>
              <w:rPr>
                <w:color w:val="000000"/>
                <w:sz w:val="20"/>
              </w:rPr>
              <w:t>Legal</w:t>
            </w:r>
          </w:p>
        </w:tc>
        <w:tc>
          <w:tcPr>
            <w:tcW w:type="dxa" w:w="1368"/>
            <w:vAlign w:val="center"/>
            <w:shd w:fill="FFFFFF"/>
            <w:tcMar>
              <w:top w:w="80" w:type="dxa"/>
              <w:bottom w:w="80" w:type="dxa"/>
              <w:left w:w="90" w:type="dxa"/>
              <w:right w:w="90" w:type="dxa"/>
            </w:tcMar>
          </w:tcPr>
          <w:p>
            <w:pPr>
              <w:spacing w:after="0" w:line="250" w:lineRule="auto"/>
            </w:pPr>
            <w:r>
              <w:rPr>
                <w:color w:val="000000"/>
                <w:sz w:val="20"/>
              </w:rPr>
              <w:t>Client</w:t>
            </w:r>
          </w:p>
        </w:tc>
        <w:tc>
          <w:tcPr>
            <w:tcW w:type="dxa" w:w="3600"/>
            <w:vAlign w:val="center"/>
            <w:shd w:fill="FFFFFF"/>
            <w:tcMar>
              <w:top w:w="80" w:type="dxa"/>
              <w:bottom w:w="80" w:type="dxa"/>
              <w:left w:w="90" w:type="dxa"/>
              <w:right w:w="90" w:type="dxa"/>
            </w:tcMar>
          </w:tcPr>
          <w:p>
            <w:pPr>
              <w:spacing w:after="0" w:line="250" w:lineRule="auto"/>
            </w:pPr>
            <w:r>
              <w:rPr>
                <w:color w:val="000000"/>
                <w:sz w:val="20"/>
              </w:rPr>
              <w:t>Red clauses and contracts outside desk scope</w:t>
            </w:r>
          </w:p>
        </w:tc>
        <w:tc>
          <w:tcPr>
            <w:tcW w:type="dxa" w:w="3456"/>
            <w:vAlign w:val="center"/>
            <w:shd w:fill="FFFFFF"/>
            <w:tcMar>
              <w:top w:w="80" w:type="dxa"/>
              <w:bottom w:w="80" w:type="dxa"/>
              <w:left w:w="90" w:type="dxa"/>
              <w:right w:w="90" w:type="dxa"/>
            </w:tcMar>
          </w:tcPr>
          <w:p>
            <w:pPr>
              <w:spacing w:after="0" w:line="250" w:lineRule="auto"/>
            </w:pPr>
            <w:r>
              <w:rPr>
                <w:color w:val="000000"/>
                <w:sz w:val="20"/>
              </w:rPr>
              <w:t>Finance savings or bank verification</w:t>
            </w:r>
          </w:p>
        </w:tc>
      </w:tr>
      <w:tr>
        <w:trPr>
          <w:cantSplit/>
        </w:trPr>
        <w:tc>
          <w:tcPr>
            <w:tcW w:type="dxa" w:w="1656"/>
            <w:vAlign w:val="center"/>
            <w:shd w:fill="F3F6F8"/>
            <w:tcMar>
              <w:top w:w="80" w:type="dxa"/>
              <w:bottom w:w="80" w:type="dxa"/>
              <w:left w:w="90" w:type="dxa"/>
              <w:right w:w="90" w:type="dxa"/>
            </w:tcMar>
          </w:tcPr>
          <w:p>
            <w:pPr>
              <w:spacing w:after="0" w:line="250" w:lineRule="auto"/>
            </w:pPr>
            <w:r>
              <w:rPr>
                <w:color w:val="000000"/>
                <w:sz w:val="20"/>
              </w:rPr>
              <w:t>Finance BP</w:t>
            </w:r>
          </w:p>
        </w:tc>
        <w:tc>
          <w:tcPr>
            <w:tcW w:type="dxa" w:w="1368"/>
            <w:vAlign w:val="center"/>
            <w:shd w:fill="F3F6F8"/>
            <w:tcMar>
              <w:top w:w="80" w:type="dxa"/>
              <w:bottom w:w="80" w:type="dxa"/>
              <w:left w:w="90" w:type="dxa"/>
              <w:right w:w="90" w:type="dxa"/>
            </w:tcMar>
          </w:tcPr>
          <w:p>
            <w:pPr>
              <w:spacing w:after="0" w:line="250" w:lineRule="auto"/>
            </w:pPr>
            <w:r>
              <w:rPr>
                <w:color w:val="000000"/>
                <w:sz w:val="20"/>
              </w:rPr>
              <w:t>Client</w:t>
            </w:r>
          </w:p>
        </w:tc>
        <w:tc>
          <w:tcPr>
            <w:tcW w:type="dxa" w:w="3600"/>
            <w:vAlign w:val="center"/>
            <w:shd w:fill="F3F6F8"/>
            <w:tcMar>
              <w:top w:w="80" w:type="dxa"/>
              <w:bottom w:w="80" w:type="dxa"/>
              <w:left w:w="90" w:type="dxa"/>
              <w:right w:w="90" w:type="dxa"/>
            </w:tcMar>
          </w:tcPr>
          <w:p>
            <w:pPr>
              <w:spacing w:after="0" w:line="250" w:lineRule="auto"/>
            </w:pPr>
            <w:r>
              <w:rPr>
                <w:color w:val="000000"/>
                <w:sz w:val="20"/>
              </w:rPr>
              <w:t>Agree baselines, review value evidence, sign savings</w:t>
            </w:r>
          </w:p>
        </w:tc>
        <w:tc>
          <w:tcPr>
            <w:tcW w:type="dxa" w:w="3456"/>
            <w:vAlign w:val="center"/>
            <w:shd w:fill="F3F6F8"/>
            <w:tcMar>
              <w:top w:w="80" w:type="dxa"/>
              <w:bottom w:w="80" w:type="dxa"/>
              <w:left w:w="90" w:type="dxa"/>
              <w:right w:w="90" w:type="dxa"/>
            </w:tcMar>
          </w:tcPr>
          <w:p>
            <w:pPr>
              <w:spacing w:after="0" w:line="250" w:lineRule="auto"/>
            </w:pPr>
            <w:r>
              <w:rPr>
                <w:color w:val="000000"/>
                <w:sz w:val="20"/>
              </w:rPr>
              <w:t>Sanctions clearance or legal deviations</w:t>
            </w:r>
          </w:p>
        </w:tc>
      </w:tr>
      <w:tr>
        <w:trPr>
          <w:cantSplit/>
        </w:trPr>
        <w:tc>
          <w:tcPr>
            <w:tcW w:type="dxa" w:w="1656"/>
            <w:vAlign w:val="center"/>
            <w:shd w:fill="FFFFFF"/>
            <w:tcMar>
              <w:top w:w="80" w:type="dxa"/>
              <w:bottom w:w="80" w:type="dxa"/>
              <w:left w:w="90" w:type="dxa"/>
              <w:right w:w="90" w:type="dxa"/>
            </w:tcMar>
          </w:tcPr>
          <w:p>
            <w:pPr>
              <w:spacing w:after="0" w:line="250" w:lineRule="auto"/>
            </w:pPr>
            <w:r>
              <w:rPr>
                <w:color w:val="000000"/>
                <w:sz w:val="20"/>
              </w:rPr>
              <w:t>Finance Controller</w:t>
            </w:r>
          </w:p>
        </w:tc>
        <w:tc>
          <w:tcPr>
            <w:tcW w:type="dxa" w:w="1368"/>
            <w:vAlign w:val="center"/>
            <w:shd w:fill="FFFFFF"/>
            <w:tcMar>
              <w:top w:w="80" w:type="dxa"/>
              <w:bottom w:w="80" w:type="dxa"/>
              <w:left w:w="90" w:type="dxa"/>
              <w:right w:w="90" w:type="dxa"/>
            </w:tcMar>
          </w:tcPr>
          <w:p>
            <w:pPr>
              <w:spacing w:after="0" w:line="250" w:lineRule="auto"/>
            </w:pPr>
            <w:r>
              <w:rPr>
                <w:color w:val="000000"/>
                <w:sz w:val="20"/>
              </w:rPr>
              <w:t>Client</w:t>
            </w:r>
          </w:p>
        </w:tc>
        <w:tc>
          <w:tcPr>
            <w:tcW w:type="dxa" w:w="3600"/>
            <w:vAlign w:val="center"/>
            <w:shd w:fill="FFFFFF"/>
            <w:tcMar>
              <w:top w:w="80" w:type="dxa"/>
              <w:bottom w:w="80" w:type="dxa"/>
              <w:left w:w="90" w:type="dxa"/>
              <w:right w:w="90" w:type="dxa"/>
            </w:tcMar>
          </w:tcPr>
          <w:p>
            <w:pPr>
              <w:spacing w:after="0" w:line="250" w:lineRule="auto"/>
            </w:pPr>
            <w:r>
              <w:rPr>
                <w:color w:val="000000"/>
                <w:sz w:val="20"/>
              </w:rPr>
              <w:t>Bank mismatch/fraud escalation and exceptional financial authority</w:t>
            </w:r>
          </w:p>
        </w:tc>
        <w:tc>
          <w:tcPr>
            <w:tcW w:type="dxa" w:w="3456"/>
            <w:vAlign w:val="center"/>
            <w:shd w:fill="FFFFFF"/>
            <w:tcMar>
              <w:top w:w="80" w:type="dxa"/>
              <w:bottom w:w="80" w:type="dxa"/>
              <w:left w:w="90" w:type="dxa"/>
              <w:right w:w="90" w:type="dxa"/>
            </w:tcMar>
          </w:tcPr>
          <w:p>
            <w:pPr>
              <w:spacing w:after="0" w:line="250" w:lineRule="auto"/>
            </w:pPr>
            <w:r>
              <w:rPr>
                <w:color w:val="000000"/>
                <w:sz w:val="20"/>
              </w:rPr>
              <w:t>Leave an open bank mismatch and activate anyway</w:t>
            </w:r>
          </w:p>
        </w:tc>
      </w:tr>
      <w:tr>
        <w:trPr>
          <w:cantSplit/>
        </w:trPr>
        <w:tc>
          <w:tcPr>
            <w:tcW w:type="dxa" w:w="1656"/>
            <w:vAlign w:val="center"/>
            <w:shd w:fill="F3F6F8"/>
            <w:tcMar>
              <w:top w:w="80" w:type="dxa"/>
              <w:bottom w:w="80" w:type="dxa"/>
              <w:left w:w="90" w:type="dxa"/>
              <w:right w:w="90" w:type="dxa"/>
            </w:tcMar>
          </w:tcPr>
          <w:p>
            <w:pPr>
              <w:spacing w:after="0" w:line="250" w:lineRule="auto"/>
            </w:pPr>
            <w:r>
              <w:rPr>
                <w:color w:val="000000"/>
                <w:sz w:val="20"/>
              </w:rPr>
              <w:t>Risk Analyst and Risk Committee</w:t>
            </w:r>
          </w:p>
        </w:tc>
        <w:tc>
          <w:tcPr>
            <w:tcW w:type="dxa" w:w="1368"/>
            <w:vAlign w:val="center"/>
            <w:shd w:fill="F3F6F8"/>
            <w:tcMar>
              <w:top w:w="80" w:type="dxa"/>
              <w:bottom w:w="80" w:type="dxa"/>
              <w:left w:w="90" w:type="dxa"/>
              <w:right w:w="90" w:type="dxa"/>
            </w:tcMar>
          </w:tcPr>
          <w:p>
            <w:pPr>
              <w:spacing w:after="0" w:line="250" w:lineRule="auto"/>
            </w:pPr>
            <w:r>
              <w:rPr>
                <w:color w:val="000000"/>
                <w:sz w:val="20"/>
              </w:rPr>
              <w:t>Client</w:t>
            </w:r>
          </w:p>
        </w:tc>
        <w:tc>
          <w:tcPr>
            <w:tcW w:type="dxa" w:w="3600"/>
            <w:vAlign w:val="center"/>
            <w:shd w:fill="F3F6F8"/>
            <w:tcMar>
              <w:top w:w="80" w:type="dxa"/>
              <w:bottom w:w="80" w:type="dxa"/>
              <w:left w:w="90" w:type="dxa"/>
              <w:right w:w="90" w:type="dxa"/>
            </w:tcMar>
          </w:tcPr>
          <w:p>
            <w:pPr>
              <w:spacing w:after="0" w:line="250" w:lineRule="auto"/>
            </w:pPr>
            <w:r>
              <w:rPr>
                <w:color w:val="000000"/>
                <w:sz w:val="20"/>
              </w:rPr>
              <w:t>Investigate risk and identity matches, decide within assigned risk authority</w:t>
            </w:r>
          </w:p>
        </w:tc>
        <w:tc>
          <w:tcPr>
            <w:tcW w:type="dxa" w:w="3456"/>
            <w:vAlign w:val="center"/>
            <w:shd w:fill="F3F6F8"/>
            <w:tcMar>
              <w:top w:w="80" w:type="dxa"/>
              <w:bottom w:w="80" w:type="dxa"/>
              <w:left w:w="90" w:type="dxa"/>
              <w:right w:w="90" w:type="dxa"/>
            </w:tcMar>
          </w:tcPr>
          <w:p>
            <w:pPr>
              <w:spacing w:after="0" w:line="250" w:lineRule="auto"/>
            </w:pPr>
            <w:r>
              <w:rPr>
                <w:color w:val="000000"/>
                <w:sz w:val="20"/>
              </w:rPr>
              <w:t>Activate with an open sanctions hit</w:t>
            </w:r>
          </w:p>
        </w:tc>
      </w:tr>
      <w:tr>
        <w:trPr>
          <w:cantSplit/>
        </w:trPr>
        <w:tc>
          <w:tcPr>
            <w:tcW w:type="dxa" w:w="1656"/>
            <w:vAlign w:val="center"/>
            <w:shd w:fill="FFFFFF"/>
            <w:tcMar>
              <w:top w:w="80" w:type="dxa"/>
              <w:bottom w:w="80" w:type="dxa"/>
              <w:left w:w="90" w:type="dxa"/>
              <w:right w:w="90" w:type="dxa"/>
            </w:tcMar>
          </w:tcPr>
          <w:p>
            <w:pPr>
              <w:spacing w:after="0" w:line="250" w:lineRule="auto"/>
            </w:pPr>
            <w:r>
              <w:rPr>
                <w:color w:val="000000"/>
                <w:sz w:val="20"/>
              </w:rPr>
              <w:t>Procurement Head and Value Council</w:t>
            </w:r>
          </w:p>
        </w:tc>
        <w:tc>
          <w:tcPr>
            <w:tcW w:type="dxa" w:w="1368"/>
            <w:vAlign w:val="center"/>
            <w:shd w:fill="FFFFFF"/>
            <w:tcMar>
              <w:top w:w="80" w:type="dxa"/>
              <w:bottom w:w="80" w:type="dxa"/>
              <w:left w:w="90" w:type="dxa"/>
              <w:right w:w="90" w:type="dxa"/>
            </w:tcMar>
          </w:tcPr>
          <w:p>
            <w:pPr>
              <w:spacing w:after="0" w:line="250" w:lineRule="auto"/>
            </w:pPr>
            <w:r>
              <w:rPr>
                <w:color w:val="000000"/>
                <w:sz w:val="20"/>
              </w:rPr>
              <w:t>Client and TCS as appropriate</w:t>
            </w:r>
          </w:p>
        </w:tc>
        <w:tc>
          <w:tcPr>
            <w:tcW w:type="dxa" w:w="3600"/>
            <w:vAlign w:val="center"/>
            <w:shd w:fill="FFFFFF"/>
            <w:tcMar>
              <w:top w:w="80" w:type="dxa"/>
              <w:bottom w:w="80" w:type="dxa"/>
              <w:left w:w="90" w:type="dxa"/>
              <w:right w:w="90" w:type="dxa"/>
            </w:tcMar>
          </w:tcPr>
          <w:p>
            <w:pPr>
              <w:spacing w:after="0" w:line="250" w:lineRule="auto"/>
            </w:pPr>
            <w:r>
              <w:rPr>
                <w:color w:val="000000"/>
                <w:sz w:val="20"/>
              </w:rPr>
              <w:t>Escalations, policy change approval, lane widening and governance</w:t>
            </w:r>
          </w:p>
        </w:tc>
        <w:tc>
          <w:tcPr>
            <w:tcW w:type="dxa" w:w="3456"/>
            <w:vAlign w:val="center"/>
            <w:shd w:fill="FFFFFF"/>
            <w:tcMar>
              <w:top w:w="80" w:type="dxa"/>
              <w:bottom w:w="80" w:type="dxa"/>
              <w:left w:w="90" w:type="dxa"/>
              <w:right w:w="90" w:type="dxa"/>
            </w:tcMar>
          </w:tcPr>
          <w:p>
            <w:pPr>
              <w:spacing w:after="0" w:line="250" w:lineRule="auto"/>
            </w:pPr>
            <w:r>
              <w:rPr>
                <w:color w:val="000000"/>
                <w:sz w:val="20"/>
              </w:rPr>
              <w:t>Bypass any hard constraint</w:t>
            </w:r>
          </w:p>
        </w:tc>
      </w:tr>
      <w:tr>
        <w:trPr>
          <w:cantSplit/>
        </w:trPr>
        <w:tc>
          <w:tcPr>
            <w:tcW w:type="dxa" w:w="1656"/>
            <w:vAlign w:val="center"/>
            <w:shd w:fill="F3F6F8"/>
            <w:tcMar>
              <w:top w:w="80" w:type="dxa"/>
              <w:bottom w:w="80" w:type="dxa"/>
              <w:left w:w="90" w:type="dxa"/>
              <w:right w:w="90" w:type="dxa"/>
            </w:tcMar>
          </w:tcPr>
          <w:p>
            <w:pPr>
              <w:spacing w:after="0" w:line="250" w:lineRule="auto"/>
            </w:pPr>
            <w:r>
              <w:rPr>
                <w:color w:val="000000"/>
                <w:sz w:val="20"/>
              </w:rPr>
              <w:t>Supplier</w:t>
            </w:r>
          </w:p>
        </w:tc>
        <w:tc>
          <w:tcPr>
            <w:tcW w:type="dxa" w:w="1368"/>
            <w:vAlign w:val="center"/>
            <w:shd w:fill="F3F6F8"/>
            <w:tcMar>
              <w:top w:w="80" w:type="dxa"/>
              <w:bottom w:w="80" w:type="dxa"/>
              <w:left w:w="90" w:type="dxa"/>
              <w:right w:w="90" w:type="dxa"/>
            </w:tcMar>
          </w:tcPr>
          <w:p>
            <w:pPr>
              <w:spacing w:after="0" w:line="250" w:lineRule="auto"/>
            </w:pPr>
            <w:r>
              <w:rPr>
                <w:color w:val="000000"/>
                <w:sz w:val="20"/>
              </w:rPr>
              <w:t>External</w:t>
            </w:r>
          </w:p>
        </w:tc>
        <w:tc>
          <w:tcPr>
            <w:tcW w:type="dxa" w:w="3600"/>
            <w:vAlign w:val="center"/>
            <w:shd w:fill="F3F6F8"/>
            <w:tcMar>
              <w:top w:w="80" w:type="dxa"/>
              <w:bottom w:w="80" w:type="dxa"/>
              <w:left w:w="90" w:type="dxa"/>
              <w:right w:w="90" w:type="dxa"/>
            </w:tcMar>
          </w:tcPr>
          <w:p>
            <w:pPr>
              <w:spacing w:after="0" w:line="250" w:lineRule="auto"/>
            </w:pPr>
            <w:r>
              <w:rPr>
                <w:color w:val="000000"/>
                <w:sz w:val="20"/>
              </w:rPr>
              <w:t>Submit bids, registration documents, redlines, acknowledgements and questions</w:t>
            </w:r>
          </w:p>
        </w:tc>
        <w:tc>
          <w:tcPr>
            <w:tcW w:type="dxa" w:w="3456"/>
            <w:vAlign w:val="center"/>
            <w:shd w:fill="F3F6F8"/>
            <w:tcMar>
              <w:top w:w="80" w:type="dxa"/>
              <w:bottom w:w="80" w:type="dxa"/>
              <w:left w:w="90" w:type="dxa"/>
              <w:right w:w="90" w:type="dxa"/>
            </w:tcMar>
          </w:tcPr>
          <w:p>
            <w:pPr>
              <w:spacing w:after="0" w:line="250" w:lineRule="auto"/>
            </w:pPr>
            <w:r>
              <w:rPr>
                <w:color w:val="000000"/>
                <w:sz w:val="20"/>
              </w:rPr>
              <w:t>View other suppliers' bids or approve internal records</w:t>
            </w:r>
          </w:p>
        </w:tc>
      </w:tr>
    </w:tbl>
    <w:p>
      <w:pPr>
        <w:spacing w:after="20"/>
      </w:pPr>
    </w:p>
    <w:p>
      <w:r>
        <w:rPr>
          <w:color w:val="000000"/>
        </w:rPr>
        <w:t>For demo DoA, configure Budget Holder authority at £30,000, Category Lead financial authority at £100,000 and Procurement Head at £250,000. These amounts are illustrative build settings, not a claim about actual client delegation. DoA must be separate from award authority: a £38,400 service can require a Category Lead award and a higher financial approver even after the analyst recommends it.</w:t>
      </w:r>
    </w:p>
    <w:p>
      <w:pPr>
        <w:pStyle w:val="Heading1"/>
      </w:pPr>
      <w:r>
        <w:t>5 Decision engine and non bypassable controls</w:t>
      </w:r>
    </w:p>
    <w:p>
      <w:r>
        <w:rPr>
          <w:color w:val="000000"/>
        </w:rPr>
        <w:t xml:space="preserve">Implement a single pure decision service, such as </w:t>
      </w:r>
      <w:r>
        <w:rPr>
          <w:rFonts w:ascii="Consolas" w:hAnsi="Consolas"/>
          <w:color w:val="000000"/>
          <w:sz w:val="20"/>
        </w:rPr>
        <w:t>domain/​evaluateGate.ts</w:t>
      </w:r>
      <w:r>
        <w:rPr>
          <w:color w:val="000000"/>
        </w:rPr>
        <w:t>, that every action invokes. Evaluate scope and hard constraints first, then domain authority and lane eligibility, then confidence. A confidence score never repairs a failed control. A reviewed case proceeds only when the required evidence or valid approval has actually been recorded.</w:t>
      </w:r>
    </w:p>
    <w:p>
      <w:pPr>
        <w:pStyle w:val="Heading2"/>
      </w:pPr>
      <w:r>
        <w:t>5 1 Value bands and purchasing channels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744"/>
      </w:tblGrid>
      <w:tr>
        <w:trPr>
          <w:cantSplit/>
          <w:tblHeader/>
        </w:trPr>
        <w:tc>
          <w:tcPr>
            <w:tcW w:type="dxa" w:w="2376"/>
            <w:vAlign w:val="center"/>
            <w:shd w:fill="18354B"/>
            <w:tcMar>
              <w:top w:w="80" w:type="dxa"/>
              <w:bottom w:w="80" w:type="dxa"/>
              <w:left w:w="90" w:type="dxa"/>
              <w:right w:w="90" w:type="dxa"/>
            </w:tcMar>
          </w:tcPr>
          <w:p>
            <w:pPr>
              <w:keepNext/>
              <w:spacing w:after="0" w:line="250" w:lineRule="auto"/>
            </w:pPr>
            <w:r>
              <w:rPr>
                <w:b/>
                <w:color w:val="FFFFFF"/>
                <w:sz w:val="20"/>
              </w:rPr>
              <w:t>Requested commitment in GBP</w:t>
            </w:r>
          </w:p>
        </w:tc>
        <w:tc>
          <w:tcPr>
            <w:tcW w:type="dxa" w:w="3960"/>
            <w:vAlign w:val="center"/>
            <w:shd w:fill="18354B"/>
            <w:tcMar>
              <w:top w:w="80" w:type="dxa"/>
              <w:bottom w:w="80" w:type="dxa"/>
              <w:left w:w="90" w:type="dxa"/>
              <w:right w:w="90" w:type="dxa"/>
            </w:tcMar>
          </w:tcPr>
          <w:p>
            <w:pPr>
              <w:keepNext/>
              <w:spacing w:after="0" w:line="250" w:lineRule="auto"/>
            </w:pPr>
            <w:r>
              <w:rPr>
                <w:b/>
                <w:color w:val="FFFFFF"/>
                <w:sz w:val="20"/>
              </w:rPr>
              <w:t>Default channel without a valid existing agreement</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Award behavior</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Below £3,000</w:t>
            </w:r>
          </w:p>
        </w:tc>
        <w:tc>
          <w:tcPr>
            <w:tcW w:type="dxa" w:w="3960"/>
            <w:vAlign w:val="center"/>
            <w:shd w:fill="FFFFFF"/>
            <w:tcMar>
              <w:top w:w="80" w:type="dxa"/>
              <w:bottom w:w="80" w:type="dxa"/>
              <w:left w:w="90" w:type="dxa"/>
              <w:right w:w="90" w:type="dxa"/>
            </w:tcMar>
          </w:tcPr>
          <w:p>
            <w:pPr>
              <w:spacing w:after="0" w:line="250" w:lineRule="auto"/>
            </w:pPr>
            <w:r>
              <w:rPr>
                <w:color w:val="000000"/>
                <w:sz w:val="20"/>
              </w:rPr>
              <w:t>Catalogue or P-Card when eligible</w:t>
            </w:r>
          </w:p>
        </w:tc>
        <w:tc>
          <w:tcPr>
            <w:tcW w:type="dxa" w:w="3744"/>
            <w:vAlign w:val="center"/>
            <w:shd w:fill="FFFFFF"/>
            <w:tcMar>
              <w:top w:w="80" w:type="dxa"/>
              <w:bottom w:w="80" w:type="dxa"/>
              <w:left w:w="90" w:type="dxa"/>
              <w:right w:w="90" w:type="dxa"/>
            </w:tcMar>
          </w:tcPr>
          <w:p>
            <w:pPr>
              <w:spacing w:after="0" w:line="250" w:lineRule="auto"/>
            </w:pPr>
            <w:r>
              <w:rPr>
                <w:color w:val="000000"/>
                <w:sz w:val="20"/>
              </w:rPr>
              <w:t>Apply standing approval policy and category exclusions</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£3,000 through £30,000 inclusive</w:t>
            </w:r>
          </w:p>
        </w:tc>
        <w:tc>
          <w:tcPr>
            <w:tcW w:type="dxa" w:w="3960"/>
            <w:vAlign w:val="center"/>
            <w:shd w:fill="F3F6F8"/>
            <w:tcMar>
              <w:top w:w="80" w:type="dxa"/>
              <w:bottom w:w="80" w:type="dxa"/>
              <w:left w:w="90" w:type="dxa"/>
              <w:right w:w="90" w:type="dxa"/>
            </w:tcMar>
          </w:tcPr>
          <w:p>
            <w:pPr>
              <w:spacing w:after="0" w:line="250" w:lineRule="auto"/>
            </w:pPr>
            <w:r>
              <w:rPr>
                <w:color w:val="000000"/>
                <w:sz w:val="20"/>
              </w:rPr>
              <w:t>Spot buy / e-RFx</w:t>
            </w:r>
          </w:p>
        </w:tc>
        <w:tc>
          <w:tcPr>
            <w:tcW w:type="dxa" w:w="3744"/>
            <w:vAlign w:val="center"/>
            <w:shd w:fill="F3F6F8"/>
            <w:tcMar>
              <w:top w:w="80" w:type="dxa"/>
              <w:bottom w:w="80" w:type="dxa"/>
              <w:left w:w="90" w:type="dxa"/>
              <w:right w:w="90" w:type="dxa"/>
            </w:tcMar>
          </w:tcPr>
          <w:p>
            <w:pPr>
              <w:spacing w:after="0" w:line="250" w:lineRule="auto"/>
            </w:pPr>
            <w:r>
              <w:rPr>
                <w:color w:val="000000"/>
                <w:sz w:val="20"/>
              </w:rPr>
              <w:t>Auto-award only if all Flow 2 conditions pass</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Above £30,000 and below £100,000</w:t>
            </w:r>
          </w:p>
        </w:tc>
        <w:tc>
          <w:tcPr>
            <w:tcW w:type="dxa" w:w="3960"/>
            <w:vAlign w:val="center"/>
            <w:shd w:fill="FFFFFF"/>
            <w:tcMar>
              <w:top w:w="80" w:type="dxa"/>
              <w:bottom w:w="80" w:type="dxa"/>
              <w:left w:w="90" w:type="dxa"/>
              <w:right w:w="90" w:type="dxa"/>
            </w:tcMar>
          </w:tcPr>
          <w:p>
            <w:pPr>
              <w:spacing w:after="0" w:line="250" w:lineRule="auto"/>
            </w:pPr>
            <w:r>
              <w:rPr>
                <w:color w:val="000000"/>
                <w:sz w:val="20"/>
              </w:rPr>
              <w:t>LDS, limited competitive sourcing</w:t>
            </w:r>
          </w:p>
        </w:tc>
        <w:tc>
          <w:tcPr>
            <w:tcW w:type="dxa" w:w="3744"/>
            <w:vAlign w:val="center"/>
            <w:shd w:fill="FFFFFF"/>
            <w:tcMar>
              <w:top w:w="80" w:type="dxa"/>
              <w:bottom w:w="80" w:type="dxa"/>
              <w:left w:w="90" w:type="dxa"/>
              <w:right w:w="90" w:type="dxa"/>
            </w:tcMar>
          </w:tcPr>
          <w:p>
            <w:pPr>
              <w:spacing w:after="0" w:line="250" w:lineRule="auto"/>
            </w:pPr>
            <w:r>
              <w:rPr>
                <w:color w:val="000000"/>
                <w:sz w:val="20"/>
              </w:rPr>
              <w:t>Human award</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£100,000 and below £250,000</w:t>
            </w:r>
          </w:p>
        </w:tc>
        <w:tc>
          <w:tcPr>
            <w:tcW w:type="dxa" w:w="3960"/>
            <w:vAlign w:val="center"/>
            <w:shd w:fill="F3F6F8"/>
            <w:tcMar>
              <w:top w:w="80" w:type="dxa"/>
              <w:bottom w:w="80" w:type="dxa"/>
              <w:left w:w="90" w:type="dxa"/>
              <w:right w:w="90" w:type="dxa"/>
            </w:tcMar>
          </w:tcPr>
          <w:p>
            <w:pPr>
              <w:spacing w:after="0" w:line="250" w:lineRule="auto"/>
            </w:pPr>
            <w:r>
              <w:rPr>
                <w:color w:val="000000"/>
                <w:sz w:val="20"/>
              </w:rPr>
              <w:t>RFx / aggregated tender</w:t>
            </w:r>
          </w:p>
        </w:tc>
        <w:tc>
          <w:tcPr>
            <w:tcW w:type="dxa" w:w="3744"/>
            <w:vAlign w:val="center"/>
            <w:shd w:fill="F3F6F8"/>
            <w:tcMar>
              <w:top w:w="80" w:type="dxa"/>
              <w:bottom w:w="80" w:type="dxa"/>
              <w:left w:w="90" w:type="dxa"/>
              <w:right w:w="90" w:type="dxa"/>
            </w:tcMar>
          </w:tcPr>
          <w:p>
            <w:pPr>
              <w:spacing w:after="0" w:line="250" w:lineRule="auto"/>
            </w:pPr>
            <w:r>
              <w:rPr>
                <w:color w:val="000000"/>
                <w:sz w:val="20"/>
              </w:rPr>
              <w:t>Human award and applicable financial approval</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£250,000 or higher</w:t>
            </w:r>
          </w:p>
        </w:tc>
        <w:tc>
          <w:tcPr>
            <w:tcW w:type="dxa" w:w="3960"/>
            <w:vAlign w:val="center"/>
            <w:shd w:fill="FFFFFF"/>
            <w:tcMar>
              <w:top w:w="80" w:type="dxa"/>
              <w:bottom w:w="80" w:type="dxa"/>
              <w:left w:w="90" w:type="dxa"/>
              <w:right w:w="90" w:type="dxa"/>
            </w:tcMar>
          </w:tcPr>
          <w:p>
            <w:pPr>
              <w:spacing w:after="0" w:line="250" w:lineRule="auto"/>
            </w:pPr>
            <w:r>
              <w:rPr>
                <w:color w:val="000000"/>
                <w:sz w:val="20"/>
              </w:rPr>
              <w:t>Strategic procurement handoff</w:t>
            </w:r>
          </w:p>
        </w:tc>
        <w:tc>
          <w:tcPr>
            <w:tcW w:type="dxa" w:w="3744"/>
            <w:vAlign w:val="center"/>
            <w:shd w:fill="FFFFFF"/>
            <w:tcMar>
              <w:top w:w="80" w:type="dxa"/>
              <w:bottom w:w="80" w:type="dxa"/>
              <w:left w:w="90" w:type="dxa"/>
              <w:right w:w="90" w:type="dxa"/>
            </w:tcMar>
          </w:tcPr>
          <w:p>
            <w:pPr>
              <w:spacing w:after="0" w:line="250" w:lineRule="auto"/>
            </w:pPr>
            <w:r>
              <w:rPr>
                <w:color w:val="000000"/>
                <w:sz w:val="20"/>
              </w:rPr>
              <w:t>Desk cannot commit or finalise automatically</w:t>
            </w:r>
          </w:p>
        </w:tc>
      </w:tr>
    </w:tbl>
    <w:p>
      <w:pPr>
        <w:spacing w:after="20"/>
      </w:pPr>
    </w:p>
    <w:p>
      <w:r>
        <w:rPr>
          <w:color w:val="000000"/>
        </w:rPr>
        <w:t>This build resolves the £30,000 boundary using the agentic Flow 2 rule “≤£30K”. Exactly £100,000 enters RFx. Exactly £250,000 routes outside the desk because the contracting scope is stated as below £250K. Existing valid contracts and rate cards can support call-off at other values, but they do not remove DoA or applicable approval checks. Do not artificially split a pooled requirement to fit a lower band.</w:t>
      </w:r>
    </w:p>
    <w:p>
      <w:r>
        <w:rPr>
          <w:color w:val="000000"/>
        </w:rPr>
        <w:t xml:space="preserve">Use </w:t>
      </w:r>
      <w:r>
        <w:rPr>
          <w:rFonts w:ascii="Consolas" w:hAnsi="Consolas"/>
          <w:color w:val="000000"/>
          <w:sz w:val="20"/>
        </w:rPr>
        <w:t>autoApproveLimitGBP = 3000</w:t>
      </w:r>
      <w:r>
        <w:rPr>
          <w:color w:val="000000"/>
        </w:rPr>
        <w:t xml:space="preserve"> as the initial </w:t>
      </w:r>
      <w:r>
        <w:rPr>
          <w:b/>
          <w:color w:val="000000"/>
        </w:rPr>
        <w:t>illustrative</w:t>
      </w:r>
      <w:r>
        <w:rPr>
          <w:color w:val="000000"/>
        </w:rPr>
        <w:t xml:space="preserve"> demo ceiling. Eligibility also requires approved budget, approved standing request policy, allowed category, live agreement and supplier clearance. Crossing the ceiling adds a Budget Holder task. Flow 2's £30K auto-award ceiling does not automatically approve the spend: award selection and spend commitment are separate gates. Requests below £3K without a suitable catalogue/P-Card route can still enter a competitive exception workflow.</w:t>
      </w:r>
    </w:p>
    <w:p>
      <w:pPr>
        <w:pStyle w:val="Heading2"/>
      </w:pPr>
      <w:r>
        <w:t>5 2 Confidence lanes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744"/>
      </w:tblGrid>
      <w:tr>
        <w:trPr>
          <w:cantSplit/>
          <w:tblHeader/>
        </w:trPr>
        <w:tc>
          <w:tcPr>
            <w:tcW w:type="dxa" w:w="2376"/>
            <w:vAlign w:val="center"/>
            <w:shd w:fill="18354B"/>
            <w:tcMar>
              <w:top w:w="80" w:type="dxa"/>
              <w:bottom w:w="80" w:type="dxa"/>
              <w:left w:w="90" w:type="dxa"/>
              <w:right w:w="90" w:type="dxa"/>
            </w:tcMar>
          </w:tcPr>
          <w:p>
            <w:pPr>
              <w:keepNext/>
              <w:spacing w:after="0" w:line="250" w:lineRule="auto"/>
            </w:pPr>
            <w:r>
              <w:rPr>
                <w:b/>
                <w:color w:val="FFFFFF"/>
                <w:sz w:val="20"/>
              </w:rPr>
              <w:t>Effective score</w:t>
            </w:r>
          </w:p>
        </w:tc>
        <w:tc>
          <w:tcPr>
            <w:tcW w:type="dxa" w:w="3960"/>
            <w:vAlign w:val="center"/>
            <w:shd w:fill="18354B"/>
            <w:tcMar>
              <w:top w:w="80" w:type="dxa"/>
              <w:bottom w:w="80" w:type="dxa"/>
              <w:left w:w="90" w:type="dxa"/>
              <w:right w:w="90" w:type="dxa"/>
            </w:tcMar>
          </w:tcPr>
          <w:p>
            <w:pPr>
              <w:keepNext/>
              <w:spacing w:after="0" w:line="250" w:lineRule="auto"/>
            </w:pPr>
            <w:r>
              <w:rPr>
                <w:b/>
                <w:color w:val="FFFFFF"/>
                <w:sz w:val="20"/>
              </w:rPr>
              <w:t>Initial lane</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Behavior</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At least 0.90</w:t>
            </w:r>
          </w:p>
        </w:tc>
        <w:tc>
          <w:tcPr>
            <w:tcW w:type="dxa" w:w="3960"/>
            <w:vAlign w:val="center"/>
            <w:shd w:fill="FFFFFF"/>
            <w:tcMar>
              <w:top w:w="80" w:type="dxa"/>
              <w:bottom w:w="80" w:type="dxa"/>
              <w:left w:w="90" w:type="dxa"/>
              <w:right w:w="90" w:type="dxa"/>
            </w:tcMar>
          </w:tcPr>
          <w:p>
            <w:pPr>
              <w:spacing w:after="0" w:line="250" w:lineRule="auto"/>
            </w:pPr>
            <w:r>
              <w:rPr>
                <w:color w:val="000000"/>
                <w:sz w:val="20"/>
              </w:rPr>
              <w:t>Touchless candidate</w:t>
            </w:r>
          </w:p>
        </w:tc>
        <w:tc>
          <w:tcPr>
            <w:tcW w:type="dxa" w:w="3744"/>
            <w:vAlign w:val="center"/>
            <w:shd w:fill="FFFFFF"/>
            <w:tcMar>
              <w:top w:w="80" w:type="dxa"/>
              <w:bottom w:w="80" w:type="dxa"/>
              <w:left w:w="90" w:type="dxa"/>
              <w:right w:w="90" w:type="dxa"/>
            </w:tcMar>
          </w:tcPr>
          <w:p>
            <w:pPr>
              <w:spacing w:after="0" w:line="250" w:lineRule="auto"/>
            </w:pPr>
            <w:r>
              <w:rPr>
                <w:color w:val="000000"/>
                <w:sz w:val="20"/>
              </w:rPr>
              <w:t>Execute only if controls, domain authority and operational state permit</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At least 0.70 and below 0.90</w:t>
            </w:r>
          </w:p>
        </w:tc>
        <w:tc>
          <w:tcPr>
            <w:tcW w:type="dxa" w:w="3960"/>
            <w:vAlign w:val="center"/>
            <w:shd w:fill="F3F6F8"/>
            <w:tcMar>
              <w:top w:w="80" w:type="dxa"/>
              <w:bottom w:w="80" w:type="dxa"/>
              <w:left w:w="90" w:type="dxa"/>
              <w:right w:w="90" w:type="dxa"/>
            </w:tcMar>
          </w:tcPr>
          <w:p>
            <w:pPr>
              <w:spacing w:after="0" w:line="250" w:lineRule="auto"/>
            </w:pPr>
            <w:r>
              <w:rPr>
                <w:color w:val="000000"/>
                <w:sz w:val="20"/>
              </w:rPr>
              <w:t>TCS review</w:t>
            </w:r>
          </w:p>
        </w:tc>
        <w:tc>
          <w:tcPr>
            <w:tcW w:type="dxa" w:w="3744"/>
            <w:vAlign w:val="center"/>
            <w:shd w:fill="F3F6F8"/>
            <w:tcMar>
              <w:top w:w="80" w:type="dxa"/>
              <w:bottom w:w="80" w:type="dxa"/>
              <w:left w:w="90" w:type="dxa"/>
              <w:right w:w="90" w:type="dxa"/>
            </w:tcMar>
          </w:tcPr>
          <w:p>
            <w:pPr>
              <w:spacing w:after="0" w:line="250" w:lineRule="auto"/>
            </w:pPr>
            <w:r>
              <w:rPr>
                <w:color w:val="000000"/>
                <w:sz w:val="20"/>
              </w:rPr>
              <w:t>Analyst confirms or corrects data/channel and the engine reevaluates</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Below 0.70</w:t>
            </w:r>
          </w:p>
        </w:tc>
        <w:tc>
          <w:tcPr>
            <w:tcW w:type="dxa" w:w="3960"/>
            <w:vAlign w:val="center"/>
            <w:shd w:fill="FFFFFF"/>
            <w:tcMar>
              <w:top w:w="80" w:type="dxa"/>
              <w:bottom w:w="80" w:type="dxa"/>
              <w:left w:w="90" w:type="dxa"/>
              <w:right w:w="90" w:type="dxa"/>
            </w:tcMar>
          </w:tcPr>
          <w:p>
            <w:pPr>
              <w:spacing w:after="0" w:line="250" w:lineRule="auto"/>
            </w:pPr>
            <w:r>
              <w:rPr>
                <w:color w:val="000000"/>
                <w:sz w:val="20"/>
              </w:rPr>
              <w:t>Client decision</w:t>
            </w:r>
          </w:p>
        </w:tc>
        <w:tc>
          <w:tcPr>
            <w:tcW w:type="dxa" w:w="3744"/>
            <w:vAlign w:val="center"/>
            <w:shd w:fill="FFFFFF"/>
            <w:tcMar>
              <w:top w:w="80" w:type="dxa"/>
              <w:bottom w:w="80" w:type="dxa"/>
              <w:left w:w="90" w:type="dxa"/>
              <w:right w:w="90" w:type="dxa"/>
            </w:tcMar>
          </w:tcPr>
          <w:p>
            <w:pPr>
              <w:spacing w:after="0" w:line="250" w:lineRule="auto"/>
            </w:pPr>
            <w:r>
              <w:rPr>
                <w:color w:val="000000"/>
                <w:sz w:val="20"/>
              </w:rPr>
              <w:t>Show evidence and route to the correct named authority</w:t>
            </w:r>
          </w:p>
        </w:tc>
      </w:tr>
    </w:tbl>
    <w:p>
      <w:pPr>
        <w:spacing w:after="20"/>
      </w:pPr>
    </w:p>
    <w:p>
      <w:r>
        <w:rPr>
          <w:color w:val="000000"/>
        </w:rPr>
        <w:t>Scores derive from six dimensions in physical slide 11: completeness, classification, match strength, price benchmark, supplier status and pattern history. For demo calculation use configurable weights 0.20, 0.15, 0.25, 0.15, 0.15 and 0.10 respectively. These weights are proposed demo settings. Store component scores and the weight version. They are not validated probabilities and must not be described as measured accuracy.</w:t>
      </w:r>
    </w:p>
    <w:p>
      <w:r>
        <w:rPr>
          <w:color w:val="000000"/>
        </w:rPr>
        <w:t>Incomplete mandatory information, ambiguous identity, expired evidence or a paused pattern blocks action independently of the aggregate score. Where a dimension is inapplicable, record its reason and use an explicit pattern-specific weighting rule. Do not silently replace missing data with a perfect score. Preset scenario quality values may be deterministic, but the displayed lane must be computed from them and from current controls.</w:t>
      </w:r>
    </w:p>
    <w:p>
      <w:pPr>
        <w:pStyle w:val="Heading2"/>
      </w:pPr>
      <w:r>
        <w:t>5 3 Hard constraints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744"/>
      </w:tblGrid>
      <w:tr>
        <w:trPr>
          <w:cantSplit/>
          <w:tblHeader/>
        </w:trPr>
        <w:tc>
          <w:tcPr>
            <w:tcW w:type="dxa" w:w="2376"/>
            <w:vAlign w:val="center"/>
            <w:shd w:fill="18354B"/>
            <w:tcMar>
              <w:top w:w="80" w:type="dxa"/>
              <w:bottom w:w="80" w:type="dxa"/>
              <w:left w:w="90" w:type="dxa"/>
              <w:right w:w="90" w:type="dxa"/>
            </w:tcMar>
          </w:tcPr>
          <w:p>
            <w:pPr>
              <w:keepNext/>
              <w:spacing w:after="0" w:line="250" w:lineRule="auto"/>
            </w:pPr>
            <w:r>
              <w:rPr>
                <w:b/>
                <w:color w:val="FFFFFF"/>
                <w:sz w:val="20"/>
              </w:rPr>
              <w:t>Control ID</w:t>
            </w:r>
          </w:p>
        </w:tc>
        <w:tc>
          <w:tcPr>
            <w:tcW w:type="dxa" w:w="3960"/>
            <w:vAlign w:val="center"/>
            <w:shd w:fill="18354B"/>
            <w:tcMar>
              <w:top w:w="80" w:type="dxa"/>
              <w:bottom w:w="80" w:type="dxa"/>
              <w:left w:w="90" w:type="dxa"/>
              <w:right w:w="90" w:type="dxa"/>
            </w:tcMar>
          </w:tcPr>
          <w:p>
            <w:pPr>
              <w:keepNext/>
              <w:spacing w:after="0" w:line="250" w:lineRule="auto"/>
            </w:pPr>
            <w:r>
              <w:rPr>
                <w:b/>
                <w:color w:val="FFFFFF"/>
                <w:sz w:val="20"/>
              </w:rPr>
              <w:t>Constraint</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Required blocking behavior</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HC01</w:t>
            </w:r>
          </w:p>
        </w:tc>
        <w:tc>
          <w:tcPr>
            <w:tcW w:type="dxa" w:w="3960"/>
            <w:vAlign w:val="center"/>
            <w:shd w:fill="FFFFFF"/>
            <w:tcMar>
              <w:top w:w="80" w:type="dxa"/>
              <w:bottom w:w="80" w:type="dxa"/>
              <w:left w:w="90" w:type="dxa"/>
              <w:right w:w="90" w:type="dxa"/>
            </w:tcMar>
          </w:tcPr>
          <w:p>
            <w:pPr>
              <w:spacing w:after="0" w:line="250" w:lineRule="auto"/>
            </w:pPr>
            <w:r>
              <w:rPr>
                <w:color w:val="000000"/>
                <w:sz w:val="20"/>
              </w:rPr>
              <w:t>No PO without an approved request</w:t>
            </w:r>
          </w:p>
        </w:tc>
        <w:tc>
          <w:tcPr>
            <w:tcW w:type="dxa" w:w="3744"/>
            <w:vAlign w:val="center"/>
            <w:shd w:fill="FFFFFF"/>
            <w:tcMar>
              <w:top w:w="80" w:type="dxa"/>
              <w:bottom w:w="80" w:type="dxa"/>
              <w:left w:w="90" w:type="dxa"/>
              <w:right w:w="90" w:type="dxa"/>
            </w:tcMar>
          </w:tcPr>
          <w:p>
            <w:pPr>
              <w:spacing w:after="0" w:line="250" w:lineRule="auto"/>
            </w:pPr>
            <w:r>
              <w:rPr>
                <w:color w:val="000000"/>
                <w:sz w:val="20"/>
              </w:rPr>
              <w:t>Hold release until current request version is approved</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HC02</w:t>
            </w:r>
          </w:p>
        </w:tc>
        <w:tc>
          <w:tcPr>
            <w:tcW w:type="dxa" w:w="3960"/>
            <w:vAlign w:val="center"/>
            <w:shd w:fill="F3F6F8"/>
            <w:tcMar>
              <w:top w:w="80" w:type="dxa"/>
              <w:bottom w:w="80" w:type="dxa"/>
              <w:left w:w="90" w:type="dxa"/>
              <w:right w:w="90" w:type="dxa"/>
            </w:tcMar>
          </w:tcPr>
          <w:p>
            <w:pPr>
              <w:spacing w:after="0" w:line="250" w:lineRule="auto"/>
            </w:pPr>
            <w:r>
              <w:rPr>
                <w:color w:val="000000"/>
                <w:sz w:val="20"/>
              </w:rPr>
              <w:t>No agent commitment above its standing approval envelope or human DoA</w:t>
            </w:r>
          </w:p>
        </w:tc>
        <w:tc>
          <w:tcPr>
            <w:tcW w:type="dxa" w:w="3744"/>
            <w:vAlign w:val="center"/>
            <w:shd w:fill="F3F6F8"/>
            <w:tcMar>
              <w:top w:w="80" w:type="dxa"/>
              <w:bottom w:w="80" w:type="dxa"/>
              <w:left w:w="90" w:type="dxa"/>
              <w:right w:w="90" w:type="dxa"/>
            </w:tcMar>
          </w:tcPr>
          <w:p>
            <w:pPr>
              <w:spacing w:after="0" w:line="250" w:lineRule="auto"/>
            </w:pPr>
            <w:r>
              <w:rPr>
                <w:color w:val="000000"/>
                <w:sz w:val="20"/>
              </w:rPr>
              <w:t>Create the correct spend approval task</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HC03</w:t>
            </w:r>
          </w:p>
        </w:tc>
        <w:tc>
          <w:tcPr>
            <w:tcW w:type="dxa" w:w="3960"/>
            <w:vAlign w:val="center"/>
            <w:shd w:fill="FFFFFF"/>
            <w:tcMar>
              <w:top w:w="80" w:type="dxa"/>
              <w:bottom w:w="80" w:type="dxa"/>
              <w:left w:w="90" w:type="dxa"/>
              <w:right w:w="90" w:type="dxa"/>
            </w:tcMar>
          </w:tcPr>
          <w:p>
            <w:pPr>
              <w:spacing w:after="0" w:line="250" w:lineRule="auto"/>
            </w:pPr>
            <w:r>
              <w:rPr>
                <w:color w:val="000000"/>
                <w:sz w:val="20"/>
              </w:rPr>
              <w:t>No PO to an inactive or uncleared supplier</w:t>
            </w:r>
          </w:p>
        </w:tc>
        <w:tc>
          <w:tcPr>
            <w:tcW w:type="dxa" w:w="3744"/>
            <w:vAlign w:val="center"/>
            <w:shd w:fill="FFFFFF"/>
            <w:tcMar>
              <w:top w:w="80" w:type="dxa"/>
              <w:bottom w:w="80" w:type="dxa"/>
              <w:left w:w="90" w:type="dxa"/>
              <w:right w:w="90" w:type="dxa"/>
            </w:tcMar>
          </w:tcPr>
          <w:p>
            <w:pPr>
              <w:spacing w:after="0" w:line="250" w:lineRule="auto"/>
            </w:pPr>
            <w:r>
              <w:rPr>
                <w:color w:val="000000"/>
                <w:sz w:val="20"/>
              </w:rPr>
              <w:t>Hold award execution/PO release and open supplier work</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HC04</w:t>
            </w:r>
          </w:p>
        </w:tc>
        <w:tc>
          <w:tcPr>
            <w:tcW w:type="dxa" w:w="3960"/>
            <w:vAlign w:val="center"/>
            <w:shd w:fill="F3F6F8"/>
            <w:tcMar>
              <w:top w:w="80" w:type="dxa"/>
              <w:bottom w:w="80" w:type="dxa"/>
              <w:left w:w="90" w:type="dxa"/>
              <w:right w:w="90" w:type="dxa"/>
            </w:tcMar>
          </w:tcPr>
          <w:p>
            <w:pPr>
              <w:spacing w:after="0" w:line="250" w:lineRule="auto"/>
            </w:pPr>
            <w:r>
              <w:rPr>
                <w:color w:val="000000"/>
                <w:sz w:val="20"/>
              </w:rPr>
              <w:t>No competitive award without three valid quotes or sole-source sign-off</w:t>
            </w:r>
          </w:p>
        </w:tc>
        <w:tc>
          <w:tcPr>
            <w:tcW w:type="dxa" w:w="3744"/>
            <w:vAlign w:val="center"/>
            <w:shd w:fill="F3F6F8"/>
            <w:tcMar>
              <w:top w:w="80" w:type="dxa"/>
              <w:bottom w:w="80" w:type="dxa"/>
              <w:left w:w="90" w:type="dxa"/>
              <w:right w:w="90" w:type="dxa"/>
            </w:tcMar>
          </w:tcPr>
          <w:p>
            <w:pPr>
              <w:spacing w:after="0" w:line="250" w:lineRule="auto"/>
            </w:pPr>
            <w:r>
              <w:rPr>
                <w:color w:val="000000"/>
                <w:sz w:val="20"/>
              </w:rPr>
              <w:t>Extend RFQ once, then seek authorised sign-off</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HC05</w:t>
            </w:r>
          </w:p>
        </w:tc>
        <w:tc>
          <w:tcPr>
            <w:tcW w:type="dxa" w:w="3960"/>
            <w:vAlign w:val="center"/>
            <w:shd w:fill="FFFFFF"/>
            <w:tcMar>
              <w:top w:w="80" w:type="dxa"/>
              <w:bottom w:w="80" w:type="dxa"/>
              <w:left w:w="90" w:type="dxa"/>
              <w:right w:w="90" w:type="dxa"/>
            </w:tcMar>
          </w:tcPr>
          <w:p>
            <w:pPr>
              <w:spacing w:after="0" w:line="250" w:lineRule="auto"/>
            </w:pPr>
            <w:r>
              <w:rPr>
                <w:color w:val="000000"/>
                <w:sz w:val="20"/>
              </w:rPr>
              <w:t>No clause accepted outside the library; Red always Legal</w:t>
            </w:r>
          </w:p>
        </w:tc>
        <w:tc>
          <w:tcPr>
            <w:tcW w:type="dxa" w:w="3744"/>
            <w:vAlign w:val="center"/>
            <w:shd w:fill="FFFFFF"/>
            <w:tcMar>
              <w:top w:w="80" w:type="dxa"/>
              <w:bottom w:w="80" w:type="dxa"/>
              <w:left w:w="90" w:type="dxa"/>
              <w:right w:w="90" w:type="dxa"/>
            </w:tcMar>
          </w:tcPr>
          <w:p>
            <w:pPr>
              <w:spacing w:after="0" w:line="250" w:lineRule="auto"/>
            </w:pPr>
            <w:r>
              <w:rPr>
                <w:color w:val="000000"/>
                <w:sz w:val="20"/>
              </w:rPr>
              <w:t>Hold contract finalisation and dependent PO</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HC06</w:t>
            </w:r>
          </w:p>
        </w:tc>
        <w:tc>
          <w:tcPr>
            <w:tcW w:type="dxa" w:w="3960"/>
            <w:vAlign w:val="center"/>
            <w:shd w:fill="F3F6F8"/>
            <w:tcMar>
              <w:top w:w="80" w:type="dxa"/>
              <w:bottom w:w="80" w:type="dxa"/>
              <w:left w:w="90" w:type="dxa"/>
              <w:right w:w="90" w:type="dxa"/>
            </w:tcMar>
          </w:tcPr>
          <w:p>
            <w:pPr>
              <w:spacing w:after="0" w:line="250" w:lineRule="auto"/>
            </w:pPr>
            <w:r>
              <w:rPr>
                <w:color w:val="000000"/>
                <w:sz w:val="20"/>
              </w:rPr>
              <w:t>No activation with an open sanctions hit</w:t>
            </w:r>
          </w:p>
        </w:tc>
        <w:tc>
          <w:tcPr>
            <w:tcW w:type="dxa" w:w="3744"/>
            <w:vAlign w:val="center"/>
            <w:shd w:fill="F3F6F8"/>
            <w:tcMar>
              <w:top w:w="80" w:type="dxa"/>
              <w:bottom w:w="80" w:type="dxa"/>
              <w:left w:w="90" w:type="dxa"/>
              <w:right w:w="90" w:type="dxa"/>
            </w:tcMar>
          </w:tcPr>
          <w:p>
            <w:pPr>
              <w:spacing w:after="0" w:line="250" w:lineRule="auto"/>
            </w:pPr>
            <w:r>
              <w:rPr>
                <w:color w:val="000000"/>
                <w:sz w:val="20"/>
              </w:rPr>
              <w:t>Block activation until investigation clears the hit with evidence</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HC07</w:t>
            </w:r>
          </w:p>
        </w:tc>
        <w:tc>
          <w:tcPr>
            <w:tcW w:type="dxa" w:w="3960"/>
            <w:vAlign w:val="center"/>
            <w:shd w:fill="FFFFFF"/>
            <w:tcMar>
              <w:top w:w="80" w:type="dxa"/>
              <w:bottom w:w="80" w:type="dxa"/>
              <w:left w:w="90" w:type="dxa"/>
              <w:right w:w="90" w:type="dxa"/>
            </w:tcMar>
          </w:tcPr>
          <w:p>
            <w:pPr>
              <w:spacing w:after="0" w:line="250" w:lineRule="auto"/>
            </w:pPr>
            <w:r>
              <w:rPr>
                <w:color w:val="000000"/>
                <w:sz w:val="20"/>
              </w:rPr>
              <w:t>Bank details must be verified by a client person</w:t>
            </w:r>
          </w:p>
        </w:tc>
        <w:tc>
          <w:tcPr>
            <w:tcW w:type="dxa" w:w="3744"/>
            <w:vAlign w:val="center"/>
            <w:shd w:fill="FFFFFF"/>
            <w:tcMar>
              <w:top w:w="80" w:type="dxa"/>
              <w:bottom w:w="80" w:type="dxa"/>
              <w:left w:w="90" w:type="dxa"/>
              <w:right w:w="90" w:type="dxa"/>
            </w:tcMar>
          </w:tcPr>
          <w:p>
            <w:pPr>
              <w:spacing w:after="0" w:line="250" w:lineRule="auto"/>
            </w:pPr>
            <w:r>
              <w:rPr>
                <w:color w:val="000000"/>
                <w:sz w:val="20"/>
              </w:rPr>
              <w:t>Hold new activation and changed bank use until callback is recorded</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HC08</w:t>
            </w:r>
          </w:p>
        </w:tc>
        <w:tc>
          <w:tcPr>
            <w:tcW w:type="dxa" w:w="3960"/>
            <w:vAlign w:val="center"/>
            <w:shd w:fill="F3F6F8"/>
            <w:tcMar>
              <w:top w:w="80" w:type="dxa"/>
              <w:bottom w:w="80" w:type="dxa"/>
              <w:left w:w="90" w:type="dxa"/>
              <w:right w:w="90" w:type="dxa"/>
            </w:tcMar>
          </w:tcPr>
          <w:p>
            <w:pPr>
              <w:spacing w:after="0" w:line="250" w:lineRule="auto"/>
            </w:pPr>
            <w:r>
              <w:rPr>
                <w:color w:val="000000"/>
                <w:sz w:val="20"/>
              </w:rPr>
              <w:t>No savings claim without invoice evidence and Finance sign-off</w:t>
            </w:r>
          </w:p>
        </w:tc>
        <w:tc>
          <w:tcPr>
            <w:tcW w:type="dxa" w:w="3744"/>
            <w:vAlign w:val="center"/>
            <w:shd w:fill="F3F6F8"/>
            <w:tcMar>
              <w:top w:w="80" w:type="dxa"/>
              <w:bottom w:w="80" w:type="dxa"/>
              <w:left w:w="90" w:type="dxa"/>
              <w:right w:w="90" w:type="dxa"/>
            </w:tcMar>
          </w:tcPr>
          <w:p>
            <w:pPr>
              <w:spacing w:after="0" w:line="250" w:lineRule="auto"/>
            </w:pPr>
            <w:r>
              <w:rPr>
                <w:color w:val="000000"/>
                <w:sz w:val="20"/>
              </w:rPr>
              <w:t>Keep value in expected/evidenced, exclude from validated total</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HC09</w:t>
            </w:r>
          </w:p>
        </w:tc>
        <w:tc>
          <w:tcPr>
            <w:tcW w:type="dxa" w:w="3960"/>
            <w:vAlign w:val="center"/>
            <w:shd w:fill="FFFFFF"/>
            <w:tcMar>
              <w:top w:w="80" w:type="dxa"/>
              <w:bottom w:w="80" w:type="dxa"/>
              <w:left w:w="90" w:type="dxa"/>
              <w:right w:w="90" w:type="dxa"/>
            </w:tcMar>
          </w:tcPr>
          <w:p>
            <w:pPr>
              <w:spacing w:after="0" w:line="250" w:lineRule="auto"/>
            </w:pPr>
            <w:r>
              <w:rPr>
                <w:color w:val="000000"/>
                <w:sz w:val="20"/>
              </w:rPr>
              <w:t>No rule/threshold change without Value Council approval</w:t>
            </w:r>
          </w:p>
        </w:tc>
        <w:tc>
          <w:tcPr>
            <w:tcW w:type="dxa" w:w="3744"/>
            <w:vAlign w:val="center"/>
            <w:shd w:fill="FFFFFF"/>
            <w:tcMar>
              <w:top w:w="80" w:type="dxa"/>
              <w:bottom w:w="80" w:type="dxa"/>
              <w:left w:w="90" w:type="dxa"/>
              <w:right w:w="90" w:type="dxa"/>
            </w:tcMar>
          </w:tcPr>
          <w:p>
            <w:pPr>
              <w:spacing w:after="0" w:line="250" w:lineRule="auto"/>
            </w:pPr>
            <w:r>
              <w:rPr>
                <w:color w:val="000000"/>
                <w:sz w:val="20"/>
              </w:rPr>
              <w:t>Keep proposed version inactive</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HC10</w:t>
            </w:r>
          </w:p>
        </w:tc>
        <w:tc>
          <w:tcPr>
            <w:tcW w:type="dxa" w:w="3960"/>
            <w:vAlign w:val="center"/>
            <w:shd w:fill="F3F6F8"/>
            <w:tcMar>
              <w:top w:w="80" w:type="dxa"/>
              <w:bottom w:w="80" w:type="dxa"/>
              <w:left w:w="90" w:type="dxa"/>
              <w:right w:w="90" w:type="dxa"/>
            </w:tcMar>
          </w:tcPr>
          <w:p>
            <w:pPr>
              <w:spacing w:after="0" w:line="250" w:lineRule="auto"/>
            </w:pPr>
            <w:r>
              <w:rPr>
                <w:color w:val="000000"/>
                <w:sz w:val="20"/>
              </w:rPr>
              <w:t>Every agent action has evidence and an audit event</w:t>
            </w:r>
          </w:p>
        </w:tc>
        <w:tc>
          <w:tcPr>
            <w:tcW w:type="dxa" w:w="3744"/>
            <w:vAlign w:val="center"/>
            <w:shd w:fill="F3F6F8"/>
            <w:tcMar>
              <w:top w:w="80" w:type="dxa"/>
              <w:bottom w:w="80" w:type="dxa"/>
              <w:left w:w="90" w:type="dxa"/>
              <w:right w:w="90" w:type="dxa"/>
            </w:tcMar>
          </w:tcPr>
          <w:p>
            <w:pPr>
              <w:spacing w:after="0" w:line="250" w:lineRule="auto"/>
            </w:pPr>
            <w:r>
              <w:rPr>
                <w:color w:val="000000"/>
                <w:sz w:val="20"/>
              </w:rPr>
              <w:t>Block unsupported action and route to review</w:t>
            </w:r>
          </w:p>
        </w:tc>
      </w:tr>
    </w:tbl>
    <w:p>
      <w:pPr>
        <w:spacing w:after="20"/>
      </w:pPr>
    </w:p>
    <w:p>
      <w:r>
        <w:rPr>
          <w:color w:val="000000"/>
        </w:rPr>
        <w:t>Apply the additional TOM guards: no duplicate supplier master, no requester approving its own supplier, no acceptance outside delegated authority, and no PO when a required contract is not stored. Contract call-offs reference the existing contract's approved sourcing authority. A new spot award cannot relabel itself a call-off to evade competition.</w:t>
      </w:r>
    </w:p>
    <w:p>
      <w:r>
        <w:rPr>
          <w:color w:val="000000"/>
        </w:rPr>
        <w:t xml:space="preserve">Generic </w:t>
      </w:r>
      <w:r>
        <w:rPr>
          <w:b/>
          <w:color w:val="000000"/>
        </w:rPr>
        <w:t>Approve anyway</w:t>
      </w:r>
      <w:r>
        <w:rPr>
          <w:color w:val="000000"/>
        </w:rPr>
        <w:t xml:space="preserve"> and </w:t>
      </w:r>
      <w:r>
        <w:rPr>
          <w:b/>
          <w:color w:val="000000"/>
        </w:rPr>
        <w:t>Continue with flags</w:t>
      </w:r>
      <w:r>
        <w:rPr>
          <w:color w:val="000000"/>
        </w:rPr>
        <w:t xml:space="preserve"> must not release a PO, activate a supplier, finalise a Red clause or validate savings. A correction may resolve an exception. An authorised sole-source signature may satisfy HC04. An open sanctions match cannot be waived by increasing confidence or clicking Risk approval.</w:t>
      </w:r>
    </w:p>
    <w:p>
      <w:pPr>
        <w:pStyle w:val="Heading2"/>
      </w:pPr>
      <w:r>
        <w:t>5 4 Standing approval and audit semantics</w:t>
      </w:r>
    </w:p>
    <w:p>
      <w:r>
        <w:rPr>
          <w:color w:val="000000"/>
        </w:rPr>
        <w:t xml:space="preserve">Automatic request approval records actor type </w:t>
      </w:r>
      <w:r>
        <w:rPr>
          <w:rFonts w:ascii="Consolas" w:hAnsi="Consolas"/>
          <w:color w:val="000000"/>
          <w:sz w:val="20"/>
        </w:rPr>
        <w:t>policy</w:t>
      </w:r>
      <w:r>
        <w:rPr>
          <w:color w:val="000000"/>
        </w:rPr>
        <w:t>, the approved policy version, budget reservation and applicable standing mandate. Never invent a human signature. Human decisions record the current case revision and requested commitment. Material changes to quantity, specification, supplier, terms or value invalidate affected approvals and require reevaluation. Applying a published contracted quantity break is automatic only where the agreement, site coverage and spending envelope authorise it.</w:t>
      </w:r>
    </w:p>
    <w:p>
      <w:pPr>
        <w:pStyle w:val="Heading1"/>
      </w:pPr>
      <w:r>
        <w:t>6 Flow 1 PR to PO through New Request</w:t>
      </w:r>
    </w:p>
    <w:p>
      <w:r>
        <w:rPr>
          <w:color w:val="000000"/>
        </w:rPr>
        <w:t>Sources: physical slides 2, 5, 10, 11 and 13. New Request remains the most prominent action on My Desk.</w:t>
      </w:r>
    </w:p>
    <w:p>
      <w:pPr>
        <w:pStyle w:val="Heading2"/>
      </w:pPr>
      <w:r>
        <w:t>6 1 Intake channels and actual submission</w:t>
      </w:r>
    </w:p>
    <w:p>
      <w:r>
        <w:rPr>
          <w:color w:val="000000"/>
        </w:rPr>
        <w:t>Provide a guided form and captured Email, Teams and Work Order examples. Email and Teams are capture channels into the same guided intake. A captured message with missing mandatory data creates a clarification task and a prefilled form. It must not create a parallel informal purchasing route. This combines the deck's form-first discipline with its agentic email/Teams capture front door.</w:t>
      </w:r>
    </w:p>
    <w:p>
      <w:r>
        <w:rPr>
          <w:color w:val="000000"/>
        </w:rPr>
        <w:t>The request fields are item or service description, manufacturer part number if known, quantity, UoM, site, delivery location, needed-by date, requester, purpose, cost centre, starting-cost reference, urgency and attachments. Structured service requests include scope and service period. Supplier preference is optional and never establishes supplier approval.</w:t>
      </w:r>
    </w:p>
    <w:p>
      <w:r>
        <w:rPr>
          <w:color w:val="000000"/>
        </w:rPr>
        <w:t>Submission persists a new Request and ProcurementCase with unique IDs. Reopening the same submitted channel item opens the existing case rather than creating a duplicate. Two different requests using the same scenario remain independent cases. A submitted unsupported description stays a draft or enters clarification; it never inherits unrelated filter-bag or seal facts.</w:t>
      </w:r>
    </w:p>
    <w:p>
      <w:pPr>
        <w:pStyle w:val="Heading2"/>
      </w:pPr>
      <w:r>
        <w:t>6 2 Free text behavior for the front end demo</w:t>
      </w:r>
    </w:p>
    <w:p>
      <w:r>
        <w:rPr>
          <w:color w:val="000000"/>
        </w:rPr>
        <w:t>The demo parser must support documented patterns for the seeded catalogue materials and service scopes. It extracts explicit quantities, dates and known site/item names, presents inferred fields for confirmation, and looks up account assignment from master data. Unrecognised material, site, quantity or UoM produces a missing-field warning and prevents submission until corrected. Preserve the original text alongside the structured record.</w:t>
      </w:r>
    </w:p>
    <w:p>
      <w:r>
        <w:rPr>
          <w:color w:val="000000"/>
        </w:rPr>
        <w:t>Allow edits before submission. Persist edits from the existing extraction wizard. A quantity change must update the PR, price-break calculation, approval route, PO and savings. A change to payment terms must require a contractual or authorised basis. The old preset chips remain helpful starting examples, but they must populate editable draft records rather than replay unmodifiable transactions.</w:t>
      </w:r>
    </w:p>
    <w:p>
      <w:pPr>
        <w:pStyle w:val="Heading2"/>
      </w:pPr>
      <w:r>
        <w:t>6 3 Steps and branches</w:t>
      </w:r>
    </w:p>
    <w:p>
      <w:pPr>
        <w:spacing w:after="80"/>
        <w:ind w:left="317" w:hanging="317"/>
      </w:pPr>
      <w:r>
        <w:rPr>
          <w:color w:val="000000"/>
        </w:rPr>
        <w:t xml:space="preserve">1. </w:t>
      </w:r>
      <w:r>
        <w:rPr>
          <w:b/>
          <w:color w:val="000000"/>
        </w:rPr>
        <w:t>Intake, F1 1.0:</w:t>
      </w:r>
      <w:r>
        <w:rPr>
          <w:color w:val="000000"/>
        </w:rPr>
        <w:t xml:space="preserve"> capture the need and starting cost, identify the requester and plant, and generate a draft PR with evidence references.</w:t>
      </w:r>
    </w:p>
    <w:p>
      <w:pPr>
        <w:spacing w:after="80"/>
        <w:ind w:left="317" w:hanging="317"/>
      </w:pPr>
      <w:r>
        <w:rPr>
          <w:color w:val="000000"/>
        </w:rPr>
        <w:t xml:space="preserve">2. </w:t>
      </w:r>
      <w:r>
        <w:rPr>
          <w:b/>
          <w:color w:val="000000"/>
        </w:rPr>
        <w:t>Classify and Policy, F1 2.0–3.0:</w:t>
      </w:r>
      <w:r>
        <w:rPr>
          <w:color w:val="000000"/>
        </w:rPr>
        <w:t xml:space="preserve"> validate material/service, account assignment, category, risk, duplicate demand, usable stock, budget and channel eligibility. Retain existing stock/duplicate/warranty checks when the item warrants them. Warranty is supporting evidence, not a mandatory step for every indirect service or consumable.</w:t>
      </w:r>
    </w:p>
    <w:p>
      <w:pPr>
        <w:spacing w:after="80"/>
        <w:ind w:left="317" w:hanging="317"/>
      </w:pPr>
      <w:r>
        <w:rPr>
          <w:color w:val="000000"/>
        </w:rPr>
        <w:t xml:space="preserve">3. </w:t>
      </w:r>
      <w:r>
        <w:rPr>
          <w:b/>
          <w:color w:val="000000"/>
        </w:rPr>
        <w:t>Review, F1 3.1–3.2:</w:t>
      </w:r>
      <w:r>
        <w:rPr>
          <w:color w:val="000000"/>
        </w:rPr>
        <w:t xml:space="preserve"> send 0.70–0.89 coding/channel cases to TCS; send below-0.70 cases or authority conditions to the correct client owner. Resolving a hard-stop condition reruns the gate.</w:t>
      </w:r>
    </w:p>
    <w:p>
      <w:pPr>
        <w:spacing w:after="80"/>
        <w:ind w:left="317" w:hanging="317"/>
      </w:pPr>
      <w:r>
        <w:rPr>
          <w:color w:val="000000"/>
        </w:rPr>
        <w:t xml:space="preserve">4. </w:t>
      </w:r>
      <w:r>
        <w:rPr>
          <w:b/>
          <w:color w:val="000000"/>
        </w:rPr>
        <w:t>Channel Decision, F1 4.0:</w:t>
      </w:r>
      <w:r>
        <w:rPr>
          <w:color w:val="000000"/>
        </w:rPr>
        <w:t xml:space="preserve"> check live catalogue, contract/rate card and approved pipeline matches. Show why the chosen route applies and compare alternatives where relevant.</w:t>
      </w:r>
    </w:p>
    <w:p>
      <w:pPr>
        <w:spacing w:after="80"/>
        <w:ind w:left="317" w:hanging="317"/>
      </w:pPr>
      <w:r>
        <w:rPr>
          <w:color w:val="000000"/>
        </w:rPr>
        <w:t xml:space="preserve">5. </w:t>
      </w:r>
      <w:r>
        <w:rPr>
          <w:b/>
          <w:color w:val="000000"/>
        </w:rPr>
        <w:t>Approval, F1 5.0–5.1:</w:t>
      </w:r>
      <w:r>
        <w:rPr>
          <w:color w:val="000000"/>
        </w:rPr>
        <w:t xml:space="preserve"> apply standing approval only where eligible. Above the demo ceiling create a Budget Holder task. No match creates Flow 2 work. New supplier need creates Flow 4. A required new contract creates Flow 3 after award.</w:t>
      </w:r>
    </w:p>
    <w:p>
      <w:pPr>
        <w:spacing w:after="80"/>
        <w:ind w:left="317" w:hanging="317"/>
      </w:pPr>
      <w:r>
        <w:rPr>
          <w:color w:val="000000"/>
        </w:rPr>
        <w:t xml:space="preserve">6. </w:t>
      </w:r>
      <w:r>
        <w:rPr>
          <w:b/>
          <w:color w:val="000000"/>
        </w:rPr>
        <w:t>PO, F1 6.0:</w:t>
      </w:r>
      <w:r>
        <w:rPr>
          <w:color w:val="000000"/>
        </w:rPr>
        <w:t xml:space="preserve"> rerun request approval, current value, supplier and required contract gates. Create and dispatch the mock PO once. Preserve separate lines, plant delivery dates and allocations. Create the expected value record and link Flow 5.</w:t>
      </w:r>
    </w:p>
    <w:p>
      <w:pPr>
        <w:spacing w:after="80"/>
        <w:ind w:left="317" w:hanging="317"/>
      </w:pPr>
      <w:r>
        <w:rPr>
          <w:color w:val="000000"/>
        </w:rPr>
        <w:t xml:space="preserve">7. </w:t>
      </w:r>
      <w:r>
        <w:rPr>
          <w:b/>
          <w:color w:val="000000"/>
        </w:rPr>
        <w:t>Follow-up:</w:t>
      </w:r>
      <w:r>
        <w:rPr>
          <w:color w:val="000000"/>
        </w:rPr>
        <w:t xml:space="preserve"> collect supplier acknowledgement, receipt and invoice events in the related case. Acknowledgement price/date discrepancies create amendment tasks. Do not show a receipt or invoice before its simulated event occurs.</w:t>
      </w:r>
    </w:p>
    <w:p>
      <w:r>
        <w:rPr>
          <w:color w:val="000000"/>
        </w:rPr>
        <w:t>An above-limit approved request can return from a human lane and execute subsequent permitted steps automatically. “Touchless request” still remains false if substantive human purchase decisions occurred. Transfer-before-buy or warranty outcomes must keep separate cost-avoidance classifications and must not be automatically included in validated sourcing savings.</w:t>
      </w:r>
    </w:p>
    <w:p>
      <w:pPr>
        <w:pStyle w:val="Heading2"/>
      </w:pPr>
      <w:r>
        <w:t>6 4 Request returns and failures</w:t>
      </w:r>
    </w:p>
    <w:p>
      <w:r>
        <w:rPr>
          <w:color w:val="000000"/>
        </w:rPr>
        <w:t>Policy/budget failures show the affected fields and the owner. Allow correction for up to five simulated days, then close with a reason if not corrected. Rejected requests may be revised twice, preserving earlier revisions; a third failed loop closes the request. A PO dispatch failure retries up to three times with back-off, parks the case and creates a manual fallback task due within four hours. A supplier acknowledgement missing after 48 hours creates a chase task.</w:t>
      </w:r>
    </w:p>
    <w:p>
      <w:pPr>
        <w:pStyle w:val="Heading1"/>
      </w:pPr>
      <w:r>
        <w:t>7 Flow 0 Proactive opportunity pipeline</w:t>
      </w:r>
    </w:p>
    <w:p>
      <w:r>
        <w:rPr>
          <w:color w:val="000000"/>
        </w:rPr>
        <w:t>Sources: physical slides 1, 3, 4 and 12. Add Opportunities as an actionable extension of the existing Control Tower.</w:t>
      </w:r>
    </w:p>
    <w:p>
      <w:pPr>
        <w:spacing w:after="80"/>
        <w:ind w:left="317" w:hanging="317"/>
      </w:pPr>
      <w:r>
        <w:rPr>
          <w:color w:val="000000"/>
        </w:rPr>
        <w:t>1. A monthly mock spend refresh produces a versioned snapshot. Show line count, supplier attribution coverage and the source period.</w:t>
      </w:r>
    </w:p>
    <w:p>
      <w:pPr>
        <w:spacing w:after="80"/>
        <w:ind w:left="317" w:hanging="317"/>
      </w:pPr>
      <w:r>
        <w:rPr>
          <w:color w:val="000000"/>
        </w:rPr>
        <w:t>2. Spend Intelligence cleanses and classifies every line. High-confidence lines continue. Low-confidence lines create a TCS Spend Analyst task. Missing supplier IDs link to a data-remediation task in Suppliers without inventing a supplier identity.</w:t>
      </w:r>
    </w:p>
    <w:p>
      <w:pPr>
        <w:spacing w:after="80"/>
        <w:ind w:left="317" w:hanging="317"/>
      </w:pPr>
      <w:r>
        <w:rPr>
          <w:color w:val="000000"/>
        </w:rPr>
        <w:t>3. Opportunity analysis detects catalogue gaps, overlapping suppliers/panels, price variance and compatible demand pooling. Show the exact lines and contracts that support each candidate.</w:t>
      </w:r>
    </w:p>
    <w:p>
      <w:pPr>
        <w:spacing w:after="80"/>
        <w:ind w:left="317" w:hanging="317"/>
      </w:pPr>
      <w:r>
        <w:rPr>
          <w:color w:val="000000"/>
        </w:rPr>
        <w:t>4. The Category Lead accepts or parks the opportunity, recording a reason. Finance agrees the baseline and methodology. Both decisions are required before the item becomes live in the pipeline.</w:t>
      </w:r>
    </w:p>
    <w:p>
      <w:pPr>
        <w:spacing w:after="80"/>
        <w:ind w:left="317" w:hanging="317"/>
      </w:pPr>
      <w:r>
        <w:rPr>
          <w:color w:val="000000"/>
        </w:rPr>
        <w:t>5. The Pipeline Agent assigns the lever, owner, wave, due date and scope. A tender wave opens Flow 2; supplier/panel enablement opens Flow 4; price leakage opens Flow 5.</w:t>
      </w:r>
    </w:p>
    <w:p>
      <w:pPr>
        <w:spacing w:after="80"/>
        <w:ind w:left="317" w:hanging="317"/>
      </w:pPr>
      <w:r>
        <w:rPr>
          <w:color w:val="000000"/>
        </w:rPr>
        <w:t>6. Channel Decision checks a live PR against the active opportunity using material/service, site scope, agreement, dates and required terms. A match records the opportunity ID. An unapproved or expired opportunity cannot authorise a buy.</w:t>
      </w:r>
    </w:p>
    <w:p>
      <w:r>
        <w:rPr>
          <w:color w:val="000000"/>
        </w:rPr>
        <w:t>An approved opportunity can enable matching under already-approved buying rules. If it changes a policy, threshold, catalogue publication rule or clause library, publish only after the separate Value Council approval. This resolves the deck's pipeline-rule update against its mandatory governance rule.</w:t>
      </w:r>
    </w:p>
    <w:p>
      <w:r>
        <w:rPr>
          <w:color w:val="000000"/>
        </w:rPr>
        <w:t xml:space="preserve">Show statuses </w:t>
      </w:r>
      <w:r>
        <w:rPr>
          <w:rFonts w:ascii="Consolas" w:hAnsi="Consolas"/>
          <w:color w:val="000000"/>
          <w:sz w:val="20"/>
        </w:rPr>
        <w:t>identified</w:t>
      </w:r>
      <w:r>
        <w:rPr>
          <w:color w:val="000000"/>
        </w:rPr>
        <w:t xml:space="preserve">, </w:t>
      </w:r>
      <w:r>
        <w:rPr>
          <w:rFonts w:ascii="Consolas" w:hAnsi="Consolas"/>
          <w:color w:val="000000"/>
          <w:sz w:val="20"/>
        </w:rPr>
        <w:t>analyst-review</w:t>
      </w:r>
      <w:r>
        <w:rPr>
          <w:color w:val="000000"/>
        </w:rPr>
        <w:t xml:space="preserve">, </w:t>
      </w:r>
      <w:r>
        <w:rPr>
          <w:rFonts w:ascii="Consolas" w:hAnsi="Consolas"/>
          <w:color w:val="000000"/>
          <w:sz w:val="20"/>
        </w:rPr>
        <w:t>awaiting-category</w:t>
      </w:r>
      <w:r>
        <w:rPr>
          <w:color w:val="000000"/>
        </w:rPr>
        <w:t xml:space="preserve">, </w:t>
      </w:r>
      <w:r>
        <w:rPr>
          <w:rFonts w:ascii="Consolas" w:hAnsi="Consolas"/>
          <w:color w:val="000000"/>
          <w:sz w:val="20"/>
        </w:rPr>
        <w:t>awaiting-baseline</w:t>
      </w:r>
      <w:r>
        <w:rPr>
          <w:color w:val="000000"/>
        </w:rPr>
        <w:t xml:space="preserve">, </w:t>
      </w:r>
      <w:r>
        <w:rPr>
          <w:rFonts w:ascii="Consolas" w:hAnsi="Consolas"/>
          <w:color w:val="000000"/>
          <w:sz w:val="20"/>
        </w:rPr>
        <w:t>approved</w:t>
      </w:r>
      <w:r>
        <w:rPr>
          <w:color w:val="000000"/>
        </w:rPr>
        <w:t xml:space="preserve">, </w:t>
      </w:r>
      <w:r>
        <w:rPr>
          <w:rFonts w:ascii="Consolas" w:hAnsi="Consolas"/>
          <w:color w:val="000000"/>
          <w:sz w:val="20"/>
        </w:rPr>
        <w:t>live</w:t>
      </w:r>
      <w:r>
        <w:rPr>
          <w:color w:val="000000"/>
        </w:rPr>
        <w:t xml:space="preserve">, </w:t>
      </w:r>
      <w:r>
        <w:rPr>
          <w:rFonts w:ascii="Consolas" w:hAnsi="Consolas"/>
          <w:color w:val="000000"/>
          <w:sz w:val="20"/>
        </w:rPr>
        <w:t>matched</w:t>
      </w:r>
      <w:r>
        <w:rPr>
          <w:color w:val="000000"/>
        </w:rPr>
        <w:t xml:space="preserve">, </w:t>
      </w:r>
      <w:r>
        <w:rPr>
          <w:rFonts w:ascii="Consolas" w:hAnsi="Consolas"/>
          <w:color w:val="000000"/>
          <w:sz w:val="20"/>
        </w:rPr>
        <w:t>parked</w:t>
      </w:r>
      <w:r>
        <w:rPr>
          <w:color w:val="000000"/>
        </w:rPr>
        <w:t xml:space="preserve"> and </w:t>
      </w:r>
      <w:r>
        <w:rPr>
          <w:rFonts w:ascii="Consolas" w:hAnsi="Consolas"/>
          <w:color w:val="000000"/>
          <w:sz w:val="20"/>
        </w:rPr>
        <w:t>expired</w:t>
      </w:r>
      <w:r>
        <w:rPr>
          <w:color w:val="000000"/>
        </w:rPr>
        <w:t>. At five days remind the approver, at ten days escalate to Procurement Head. Re-prioritise an unmatched live item at 90 days. A parked candidate remains visible for the next monthly cycle.</w:t>
      </w:r>
    </w:p>
    <w:p>
      <w:r>
        <w:rPr>
          <w:color w:val="000000"/>
        </w:rPr>
        <w:t>The main worked opportunity is idle software licences and renewal demand, linked to Story 1. A supporting opportunity is recurring bearing demand across Solihull, Halewood and Wolverhampton. It reuses the existing volume-break interaction and connects to New Request. A data-remediation branch shows a missing supplier ID. These are functional Flow 0 examples, not additional primary presenter stories.</w:t>
      </w:r>
    </w:p>
    <w:p>
      <w:pPr>
        <w:pStyle w:val="Heading1"/>
      </w:pPr>
      <w:r>
        <w:t>8 Flow 2 Tail sourcing</w:t>
      </w:r>
    </w:p>
    <w:p>
      <w:r>
        <w:rPr>
          <w:color w:val="000000"/>
        </w:rPr>
        <w:t>Sources: physical slides 3, 6, 11 and 14. Sourcing opens from a PR without a live match, an approved opportunity wave, or contract expiry.</w:t>
      </w:r>
    </w:p>
    <w:p>
      <w:pPr>
        <w:pStyle w:val="Heading2"/>
      </w:pPr>
      <w:r>
        <w:t>8 1 Pooling and competitive event</w:t>
      </w:r>
    </w:p>
    <w:p>
      <w:r>
        <w:rPr>
          <w:color w:val="000000"/>
        </w:rPr>
        <w:t>The Aggregation Agent proposes a pool only when specifications, manufacturer variant, UoM, required dates and commercial conditions are compatible. Show the included PRs, sites, quantities, baseline and deadline. Pool for at most five days. Urgent line-stop requirements may bypass waiting, with an urgency reason and retained approval/competition checks.</w:t>
      </w:r>
    </w:p>
    <w:p>
      <w:r>
        <w:rPr>
          <w:color w:val="000000"/>
        </w:rPr>
        <w:t>Check existing framework/rate card before issuing RFQ. A valid agreement opens a call-off under Flow 1. Otherwise choose the applicable value-band channel. Prepare scope, quantity, sites, need-by date, terms and comparison criteria. Issue mock RFQs to at least three eligible suppliers where available. Suppliers return structured bids and original quote evidence.</w:t>
      </w:r>
    </w:p>
    <w:p>
      <w:r>
        <w:rPr>
          <w:color w:val="000000"/>
        </w:rPr>
        <w:t xml:space="preserve">Count </w:t>
      </w:r>
      <w:r>
        <w:rPr>
          <w:b/>
          <w:color w:val="000000"/>
        </w:rPr>
        <w:t>valid comparable quotes</w:t>
      </w:r>
      <w:r>
        <w:rPr>
          <w:color w:val="000000"/>
        </w:rPr>
        <w:t>, not invitations. Exclude declines, duplicate supplier identities, incomplete scope, expired offers and noncompliant bids from the count. The initial bid window is three days. Fewer than three quotes extends it once by 48 hours. If still insufficient, create a Category Lead sole-source/limited-competition task. Its signature records why competition was insufficient and the chosen supplier. Otherwise re-source or close.</w:t>
      </w:r>
    </w:p>
    <w:p>
      <w:pPr>
        <w:pStyle w:val="Heading2"/>
      </w:pPr>
      <w:r>
        <w:t>8 2 Evaluation and award</w:t>
      </w:r>
    </w:p>
    <w:p>
      <w:r>
        <w:rPr>
          <w:color w:val="000000"/>
        </w:rPr>
        <w:t>Show quote price, freight, required extras, total evaluated cost, lead time, scope compliance, supplier status, risk, benchmark variance and evidence. A higher-priced but operationally suitable bid can be recommended with a stated tradeoff. Score display must not hide a supplier hold or legal restriction.</w:t>
      </w:r>
    </w:p>
    <w:p>
      <w:r>
        <w:rPr>
          <w:color w:val="000000"/>
        </w:rPr>
        <w:t>Auto-award eligibility requires value at or below £30,000, three valid quotes, at least 0.90 confidence, benchmark compliance, eligible active/risk-cleared supplier and the standing award rule. Spend approval remains separate. A new supplier can be selected conditionally by a human, but no final award execution or PO occurs before clearance and activation.</w:t>
      </w:r>
    </w:p>
    <w:p>
      <w:r>
        <w:rPr>
          <w:color w:val="000000"/>
        </w:rPr>
        <w:t>Above £30,000, a Buy Desk Analyst prepares the recommendation and BAFO pack, while the Category Lead decides. Allow at most two BAFO rounds. Each round preserves the original and revised quote. A rejected recommendation returns to evaluation or closes without award. Technical sign-off is required for an unfamiliar or changed specification and cannot be replaced by supplier price ranking.</w:t>
      </w:r>
    </w:p>
    <w:p>
      <w:r>
        <w:rPr>
          <w:color w:val="000000"/>
        </w:rPr>
        <w:t>An accepted award creates exactly one Award record and one linked ValueRecord. Flow 3 opens if a contract/order form is needed. Flow 4 opens if the supplier requires activation. Flow 1 resumes PO release only after all dependent holds clear. Display the 3–5 day spot-buy target as a target, with actual demo elapsed time derived from timestamps.</w:t>
      </w:r>
    </w:p>
    <w:p>
      <w:pPr>
        <w:pStyle w:val="Heading1"/>
      </w:pPr>
      <w:r>
        <w:t>9 Flow 3 Contracting and clause bands</w:t>
      </w:r>
    </w:p>
    <w:p>
      <w:r>
        <w:rPr>
          <w:color w:val="000000"/>
        </w:rPr>
        <w:t>Sources: physical slides 7, 11, 15, 18 and 20. Add a functional Contracts workbench rather than using a contract preview as the entire flow.</w:t>
      </w:r>
    </w:p>
    <w:p>
      <w:pPr>
        <w:pStyle w:val="Heading2"/>
      </w:pPr>
      <w:r>
        <w:t>9 1 Triage and draft</w:t>
      </w:r>
    </w:p>
    <w:p>
      <w:r>
        <w:rPr>
          <w:color w:val="000000"/>
        </w:rPr>
        <w:t>Capture award, category, value, risk tier, personal/data access, IP, jurisdiction, template and scope. Cases at £250,000 or above, or in excluded risk categories, route to full client Legal review. They cannot use desk Green automation. Eligible cases generate a draft from the approved, versioned template and clause library.</w:t>
      </w:r>
    </w:p>
    <w:p>
      <w:r>
        <w:rPr>
          <w:color w:val="000000"/>
        </w:rPr>
        <w:t>The workbench shows original text, supplier redline, approved preferred text, approved fallback, band, confidence, source clause ID and assigned owner. A clause without a library match is treated as Red/unknown for routing. Confidence cannot convert it to Green.</w:t>
      </w:r>
    </w:p>
    <w:p>
      <w:pPr>
        <w:pStyle w:val="Heading2"/>
      </w:pPr>
      <w:r>
        <w:t>9 2 Green Amber and Red</w:t>
      </w:r>
    </w:p>
    <w:p>
      <w:pPr>
        <w:pStyle w:val="ListBullet"/>
      </w:pPr>
      <w:r>
        <w:rPr>
          <w:b/>
          <w:color w:val="000000"/>
        </w:rPr>
        <w:t>Green:</w:t>
      </w:r>
      <w:r>
        <w:rPr>
          <w:color w:val="000000"/>
        </w:rPr>
        <w:t xml:space="preserve"> every clause uses preferred text or an approved fallback, comparison confidence is at least 0.90, and execution authority is covered by the approved signing mandate. The agent may prepare and execute the mock signing process under that standing mandate. Record it as policy execution, not an invented Legal signature.</w:t>
      </w:r>
    </w:p>
    <w:p>
      <w:pPr>
        <w:pStyle w:val="ListBullet"/>
      </w:pPr>
      <w:r>
        <w:rPr>
          <w:b/>
          <w:color w:val="000000"/>
        </w:rPr>
        <w:t>Amber:</w:t>
      </w:r>
      <w:r>
        <w:rPr>
          <w:color w:val="000000"/>
        </w:rPr>
        <w:t xml:space="preserve"> a deviation falls inside the versioned delegated band. The Contract Analyst prepares a recommendation. The client Delegated Approver accepts, counters or rejects with evidence and reason.</w:t>
      </w:r>
    </w:p>
    <w:p>
      <w:pPr>
        <w:pStyle w:val="ListBullet"/>
      </w:pPr>
      <w:r>
        <w:rPr>
          <w:b/>
          <w:color w:val="000000"/>
        </w:rPr>
        <w:t>Red:</w:t>
      </w:r>
      <w:r>
        <w:rPr>
          <w:color w:val="000000"/>
        </w:rPr>
        <w:t xml:space="preserve"> liability, data/IP, jurisdiction or other restricted deviation lies outside the band. Client Legal accepts, counters or rejects. Route only after Legal resolves it. A rejected clause returns to renegotiation or Flow 2 re-sourcing.</w:t>
      </w:r>
    </w:p>
    <w:p>
      <w:r>
        <w:rPr>
          <w:color w:val="000000"/>
        </w:rPr>
        <w:t>For the demo clause library, use payment terms, liability and data/IP examples. Label clause text as approved demo library content. Do not assert that these examples represent actual client legal positions. The highest unresolved band controls the case route.</w:t>
      </w:r>
    </w:p>
    <w:p>
      <w:pPr>
        <w:pStyle w:val="Heading2"/>
      </w:pPr>
      <w:r>
        <w:t>9 3 Signature storage and amendment</w:t>
      </w:r>
    </w:p>
    <w:p>
      <w:r>
        <w:rPr>
          <w:color w:val="000000"/>
        </w:rPr>
        <w:t xml:space="preserve">After all necessary decisions, collect the mock authorised signature and supplier countersignature. Store the executed version and metadata: parties, dates, value, scope, clause decisions, signer authority and repository reference. </w:t>
      </w:r>
      <w:r>
        <w:rPr>
          <w:rFonts w:ascii="Consolas" w:hAnsi="Consolas"/>
          <w:color w:val="000000"/>
          <w:sz w:val="20"/>
        </w:rPr>
        <w:t>contractLive</w:t>
      </w:r>
      <w:r>
        <w:rPr>
          <w:color w:val="000000"/>
        </w:rPr>
        <w:t xml:space="preserve"> becomes true only after successful storage. PO release remains blocked if required storage or signing fails.</w:t>
      </w:r>
    </w:p>
    <w:p>
      <w:r>
        <w:rPr>
          <w:color w:val="000000"/>
        </w:rPr>
        <w:t>Supplier redline silence at five days triggers a chase; ten days triggers re-sourcing review. Missing countersignature at ten days escalates to Category Lead. At 48 hours remind internal reviewers and at 72 hours escalate/delegate within authority. E-sign/storage failure creates a manual task due within one day. Include a 10% Amber sample in contract QA, separate from the general 5% touchless audit.</w:t>
      </w:r>
    </w:p>
    <w:p>
      <w:r>
        <w:rPr>
          <w:color w:val="000000"/>
        </w:rPr>
        <w:t>Renewal, amendment and scope change create a new contract version and reevaluate affected authority. Clause deviations feed a proposed quarterly library refresh. They do not edit the live clause library without Value Council approval.</w:t>
      </w:r>
    </w:p>
    <w:p>
      <w:pPr>
        <w:pStyle w:val="Heading1"/>
      </w:pPr>
      <w:r>
        <w:t>10 Flow 4 Supplier onboarding and risk</w:t>
      </w:r>
    </w:p>
    <w:p>
      <w:r>
        <w:rPr>
          <w:color w:val="000000"/>
        </w:rPr>
        <w:t>Sources: physical slides 8, 11, 16, 18 and 20. The Supplier workbench must support both panel reuse and genuine new-supplier activation.</w:t>
      </w:r>
    </w:p>
    <w:p>
      <w:pPr>
        <w:spacing w:after="80"/>
        <w:ind w:left="317" w:hanging="317"/>
      </w:pPr>
      <w:r>
        <w:rPr>
          <w:color w:val="000000"/>
        </w:rPr>
        <w:t>1. Match the requirement against approved panels, vendor master and scope. An active, suitable panel match at at least 0.90 can return to Flow 1. Show identity and scope evidence, not only similar names.</w:t>
      </w:r>
    </w:p>
    <w:p>
      <w:pPr>
        <w:spacing w:after="80"/>
        <w:ind w:left="317" w:hanging="317"/>
      </w:pPr>
      <w:r>
        <w:rPr>
          <w:color w:val="000000"/>
        </w:rPr>
        <w:t>2. If no panel fits, capture onboarding justification and send a mock invitation. Collect legal entity, registration/tax evidence, insurance, relevant certifications, ownership, contact and bank evidence. Use masked demo bank data.</w:t>
      </w:r>
    </w:p>
    <w:p>
      <w:pPr>
        <w:spacing w:after="80"/>
        <w:ind w:left="317" w:hanging="317"/>
      </w:pPr>
      <w:r>
        <w:rPr>
          <w:color w:val="000000"/>
        </w:rPr>
        <w:t>3. Validate completeness, validity periods, duplicate identity and document references. Two incomplete-document loops are permitted before closure/remediation review.</w:t>
      </w:r>
    </w:p>
    <w:p>
      <w:pPr>
        <w:spacing w:after="80"/>
        <w:ind w:left="317" w:hanging="317"/>
      </w:pPr>
      <w:r>
        <w:rPr>
          <w:color w:val="000000"/>
        </w:rPr>
        <w:t>4. Run mock financial, legal, cyber and sanctions screening. Low risk with no hits can progress to master-data preparation. Medium risk or gaps go to Risk Analyst. High risk or a sanctions match goes to Risk Committee investigation. An open sanctions hit always blocks activation.</w:t>
      </w:r>
    </w:p>
    <w:p>
      <w:pPr>
        <w:spacing w:after="80"/>
        <w:ind w:left="317" w:hanging="317"/>
      </w:pPr>
      <w:r>
        <w:rPr>
          <w:color w:val="000000"/>
        </w:rPr>
        <w:t>5. The Master Data Agent prepares a record with mandatory supplier ID and group. Draft/pending records cannot receive a PO.</w:t>
      </w:r>
    </w:p>
    <w:p>
      <w:pPr>
        <w:spacing w:after="80"/>
        <w:ind w:left="317" w:hanging="317"/>
      </w:pPr>
      <w:r>
        <w:rPr>
          <w:color w:val="000000"/>
        </w:rPr>
        <w:t>6. A client Finance person verifies bank details by callback using the independently trusted register contact. Record verifier, time, contact source, result and evidence. The requester and the supplier cannot perform this approval.</w:t>
      </w:r>
    </w:p>
    <w:p>
      <w:pPr>
        <w:spacing w:after="80"/>
        <w:ind w:left="317" w:hanging="317"/>
      </w:pPr>
      <w:r>
        <w:rPr>
          <w:color w:val="000000"/>
        </w:rPr>
        <w:t>7. Activate only after required risk approval, valid documents, duplicate clearance, verified bank details and successful mock master sync. Then lift the dependent PO hold and resume the original procurement case.</w:t>
      </w:r>
    </w:p>
    <w:p>
      <w:r>
        <w:rPr>
          <w:color w:val="000000"/>
        </w:rPr>
        <w:t xml:space="preserve">Store supplier states </w:t>
      </w:r>
      <w:r>
        <w:rPr>
          <w:rFonts w:ascii="Consolas" w:hAnsi="Consolas"/>
          <w:color w:val="000000"/>
          <w:sz w:val="20"/>
        </w:rPr>
        <w:t>invited</w:t>
      </w:r>
      <w:r>
        <w:rPr>
          <w:color w:val="000000"/>
        </w:rPr>
        <w:t xml:space="preserve">, </w:t>
      </w:r>
      <w:r>
        <w:rPr>
          <w:rFonts w:ascii="Consolas" w:hAnsi="Consolas"/>
          <w:color w:val="000000"/>
          <w:sz w:val="20"/>
        </w:rPr>
        <w:t>documents-pending</w:t>
      </w:r>
      <w:r>
        <w:rPr>
          <w:color w:val="000000"/>
        </w:rPr>
        <w:t xml:space="preserve">, </w:t>
      </w:r>
      <w:r>
        <w:rPr>
          <w:rFonts w:ascii="Consolas" w:hAnsi="Consolas"/>
          <w:color w:val="000000"/>
          <w:sz w:val="20"/>
        </w:rPr>
        <w:t>screening</w:t>
      </w:r>
      <w:r>
        <w:rPr>
          <w:color w:val="000000"/>
        </w:rPr>
        <w:t xml:space="preserve">, </w:t>
      </w:r>
      <w:r>
        <w:rPr>
          <w:rFonts w:ascii="Consolas" w:hAnsi="Consolas"/>
          <w:color w:val="000000"/>
          <w:sz w:val="20"/>
        </w:rPr>
        <w:t>risk-review</w:t>
      </w:r>
      <w:r>
        <w:rPr>
          <w:color w:val="000000"/>
        </w:rPr>
        <w:t xml:space="preserve">, </w:t>
      </w:r>
      <w:r>
        <w:rPr>
          <w:rFonts w:ascii="Consolas" w:hAnsi="Consolas"/>
          <w:color w:val="000000"/>
          <w:sz w:val="20"/>
        </w:rPr>
        <w:t>bank-pending</w:t>
      </w:r>
      <w:r>
        <w:rPr>
          <w:color w:val="000000"/>
        </w:rPr>
        <w:t xml:space="preserve">, </w:t>
      </w:r>
      <w:r>
        <w:rPr>
          <w:rFonts w:ascii="Consolas" w:hAnsi="Consolas"/>
          <w:color w:val="000000"/>
          <w:sz w:val="20"/>
        </w:rPr>
        <w:t>ready-to-sync</w:t>
      </w:r>
      <w:r>
        <w:rPr>
          <w:color w:val="000000"/>
        </w:rPr>
        <w:t xml:space="preserve">, </w:t>
      </w:r>
      <w:r>
        <w:rPr>
          <w:rFonts w:ascii="Consolas" w:hAnsi="Consolas"/>
          <w:color w:val="000000"/>
          <w:sz w:val="20"/>
        </w:rPr>
        <w:t>active</w:t>
      </w:r>
      <w:r>
        <w:rPr>
          <w:color w:val="000000"/>
        </w:rPr>
        <w:t xml:space="preserve"> and </w:t>
      </w:r>
      <w:r>
        <w:rPr>
          <w:rFonts w:ascii="Consolas" w:hAnsi="Consolas"/>
          <w:color w:val="000000"/>
          <w:sz w:val="20"/>
        </w:rPr>
        <w:t>blocked</w:t>
      </w:r>
      <w:r>
        <w:rPr>
          <w:color w:val="000000"/>
        </w:rPr>
        <w:t xml:space="preserve">. An existing supplier bank change sets </w:t>
      </w:r>
      <w:r>
        <w:rPr>
          <w:rFonts w:ascii="Consolas" w:hAnsi="Consolas"/>
          <w:color w:val="000000"/>
          <w:sz w:val="20"/>
        </w:rPr>
        <w:t>bankChangePending</w:t>
      </w:r>
      <w:r>
        <w:rPr>
          <w:color w:val="000000"/>
        </w:rPr>
        <w:t xml:space="preserve"> and restricts use of the changed payment details until reverified. It does not silently rewrite the trusted account.</w:t>
      </w:r>
    </w:p>
    <w:p>
      <w:r>
        <w:rPr>
          <w:color w:val="000000"/>
        </w:rPr>
        <w:t>No registration at five days causes two chasers; at ten days close with reason. Screening timeout creates manual review due within two days. Bank mismatch routes to Finance Controller. Sync failure retries up to three times and creates manual fallback due within four hours. Supplier/customer-visible replies disclose status and required next steps without exposing other suppliers or sensitive internal risk details.</w:t>
      </w:r>
    </w:p>
    <w:p>
      <w:pPr>
        <w:pStyle w:val="Heading1"/>
      </w:pPr>
      <w:r>
        <w:t>11 Flow 5 Value assurance and governance</w:t>
      </w:r>
    </w:p>
    <w:p>
      <w:r>
        <w:rPr>
          <w:color w:val="000000"/>
        </w:rPr>
        <w:t>Sources: physical slides 3, 9, 17, 18, 20 and 21. Value Assurance is a distinct business workbench linked to Invoice Matching and Governance.</w:t>
      </w:r>
    </w:p>
    <w:p>
      <w:pPr>
        <w:pStyle w:val="Heading2"/>
      </w:pPr>
      <w:r>
        <w:t>11 1 One value record from award to invoice</w:t>
      </w:r>
    </w:p>
    <w:p>
      <w:r>
        <w:rPr>
          <w:color w:val="000000"/>
        </w:rPr>
        <w:t>Create one ValueRecord per award. For a contract call-off without a new competitive award, create a stable call-off award-equivalent key. Several PRs, POs or partial invoices may link to the same record. Baseline records are Finance-approved and versioned. Record quantity, UoM, unit baseline, source period, exclusions and methodology. Freeze the applicable baseline at the value record revision.</w:t>
      </w:r>
    </w:p>
    <w:p>
      <w:r>
        <w:rPr>
          <w:color w:val="000000"/>
        </w:rPr>
        <w:t xml:space="preserve">At PO release calculate </w:t>
      </w:r>
      <w:r>
        <w:rPr>
          <w:b/>
          <w:color w:val="000000"/>
        </w:rPr>
        <w:t>Expected savings at PO</w:t>
      </w:r>
      <w:r>
        <w:rPr>
          <w:color w:val="000000"/>
        </w:rPr>
        <w:t xml:space="preserve">. At receipt/invoice verify actual quantity, agreed price, contract/rate card, relevant scope acceptance and baseline. This produces </w:t>
      </w:r>
      <w:r>
        <w:rPr>
          <w:b/>
          <w:color w:val="000000"/>
        </w:rPr>
        <w:t>Invoice-evidenced savings</w:t>
      </w:r>
      <w:r>
        <w:rPr>
          <w:color w:val="000000"/>
        </w:rPr>
        <w:t xml:space="preserve">. Client Finance then signs or rejects the value record, producing </w:t>
      </w:r>
      <w:r>
        <w:rPr>
          <w:b/>
          <w:color w:val="000000"/>
        </w:rPr>
        <w:t>Finance-validated savings</w:t>
      </w:r>
      <w:r>
        <w:rPr>
          <w:color w:val="000000"/>
        </w:rPr>
        <w:t>. Even a clean automatic invoice match still requires the Finance signature for a claimed saving.</w:t>
      </w:r>
    </w:p>
    <w:p>
      <w:r>
        <w:rPr>
          <w:color w:val="000000"/>
        </w:rPr>
        <w:t xml:space="preserve">Use these states: </w:t>
      </w:r>
      <w:r>
        <w:rPr>
          <w:rFonts w:ascii="Consolas" w:hAnsi="Consolas"/>
          <w:color w:val="000000"/>
          <w:sz w:val="20"/>
        </w:rPr>
        <w:t>expected</w:t>
      </w:r>
      <w:r>
        <w:rPr>
          <w:color w:val="000000"/>
        </w:rPr>
        <w:t xml:space="preserve">, </w:t>
      </w:r>
      <w:r>
        <w:rPr>
          <w:rFonts w:ascii="Consolas" w:hAnsi="Consolas"/>
          <w:color w:val="000000"/>
          <w:sz w:val="20"/>
        </w:rPr>
        <w:t>awaiting-invoice</w:t>
      </w:r>
      <w:r>
        <w:rPr>
          <w:color w:val="000000"/>
        </w:rPr>
        <w:t xml:space="preserve">, </w:t>
      </w:r>
      <w:r>
        <w:rPr>
          <w:rFonts w:ascii="Consolas" w:hAnsi="Consolas"/>
          <w:color w:val="000000"/>
          <w:sz w:val="20"/>
        </w:rPr>
        <w:t>evidenced</w:t>
      </w:r>
      <w:r>
        <w:rPr>
          <w:color w:val="000000"/>
        </w:rPr>
        <w:t xml:space="preserve">, </w:t>
      </w:r>
      <w:r>
        <w:rPr>
          <w:rFonts w:ascii="Consolas" w:hAnsi="Consolas"/>
          <w:color w:val="000000"/>
          <w:sz w:val="20"/>
        </w:rPr>
        <w:t>leakage-open</w:t>
      </w:r>
      <w:r>
        <w:rPr>
          <w:color w:val="000000"/>
        </w:rPr>
        <w:t xml:space="preserve">, </w:t>
      </w:r>
      <w:r>
        <w:rPr>
          <w:rFonts w:ascii="Consolas" w:hAnsi="Consolas"/>
          <w:color w:val="000000"/>
          <w:sz w:val="20"/>
        </w:rPr>
        <w:t>awaiting-finance</w:t>
      </w:r>
      <w:r>
        <w:rPr>
          <w:color w:val="000000"/>
        </w:rPr>
        <w:t xml:space="preserve">, </w:t>
      </w:r>
      <w:r>
        <w:rPr>
          <w:rFonts w:ascii="Consolas" w:hAnsi="Consolas"/>
          <w:color w:val="000000"/>
          <w:sz w:val="20"/>
        </w:rPr>
        <w:t>validated</w:t>
      </w:r>
      <w:r>
        <w:rPr>
          <w:color w:val="000000"/>
        </w:rPr>
        <w:t xml:space="preserve">, </w:t>
      </w:r>
      <w:r>
        <w:rPr>
          <w:rFonts w:ascii="Consolas" w:hAnsi="Consolas"/>
          <w:color w:val="000000"/>
          <w:sz w:val="20"/>
        </w:rPr>
        <w:t>not-claimed</w:t>
      </w:r>
      <w:r>
        <w:rPr>
          <w:color w:val="000000"/>
        </w:rPr>
        <w:t xml:space="preserve"> and </w:t>
      </w:r>
      <w:r>
        <w:rPr>
          <w:rFonts w:ascii="Consolas" w:hAnsi="Consolas"/>
          <w:color w:val="000000"/>
          <w:sz w:val="20"/>
        </w:rPr>
        <w:t>lapsed</w:t>
      </w:r>
      <w:r>
        <w:rPr>
          <w:color w:val="000000"/>
        </w:rPr>
        <w:t>. Never use “realised” or “validated” for an unsigned PO projection. Keep payment status in a separate record. The core demo ends at validated value, not at a fabricated paid event.</w:t>
      </w:r>
    </w:p>
    <w:p>
      <w:pPr>
        <w:pStyle w:val="Heading2"/>
      </w:pPr>
      <w:r>
        <w:t>11 2 Match and leakage</w:t>
      </w:r>
    </w:p>
    <w:p>
      <w:r>
        <w:rPr>
          <w:color w:val="000000"/>
        </w:rPr>
        <w:t>The comparison includes PO, goods receipt/service acceptance, invoice and contract where applicable. A consumable goods receipt proves quantity, not contractual unit price. Display a dash as not applicable in price/terms cells rather than a failed match. Services use signed acceptance evidence. The baseline comparison is a separate value calculation, not a fourth transactional document masquerading as a goods receipt.</w:t>
      </w:r>
    </w:p>
    <w:p>
      <w:r>
        <w:rPr>
          <w:color w:val="000000"/>
        </w:rPr>
        <w:t>Invoice price or quantity variance creates leakage with affected line IDs, amount, reason and owner. TCS drafts a claim and Category Lead coordinates recovery. A supplier credit note or corrected invoice is an explicit event. A drafted or sent claim alone does not mean recovery. Partial recovery updates remaining leakage and evidence. Finance may validate the supported net value, reject the claim or leave it pending.</w:t>
      </w:r>
    </w:p>
    <w:p>
      <w:r>
        <w:rPr>
          <w:color w:val="000000"/>
        </w:rPr>
        <w:t>Baseline missing/disputed routes to Finance within five days and blocks savings validation. It does not retroactively turn a properly authorised PO into an unapproved purchase. No invoice at 60 days triggers chase/accrual review. At 90 days lapse the unsupported saving. Leakage unresolved at 30 days creates write-off/nonclaim review and a council entry.</w:t>
      </w:r>
    </w:p>
    <w:p>
      <w:pPr>
        <w:pStyle w:val="Heading2"/>
      </w:pPr>
      <w:r>
        <w:t>11 3 Governed changes and memory</w:t>
      </w:r>
    </w:p>
    <w:p>
      <w:r>
        <w:rPr>
          <w:color w:val="000000"/>
        </w:rPr>
        <w:t>The monthly value pack contains expected/evidenced/validated savings, leakage, nonclaims, overrides, SLA failures, audit results and proposed actions. The Value Council approves or rejects changes to rules, thresholds, catalogues and clause libraries. Changes have old/new values, rationale, owner, test evidence, effective date and rollback version.</w:t>
      </w:r>
    </w:p>
    <w:p>
      <w:r>
        <w:rPr>
          <w:color w:val="000000"/>
        </w:rPr>
        <w:t>AI Ops applies only a signed, tested change. Existing cases keep their policy snapshot by default. An explicit migration reevaluates affected cases and records the change. A failed test leaves the current version live. A failed deployment rolls back to the preceding version. No quorum reschedules within five days and escalates if necessary.</w:t>
      </w:r>
    </w:p>
    <w:p>
      <w:r>
        <w:rPr>
          <w:color w:val="000000"/>
        </w:rPr>
        <w:t>Knowledge records store versioned DoA, buying rules, clause libraries, catalogues, contracts, supplier panels, benchmarks and baselines. Case memory stores sources, checks, decisions and linked documents. Learning memory stores proposed improvements. Overrides and audit findings become change signals only after approved governance. A pattern alone is not proof of policy violation.</w:t>
      </w:r>
    </w:p>
    <w:p>
      <w:pPr>
        <w:pStyle w:val="Heading1"/>
      </w:pPr>
      <w:r>
        <w:t>12 Exceptions escalation and agent operations</w:t>
      </w:r>
    </w:p>
    <w:p>
      <w:r>
        <w:rPr>
          <w:color w:val="000000"/>
        </w:rPr>
        <w:t>All workbench pages share one exception model with reason, blocking action, owner role, opened time, due time, severity, evidence and resolution. A case may have several open holds. Resolving one hold does not clear the others. A terminal rejection closes the affected work package and tells the requester what happened.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744"/>
      </w:tblGrid>
      <w:tr>
        <w:trPr>
          <w:cantSplit/>
          <w:tblHeader/>
        </w:trPr>
        <w:tc>
          <w:tcPr>
            <w:tcW w:type="dxa" w:w="2376"/>
            <w:vAlign w:val="center"/>
            <w:shd w:fill="18354B"/>
            <w:tcMar>
              <w:top w:w="80" w:type="dxa"/>
              <w:bottom w:w="80" w:type="dxa"/>
              <w:left w:w="90" w:type="dxa"/>
              <w:right w:w="90" w:type="dxa"/>
            </w:tcMar>
          </w:tcPr>
          <w:p>
            <w:pPr>
              <w:keepNext/>
              <w:spacing w:after="0" w:line="250" w:lineRule="auto"/>
            </w:pPr>
            <w:r>
              <w:rPr>
                <w:b/>
                <w:color w:val="FFFFFF"/>
                <w:sz w:val="20"/>
              </w:rPr>
              <w:t>Escalation level</w:t>
            </w:r>
          </w:p>
        </w:tc>
        <w:tc>
          <w:tcPr>
            <w:tcW w:type="dxa" w:w="3960"/>
            <w:vAlign w:val="center"/>
            <w:shd w:fill="18354B"/>
            <w:tcMar>
              <w:top w:w="80" w:type="dxa"/>
              <w:bottom w:w="80" w:type="dxa"/>
              <w:left w:w="90" w:type="dxa"/>
              <w:right w:w="90" w:type="dxa"/>
            </w:tcMar>
          </w:tcPr>
          <w:p>
            <w:pPr>
              <w:keepNext/>
              <w:spacing w:after="0" w:line="250" w:lineRule="auto"/>
            </w:pPr>
            <w:r>
              <w:rPr>
                <w:b/>
                <w:color w:val="FFFFFF"/>
                <w:sz w:val="20"/>
              </w:rPr>
              <w:t>Trigger</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Owner and behavior</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L1 Operational</w:t>
            </w:r>
          </w:p>
        </w:tc>
        <w:tc>
          <w:tcPr>
            <w:tcW w:type="dxa" w:w="3960"/>
            <w:vAlign w:val="center"/>
            <w:shd w:fill="FFFFFF"/>
            <w:tcMar>
              <w:top w:w="80" w:type="dxa"/>
              <w:bottom w:w="80" w:type="dxa"/>
              <w:left w:w="90" w:type="dxa"/>
              <w:right w:w="90" w:type="dxa"/>
            </w:tcMar>
          </w:tcPr>
          <w:p>
            <w:pPr>
              <w:spacing w:after="0" w:line="250" w:lineRule="auto"/>
            </w:pPr>
            <w:r>
              <w:rPr>
                <w:color w:val="000000"/>
                <w:sz w:val="20"/>
              </w:rPr>
              <w:t>Human task over 48h, retries exhausted, supplier silent five days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Buy Desk Lead, reassignment or manual fallback</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L2 Quality</w:t>
            </w:r>
          </w:p>
        </w:tc>
        <w:tc>
          <w:tcPr>
            <w:tcW w:type="dxa" w:w="3960"/>
            <w:vAlign w:val="center"/>
            <w:shd w:fill="F3F6F8"/>
            <w:tcMar>
              <w:top w:w="80" w:type="dxa"/>
              <w:bottom w:w="80" w:type="dxa"/>
              <w:left w:w="90" w:type="dxa"/>
              <w:right w:w="90" w:type="dxa"/>
            </w:tcMar>
          </w:tcPr>
          <w:p>
            <w:pPr>
              <w:spacing w:after="0" w:line="250" w:lineRule="auto"/>
            </w:pPr>
            <w:r>
              <w:rPr>
                <w:color w:val="000000"/>
                <w:sz w:val="20"/>
              </w:rPr>
              <w:t>Pattern overrides above 5%, audit error, low-confidence cluster</w:t>
            </w:r>
          </w:p>
        </w:tc>
        <w:tc>
          <w:tcPr>
            <w:tcW w:type="dxa" w:w="3744"/>
            <w:vAlign w:val="center"/>
            <w:shd w:fill="F3F6F8"/>
            <w:tcMar>
              <w:top w:w="80" w:type="dxa"/>
              <w:bottom w:w="80" w:type="dxa"/>
              <w:left w:w="90" w:type="dxa"/>
              <w:right w:w="90" w:type="dxa"/>
            </w:tcMar>
          </w:tcPr>
          <w:p>
            <w:pPr>
              <w:spacing w:after="0" w:line="250" w:lineRule="auto"/>
            </w:pPr>
            <w:r>
              <w:rPr>
                <w:color w:val="000000"/>
                <w:sz w:val="20"/>
              </w:rPr>
              <w:t>AI Ops Steward, lower effective lane availability</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L3 Policy/commercial</w:t>
            </w:r>
          </w:p>
        </w:tc>
        <w:tc>
          <w:tcPr>
            <w:tcW w:type="dxa" w:w="3960"/>
            <w:vAlign w:val="center"/>
            <w:shd w:fill="FFFFFF"/>
            <w:tcMar>
              <w:top w:w="80" w:type="dxa"/>
              <w:bottom w:w="80" w:type="dxa"/>
              <w:left w:w="90" w:type="dxa"/>
              <w:right w:w="90" w:type="dxa"/>
            </w:tcMar>
          </w:tcPr>
          <w:p>
            <w:pPr>
              <w:spacing w:after="0" w:line="250" w:lineRule="auto"/>
            </w:pPr>
            <w:r>
              <w:rPr>
                <w:color w:val="000000"/>
                <w:sz w:val="20"/>
              </w:rPr>
              <w:t>Off-channel request, fewer than three bids, Amber open 72h</w:t>
            </w:r>
          </w:p>
        </w:tc>
        <w:tc>
          <w:tcPr>
            <w:tcW w:type="dxa" w:w="3744"/>
            <w:vAlign w:val="center"/>
            <w:shd w:fill="FFFFFF"/>
            <w:tcMar>
              <w:top w:w="80" w:type="dxa"/>
              <w:bottom w:w="80" w:type="dxa"/>
              <w:left w:w="90" w:type="dxa"/>
              <w:right w:w="90" w:type="dxa"/>
            </w:tcMar>
          </w:tcPr>
          <w:p>
            <w:pPr>
              <w:spacing w:after="0" w:line="250" w:lineRule="auto"/>
            </w:pPr>
            <w:r>
              <w:rPr>
                <w:color w:val="000000"/>
                <w:sz w:val="20"/>
              </w:rPr>
              <w:t>Category Lead or Delegated Approver</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L4 Financial/legal</w:t>
            </w:r>
          </w:p>
        </w:tc>
        <w:tc>
          <w:tcPr>
            <w:tcW w:type="dxa" w:w="3960"/>
            <w:vAlign w:val="center"/>
            <w:shd w:fill="F3F6F8"/>
            <w:tcMar>
              <w:top w:w="80" w:type="dxa"/>
              <w:bottom w:w="80" w:type="dxa"/>
              <w:left w:w="90" w:type="dxa"/>
              <w:right w:w="90" w:type="dxa"/>
            </w:tcMar>
          </w:tcPr>
          <w:p>
            <w:pPr>
              <w:spacing w:after="0" w:line="250" w:lineRule="auto"/>
            </w:pPr>
            <w:r>
              <w:rPr>
                <w:color w:val="000000"/>
                <w:sz w:val="20"/>
              </w:rPr>
              <w:t>Above DoA, Red clause, baseline dispute, leakage open 30d</w:t>
            </w:r>
          </w:p>
        </w:tc>
        <w:tc>
          <w:tcPr>
            <w:tcW w:type="dxa" w:w="3744"/>
            <w:vAlign w:val="center"/>
            <w:shd w:fill="F3F6F8"/>
            <w:tcMar>
              <w:top w:w="80" w:type="dxa"/>
              <w:bottom w:w="80" w:type="dxa"/>
              <w:left w:w="90" w:type="dxa"/>
              <w:right w:w="90" w:type="dxa"/>
            </w:tcMar>
          </w:tcPr>
          <w:p>
            <w:pPr>
              <w:spacing w:after="0" w:line="250" w:lineRule="auto"/>
            </w:pPr>
            <w:r>
              <w:rPr>
                <w:color w:val="000000"/>
                <w:sz w:val="20"/>
              </w:rPr>
              <w:t>Domain Legal/Finance authority</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L5 Risk/continuity</w:t>
            </w:r>
          </w:p>
        </w:tc>
        <w:tc>
          <w:tcPr>
            <w:tcW w:type="dxa" w:w="3960"/>
            <w:vAlign w:val="center"/>
            <w:shd w:fill="FFFFFF"/>
            <w:tcMar>
              <w:top w:w="80" w:type="dxa"/>
              <w:bottom w:w="80" w:type="dxa"/>
              <w:left w:w="90" w:type="dxa"/>
              <w:right w:w="90" w:type="dxa"/>
            </w:tcMar>
          </w:tcPr>
          <w:p>
            <w:pPr>
              <w:spacing w:after="0" w:line="250" w:lineRule="auto"/>
            </w:pPr>
            <w:r>
              <w:rPr>
                <w:color w:val="000000"/>
                <w:sz w:val="20"/>
              </w:rPr>
              <w:t>Sanctions hit, bank fraud flag, action outside guardrail</w:t>
            </w:r>
          </w:p>
        </w:tc>
        <w:tc>
          <w:tcPr>
            <w:tcW w:type="dxa" w:w="3744"/>
            <w:vAlign w:val="center"/>
            <w:shd w:fill="FFFFFF"/>
            <w:tcMar>
              <w:top w:w="80" w:type="dxa"/>
              <w:bottom w:w="80" w:type="dxa"/>
              <w:left w:w="90" w:type="dxa"/>
              <w:right w:w="90" w:type="dxa"/>
            </w:tcMar>
          </w:tcPr>
          <w:p>
            <w:pPr>
              <w:spacing w:after="0" w:line="250" w:lineRule="auto"/>
            </w:pPr>
            <w:r>
              <w:rPr>
                <w:color w:val="000000"/>
                <w:sz w:val="20"/>
              </w:rPr>
              <w:t>Risk Committee or Procurement Head, immediate hold</w:t>
            </w:r>
          </w:p>
        </w:tc>
      </w:tr>
    </w:tbl>
    <w:p>
      <w:pPr>
        <w:spacing w:after="20"/>
      </w:pPr>
    </w:p>
    <w:p>
      <w:r>
        <w:rPr>
          <w:color w:val="000000"/>
        </w:rPr>
        <w:t xml:space="preserve">The general human-review sequence is reminder before the SLA, reassignment at 48h and authorised delegation/escalation at 72h. Specific Flow 0, supplier, contract and value timers take precedence. Demo timers use elapsed simulated time in </w:t>
      </w:r>
      <w:r>
        <w:rPr>
          <w:rFonts w:ascii="Consolas" w:hAnsi="Consolas"/>
          <w:color w:val="000000"/>
          <w:sz w:val="20"/>
        </w:rPr>
        <w:t>Europe/​London</w:t>
      </w:r>
      <w:r>
        <w:rPr>
          <w:color w:val="000000"/>
        </w:rPr>
        <w:t>; the default hour SLAs are elapsed hours. Production business calendars and holiday rules remain configuration inputs.</w:t>
      </w:r>
    </w:p>
    <w:p>
      <w:r>
        <w:rPr>
          <w:color w:val="000000"/>
        </w:rPr>
        <w:t xml:space="preserve">Provide </w:t>
      </w:r>
      <w:r>
        <w:rPr>
          <w:b/>
          <w:color w:val="000000"/>
        </w:rPr>
        <w:t>Pause agent</w:t>
      </w:r>
      <w:r>
        <w:rPr>
          <w:color w:val="000000"/>
        </w:rPr>
        <w:t xml:space="preserve"> and </w:t>
      </w:r>
      <w:r>
        <w:rPr>
          <w:b/>
          <w:color w:val="000000"/>
        </w:rPr>
        <w:t>Pause pattern</w:t>
      </w:r>
      <w:r>
        <w:rPr>
          <w:color w:val="000000"/>
        </w:rPr>
        <w:t xml:space="preserve"> to AI Ops. Pending permitted actions fall back to the appropriate human queue with their evidence and drafts intact. Pausing cannot retract an already completed action. Resuming reevaluates outstanding gates and does not replay dispatched orders or signed decisions. AI Ops may lower automation immediately to contain an issue. Raising automation requires the Value Council.</w:t>
      </w:r>
    </w:p>
    <w:p>
      <w:r>
        <w:rPr>
          <w:color w:val="000000"/>
        </w:rPr>
        <w:t>Implement deterministic mock failures for ERP dispatch, screening and contract storage. Retry attempts have unique attempt IDs and the same idempotency key. Three failed attempts produce an incident and a fallback task. Unsupported rationale or stale sources blocks action and enters an audit sample. Counterparty chasers are mock events, not actual messages.</w:t>
      </w:r>
    </w:p>
    <w:p>
      <w:pPr>
        <w:pStyle w:val="Heading1"/>
      </w:pPr>
      <w:r>
        <w:t>13 Five primary stories and their builds</w:t>
      </w:r>
    </w:p>
    <w:p>
      <w:r>
        <w:rPr>
          <w:color w:val="000000"/>
        </w:rPr>
        <w:t>The second supplied source is a five-row story matrix. Preserve its listed order. Source row identifiers 6, 9, 4, 10 and 2 are not demo story numbers. Use ST01–ST05 for development and presenter controls, with business titles in normal navigation. These replace the previous demo's presenter stories.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816"/>
        <w:gridCol w:w="1008"/>
        <w:gridCol w:w="2808"/>
        <w:gridCol w:w="1584"/>
      </w:tblGrid>
      <w:tr>
        <w:trPr>
          <w:cantSplit/>
          <w:tblHeader/>
        </w:trPr>
        <w:tc>
          <w:tcPr>
            <w:tcW w:type="dxa" w:w="864"/>
            <w:vAlign w:val="center"/>
            <w:shd w:fill="18354B"/>
            <w:tcMar>
              <w:top w:w="80" w:type="dxa"/>
              <w:bottom w:w="80" w:type="dxa"/>
              <w:left w:w="90" w:type="dxa"/>
              <w:right w:w="90" w:type="dxa"/>
            </w:tcMar>
          </w:tcPr>
          <w:p>
            <w:pPr>
              <w:keepNext/>
              <w:spacing w:after="0" w:line="250" w:lineRule="auto"/>
              <w:jc w:val="center"/>
            </w:pPr>
            <w:r>
              <w:rPr>
                <w:b/>
                <w:color w:val="FFFFFF"/>
                <w:sz w:val="20"/>
              </w:rPr>
              <w:t>Story</w:t>
            </w:r>
          </w:p>
        </w:tc>
        <w:tc>
          <w:tcPr>
            <w:tcW w:type="dxa" w:w="3816"/>
            <w:vAlign w:val="center"/>
            <w:shd w:fill="18354B"/>
            <w:tcMar>
              <w:top w:w="80" w:type="dxa"/>
              <w:bottom w:w="80" w:type="dxa"/>
              <w:left w:w="90" w:type="dxa"/>
              <w:right w:w="90" w:type="dxa"/>
            </w:tcMar>
          </w:tcPr>
          <w:p>
            <w:pPr>
              <w:keepNext/>
              <w:spacing w:after="0" w:line="250" w:lineRule="auto"/>
            </w:pPr>
            <w:r>
              <w:rPr>
                <w:b/>
                <w:color w:val="FFFFFF"/>
                <w:sz w:val="20"/>
              </w:rPr>
              <w:t>Business title</w:t>
            </w:r>
          </w:p>
        </w:tc>
        <w:tc>
          <w:tcPr>
            <w:tcW w:type="dxa" w:w="1008"/>
            <w:vAlign w:val="center"/>
            <w:shd w:fill="18354B"/>
            <w:tcMar>
              <w:top w:w="80" w:type="dxa"/>
              <w:bottom w:w="80" w:type="dxa"/>
              <w:left w:w="90" w:type="dxa"/>
              <w:right w:w="90" w:type="dxa"/>
            </w:tcMar>
          </w:tcPr>
          <w:p>
            <w:pPr>
              <w:keepNext/>
              <w:spacing w:after="0" w:line="250" w:lineRule="auto"/>
            </w:pPr>
            <w:r>
              <w:rPr>
                <w:b/>
                <w:color w:val="FFFFFF"/>
                <w:sz w:val="20"/>
              </w:rPr>
              <w:t>Source row</w:t>
            </w:r>
          </w:p>
        </w:tc>
        <w:tc>
          <w:tcPr>
            <w:tcW w:type="dxa" w:w="2808"/>
            <w:vAlign w:val="center"/>
            <w:shd w:fill="18354B"/>
            <w:tcMar>
              <w:top w:w="80" w:type="dxa"/>
              <w:bottom w:w="80" w:type="dxa"/>
              <w:left w:w="90" w:type="dxa"/>
              <w:right w:w="90" w:type="dxa"/>
            </w:tcMar>
          </w:tcPr>
          <w:p>
            <w:pPr>
              <w:keepNext/>
              <w:spacing w:after="0" w:line="250" w:lineRule="auto"/>
            </w:pPr>
            <w:r>
              <w:rPr>
                <w:b/>
                <w:color w:val="FFFFFF"/>
                <w:sz w:val="20"/>
              </w:rPr>
              <w:t>TOM flows</w:t>
            </w:r>
          </w:p>
        </w:tc>
        <w:tc>
          <w:tcPr>
            <w:tcW w:type="dxa" w:w="1584"/>
            <w:vAlign w:val="center"/>
            <w:shd w:fill="18354B"/>
            <w:tcMar>
              <w:top w:w="80" w:type="dxa"/>
              <w:bottom w:w="80" w:type="dxa"/>
              <w:left w:w="90" w:type="dxa"/>
              <w:right w:w="90" w:type="dxa"/>
            </w:tcMar>
          </w:tcPr>
          <w:p>
            <w:pPr>
              <w:keepNext/>
              <w:spacing w:after="0" w:line="250" w:lineRule="auto"/>
            </w:pPr>
            <w:r>
              <w:rPr>
                <w:b/>
                <w:color w:val="FFFFFF"/>
                <w:sz w:val="20"/>
              </w:rPr>
              <w:t>Interventions</w:t>
            </w:r>
          </w:p>
        </w:tc>
      </w:tr>
      <w:tr>
        <w:trPr>
          <w:cantSplit/>
        </w:trPr>
        <w:tc>
          <w:tcPr>
            <w:tcW w:type="dxa" w:w="864"/>
            <w:vAlign w:val="center"/>
            <w:shd w:fill="FFFFFF"/>
            <w:tcMar>
              <w:top w:w="80" w:type="dxa"/>
              <w:bottom w:w="80" w:type="dxa"/>
              <w:left w:w="90" w:type="dxa"/>
              <w:right w:w="90" w:type="dxa"/>
            </w:tcMar>
          </w:tcPr>
          <w:p>
            <w:pPr>
              <w:spacing w:after="0" w:line="250" w:lineRule="auto"/>
              <w:jc w:val="center"/>
            </w:pPr>
            <w:r>
              <w:rPr>
                <w:color w:val="000000"/>
                <w:sz w:val="20"/>
              </w:rPr>
              <w:t>ST01</w:t>
            </w:r>
          </w:p>
        </w:tc>
        <w:tc>
          <w:tcPr>
            <w:tcW w:type="dxa" w:w="3816"/>
            <w:vAlign w:val="center"/>
            <w:shd w:fill="FFFFFF"/>
            <w:tcMar>
              <w:top w:w="80" w:type="dxa"/>
              <w:bottom w:w="80" w:type="dxa"/>
              <w:left w:w="90" w:type="dxa"/>
              <w:right w:w="90" w:type="dxa"/>
            </w:tcMar>
          </w:tcPr>
          <w:p>
            <w:pPr>
              <w:spacing w:after="0" w:line="250" w:lineRule="auto"/>
            </w:pPr>
            <w:r>
              <w:rPr>
                <w:color w:val="000000"/>
                <w:sz w:val="20"/>
              </w:rPr>
              <w:t>Reuse licences before buying</w:t>
            </w:r>
          </w:p>
        </w:tc>
        <w:tc>
          <w:tcPr>
            <w:tcW w:type="dxa" w:w="1008"/>
            <w:vAlign w:val="center"/>
            <w:shd w:fill="FFFFFF"/>
            <w:tcMar>
              <w:top w:w="80" w:type="dxa"/>
              <w:bottom w:w="80" w:type="dxa"/>
              <w:left w:w="90" w:type="dxa"/>
              <w:right w:w="90" w:type="dxa"/>
            </w:tcMar>
          </w:tcPr>
          <w:p>
            <w:pPr>
              <w:spacing w:after="0" w:line="250" w:lineRule="auto"/>
            </w:pPr>
            <w:r>
              <w:rPr>
                <w:color w:val="000000"/>
                <w:sz w:val="20"/>
              </w:rPr>
              <w:t>6</w:t>
            </w:r>
          </w:p>
        </w:tc>
        <w:tc>
          <w:tcPr>
            <w:tcW w:type="dxa" w:w="2808"/>
            <w:vAlign w:val="center"/>
            <w:shd w:fill="FFFFFF"/>
            <w:tcMar>
              <w:top w:w="80" w:type="dxa"/>
              <w:bottom w:w="80" w:type="dxa"/>
              <w:left w:w="90" w:type="dxa"/>
              <w:right w:w="90" w:type="dxa"/>
            </w:tcMar>
          </w:tcPr>
          <w:p>
            <w:pPr>
              <w:spacing w:after="0" w:line="250" w:lineRule="auto"/>
            </w:pPr>
            <w:r>
              <w:rPr>
                <w:color w:val="000000"/>
                <w:sz w:val="20"/>
              </w:rPr>
              <w:t>F0, F1, F5 and renewal branch F2</w:t>
            </w:r>
          </w:p>
        </w:tc>
        <w:tc>
          <w:tcPr>
            <w:tcW w:type="dxa" w:w="1584"/>
            <w:vAlign w:val="center"/>
            <w:shd w:fill="FFFFFF"/>
            <w:tcMar>
              <w:top w:w="80" w:type="dxa"/>
              <w:bottom w:w="80" w:type="dxa"/>
              <w:left w:w="90" w:type="dxa"/>
              <w:right w:w="90" w:type="dxa"/>
            </w:tcMar>
          </w:tcPr>
          <w:p>
            <w:pPr>
              <w:spacing w:after="0" w:line="250" w:lineRule="auto"/>
            </w:pPr>
            <w:r>
              <w:rPr>
                <w:color w:val="000000"/>
                <w:sz w:val="20"/>
              </w:rPr>
              <w:t>T2, T3, T6</w:t>
            </w:r>
          </w:p>
        </w:tc>
      </w:tr>
      <w:tr>
        <w:trPr>
          <w:cantSplit/>
        </w:trPr>
        <w:tc>
          <w:tcPr>
            <w:tcW w:type="dxa" w:w="864"/>
            <w:vAlign w:val="center"/>
            <w:shd w:fill="F3F6F8"/>
            <w:tcMar>
              <w:top w:w="80" w:type="dxa"/>
              <w:bottom w:w="80" w:type="dxa"/>
              <w:left w:w="90" w:type="dxa"/>
              <w:right w:w="90" w:type="dxa"/>
            </w:tcMar>
          </w:tcPr>
          <w:p>
            <w:pPr>
              <w:spacing w:after="0" w:line="250" w:lineRule="auto"/>
              <w:jc w:val="center"/>
            </w:pPr>
            <w:r>
              <w:rPr>
                <w:color w:val="000000"/>
                <w:sz w:val="20"/>
              </w:rPr>
              <w:t>ST02</w:t>
            </w:r>
          </w:p>
        </w:tc>
        <w:tc>
          <w:tcPr>
            <w:tcW w:type="dxa" w:w="3816"/>
            <w:vAlign w:val="center"/>
            <w:shd w:fill="F3F6F8"/>
            <w:tcMar>
              <w:top w:w="80" w:type="dxa"/>
              <w:bottom w:w="80" w:type="dxa"/>
              <w:left w:w="90" w:type="dxa"/>
              <w:right w:w="90" w:type="dxa"/>
            </w:tcMar>
          </w:tcPr>
          <w:p>
            <w:pPr>
              <w:spacing w:after="0" w:line="250" w:lineRule="auto"/>
            </w:pPr>
            <w:r>
              <w:rPr>
                <w:color w:val="000000"/>
                <w:sz w:val="20"/>
              </w:rPr>
              <w:t>Negotiate from quote evidence</w:t>
            </w:r>
          </w:p>
        </w:tc>
        <w:tc>
          <w:tcPr>
            <w:tcW w:type="dxa" w:w="1008"/>
            <w:vAlign w:val="center"/>
            <w:shd w:fill="F3F6F8"/>
            <w:tcMar>
              <w:top w:w="80" w:type="dxa"/>
              <w:bottom w:w="80" w:type="dxa"/>
              <w:left w:w="90" w:type="dxa"/>
              <w:right w:w="90" w:type="dxa"/>
            </w:tcMar>
          </w:tcPr>
          <w:p>
            <w:pPr>
              <w:spacing w:after="0" w:line="250" w:lineRule="auto"/>
            </w:pPr>
            <w:r>
              <w:rPr>
                <w:color w:val="000000"/>
                <w:sz w:val="20"/>
              </w:rPr>
              <w:t>9</w:t>
            </w:r>
          </w:p>
        </w:tc>
        <w:tc>
          <w:tcPr>
            <w:tcW w:type="dxa" w:w="2808"/>
            <w:vAlign w:val="center"/>
            <w:shd w:fill="F3F6F8"/>
            <w:tcMar>
              <w:top w:w="80" w:type="dxa"/>
              <w:bottom w:w="80" w:type="dxa"/>
              <w:left w:w="90" w:type="dxa"/>
              <w:right w:w="90" w:type="dxa"/>
            </w:tcMar>
          </w:tcPr>
          <w:p>
            <w:pPr>
              <w:spacing w:after="0" w:line="250" w:lineRule="auto"/>
            </w:pPr>
            <w:r>
              <w:rPr>
                <w:color w:val="000000"/>
                <w:sz w:val="20"/>
              </w:rPr>
              <w:t>F2, F1, F5</w:t>
            </w:r>
          </w:p>
        </w:tc>
        <w:tc>
          <w:tcPr>
            <w:tcW w:type="dxa" w:w="1584"/>
            <w:vAlign w:val="center"/>
            <w:shd w:fill="F3F6F8"/>
            <w:tcMar>
              <w:top w:w="80" w:type="dxa"/>
              <w:bottom w:w="80" w:type="dxa"/>
              <w:left w:w="90" w:type="dxa"/>
              <w:right w:w="90" w:type="dxa"/>
            </w:tcMar>
          </w:tcPr>
          <w:p>
            <w:pPr>
              <w:spacing w:after="0" w:line="250" w:lineRule="auto"/>
            </w:pPr>
            <w:r>
              <w:rPr>
                <w:color w:val="000000"/>
                <w:sz w:val="20"/>
              </w:rPr>
              <w:t>T4, T6</w:t>
            </w:r>
          </w:p>
        </w:tc>
      </w:tr>
      <w:tr>
        <w:trPr>
          <w:cantSplit/>
        </w:trPr>
        <w:tc>
          <w:tcPr>
            <w:tcW w:type="dxa" w:w="864"/>
            <w:vAlign w:val="center"/>
            <w:shd w:fill="FFFFFF"/>
            <w:tcMar>
              <w:top w:w="80" w:type="dxa"/>
              <w:bottom w:w="80" w:type="dxa"/>
              <w:left w:w="90" w:type="dxa"/>
              <w:right w:w="90" w:type="dxa"/>
            </w:tcMar>
          </w:tcPr>
          <w:p>
            <w:pPr>
              <w:spacing w:after="0" w:line="250" w:lineRule="auto"/>
              <w:jc w:val="center"/>
            </w:pPr>
            <w:r>
              <w:rPr>
                <w:color w:val="000000"/>
                <w:sz w:val="20"/>
              </w:rPr>
              <w:t>ST03</w:t>
            </w:r>
          </w:p>
        </w:tc>
        <w:tc>
          <w:tcPr>
            <w:tcW w:type="dxa" w:w="3816"/>
            <w:vAlign w:val="center"/>
            <w:shd w:fill="FFFFFF"/>
            <w:tcMar>
              <w:top w:w="80" w:type="dxa"/>
              <w:bottom w:w="80" w:type="dxa"/>
              <w:left w:w="90" w:type="dxa"/>
              <w:right w:w="90" w:type="dxa"/>
            </w:tcMar>
          </w:tcPr>
          <w:p>
            <w:pPr>
              <w:spacing w:after="0" w:line="250" w:lineRule="auto"/>
            </w:pPr>
            <w:r>
              <w:rPr>
                <w:color w:val="000000"/>
                <w:sz w:val="20"/>
              </w:rPr>
              <w:t>Check the panel before onboarding</w:t>
            </w:r>
          </w:p>
        </w:tc>
        <w:tc>
          <w:tcPr>
            <w:tcW w:type="dxa" w:w="1008"/>
            <w:vAlign w:val="center"/>
            <w:shd w:fill="FFFFFF"/>
            <w:tcMar>
              <w:top w:w="80" w:type="dxa"/>
              <w:bottom w:w="80" w:type="dxa"/>
              <w:left w:w="90" w:type="dxa"/>
              <w:right w:w="90" w:type="dxa"/>
            </w:tcMar>
          </w:tcPr>
          <w:p>
            <w:pPr>
              <w:spacing w:after="0" w:line="250" w:lineRule="auto"/>
            </w:pPr>
            <w:r>
              <w:rPr>
                <w:color w:val="000000"/>
                <w:sz w:val="20"/>
              </w:rPr>
              <w:t>4</w:t>
            </w:r>
          </w:p>
        </w:tc>
        <w:tc>
          <w:tcPr>
            <w:tcW w:type="dxa" w:w="2808"/>
            <w:vAlign w:val="center"/>
            <w:shd w:fill="FFFFFF"/>
            <w:tcMar>
              <w:top w:w="80" w:type="dxa"/>
              <w:bottom w:w="80" w:type="dxa"/>
              <w:left w:w="90" w:type="dxa"/>
              <w:right w:w="90" w:type="dxa"/>
            </w:tcMar>
          </w:tcPr>
          <w:p>
            <w:pPr>
              <w:spacing w:after="0" w:line="250" w:lineRule="auto"/>
            </w:pPr>
            <w:r>
              <w:rPr>
                <w:color w:val="000000"/>
                <w:sz w:val="20"/>
              </w:rPr>
              <w:t>F4, F1 and new-supplier branch</w:t>
            </w:r>
          </w:p>
        </w:tc>
        <w:tc>
          <w:tcPr>
            <w:tcW w:type="dxa" w:w="1584"/>
            <w:vAlign w:val="center"/>
            <w:shd w:fill="FFFFFF"/>
            <w:tcMar>
              <w:top w:w="80" w:type="dxa"/>
              <w:bottom w:w="80" w:type="dxa"/>
              <w:left w:w="90" w:type="dxa"/>
              <w:right w:w="90" w:type="dxa"/>
            </w:tcMar>
          </w:tcPr>
          <w:p>
            <w:pPr>
              <w:spacing w:after="0" w:line="250" w:lineRule="auto"/>
            </w:pPr>
            <w:r>
              <w:rPr>
                <w:color w:val="000000"/>
                <w:sz w:val="20"/>
              </w:rPr>
              <w:t>T3, T1</w:t>
            </w:r>
          </w:p>
        </w:tc>
      </w:tr>
      <w:tr>
        <w:trPr>
          <w:cantSplit/>
        </w:trPr>
        <w:tc>
          <w:tcPr>
            <w:tcW w:type="dxa" w:w="864"/>
            <w:vAlign w:val="center"/>
            <w:shd w:fill="F3F6F8"/>
            <w:tcMar>
              <w:top w:w="80" w:type="dxa"/>
              <w:bottom w:w="80" w:type="dxa"/>
              <w:left w:w="90" w:type="dxa"/>
              <w:right w:w="90" w:type="dxa"/>
            </w:tcMar>
          </w:tcPr>
          <w:p>
            <w:pPr>
              <w:spacing w:after="0" w:line="250" w:lineRule="auto"/>
              <w:jc w:val="center"/>
            </w:pPr>
            <w:r>
              <w:rPr>
                <w:color w:val="000000"/>
                <w:sz w:val="20"/>
              </w:rPr>
              <w:t>ST04</w:t>
            </w:r>
          </w:p>
        </w:tc>
        <w:tc>
          <w:tcPr>
            <w:tcW w:type="dxa" w:w="3816"/>
            <w:vAlign w:val="center"/>
            <w:shd w:fill="F3F6F8"/>
            <w:tcMar>
              <w:top w:w="80" w:type="dxa"/>
              <w:bottom w:w="80" w:type="dxa"/>
              <w:left w:w="90" w:type="dxa"/>
              <w:right w:w="90" w:type="dxa"/>
            </w:tcMar>
          </w:tcPr>
          <w:p>
            <w:pPr>
              <w:spacing w:after="0" w:line="250" w:lineRule="auto"/>
            </w:pPr>
            <w:r>
              <w:rPr>
                <w:color w:val="000000"/>
                <w:sz w:val="20"/>
              </w:rPr>
              <w:t>Resolve contract deviations</w:t>
            </w:r>
          </w:p>
        </w:tc>
        <w:tc>
          <w:tcPr>
            <w:tcW w:type="dxa" w:w="1008"/>
            <w:vAlign w:val="center"/>
            <w:shd w:fill="F3F6F8"/>
            <w:tcMar>
              <w:top w:w="80" w:type="dxa"/>
              <w:bottom w:w="80" w:type="dxa"/>
              <w:left w:w="90" w:type="dxa"/>
              <w:right w:w="90" w:type="dxa"/>
            </w:tcMar>
          </w:tcPr>
          <w:p>
            <w:pPr>
              <w:spacing w:after="0" w:line="250" w:lineRule="auto"/>
            </w:pPr>
            <w:r>
              <w:rPr>
                <w:color w:val="000000"/>
                <w:sz w:val="20"/>
              </w:rPr>
              <w:t>10</w:t>
            </w:r>
          </w:p>
        </w:tc>
        <w:tc>
          <w:tcPr>
            <w:tcW w:type="dxa" w:w="2808"/>
            <w:vAlign w:val="center"/>
            <w:shd w:fill="F3F6F8"/>
            <w:tcMar>
              <w:top w:w="80" w:type="dxa"/>
              <w:bottom w:w="80" w:type="dxa"/>
              <w:left w:w="90" w:type="dxa"/>
              <w:right w:w="90" w:type="dxa"/>
            </w:tcMar>
          </w:tcPr>
          <w:p>
            <w:pPr>
              <w:spacing w:after="0" w:line="250" w:lineRule="auto"/>
            </w:pPr>
            <w:r>
              <w:rPr>
                <w:color w:val="000000"/>
                <w:sz w:val="20"/>
              </w:rPr>
              <w:t>F3, F1, F5 governance</w:t>
            </w:r>
          </w:p>
        </w:tc>
        <w:tc>
          <w:tcPr>
            <w:tcW w:type="dxa" w:w="1584"/>
            <w:vAlign w:val="center"/>
            <w:shd w:fill="F3F6F8"/>
            <w:tcMar>
              <w:top w:w="80" w:type="dxa"/>
              <w:bottom w:w="80" w:type="dxa"/>
              <w:left w:w="90" w:type="dxa"/>
              <w:right w:w="90" w:type="dxa"/>
            </w:tcMar>
          </w:tcPr>
          <w:p>
            <w:pPr>
              <w:spacing w:after="0" w:line="250" w:lineRule="auto"/>
            </w:pPr>
            <w:r>
              <w:rPr>
                <w:color w:val="000000"/>
                <w:sz w:val="20"/>
              </w:rPr>
              <w:t>T5</w:t>
            </w:r>
          </w:p>
        </w:tc>
      </w:tr>
      <w:tr>
        <w:trPr>
          <w:cantSplit/>
        </w:trPr>
        <w:tc>
          <w:tcPr>
            <w:tcW w:type="dxa" w:w="864"/>
            <w:vAlign w:val="center"/>
            <w:shd w:fill="FFFFFF"/>
            <w:tcMar>
              <w:top w:w="80" w:type="dxa"/>
              <w:bottom w:w="80" w:type="dxa"/>
              <w:left w:w="90" w:type="dxa"/>
              <w:right w:w="90" w:type="dxa"/>
            </w:tcMar>
          </w:tcPr>
          <w:p>
            <w:pPr>
              <w:spacing w:after="0" w:line="250" w:lineRule="auto"/>
              <w:jc w:val="center"/>
            </w:pPr>
            <w:r>
              <w:rPr>
                <w:color w:val="000000"/>
                <w:sz w:val="20"/>
              </w:rPr>
              <w:t>ST05</w:t>
            </w:r>
          </w:p>
        </w:tc>
        <w:tc>
          <w:tcPr>
            <w:tcW w:type="dxa" w:w="3816"/>
            <w:vAlign w:val="center"/>
            <w:shd w:fill="FFFFFF"/>
            <w:tcMar>
              <w:top w:w="80" w:type="dxa"/>
              <w:bottom w:w="80" w:type="dxa"/>
              <w:left w:w="90" w:type="dxa"/>
              <w:right w:w="90" w:type="dxa"/>
            </w:tcMar>
          </w:tcPr>
          <w:p>
            <w:pPr>
              <w:spacing w:after="0" w:line="250" w:lineRule="auto"/>
            </w:pPr>
            <w:r>
              <w:rPr>
                <w:color w:val="000000"/>
                <w:sz w:val="20"/>
              </w:rPr>
              <w:t>Challenge a named specification</w:t>
            </w:r>
          </w:p>
        </w:tc>
        <w:tc>
          <w:tcPr>
            <w:tcW w:type="dxa" w:w="1008"/>
            <w:vAlign w:val="center"/>
            <w:shd w:fill="FFFFFF"/>
            <w:tcMar>
              <w:top w:w="80" w:type="dxa"/>
              <w:bottom w:w="80" w:type="dxa"/>
              <w:left w:w="90" w:type="dxa"/>
              <w:right w:w="90" w:type="dxa"/>
            </w:tcMar>
          </w:tcPr>
          <w:p>
            <w:pPr>
              <w:spacing w:after="0" w:line="250" w:lineRule="auto"/>
            </w:pPr>
            <w:r>
              <w:rPr>
                <w:color w:val="000000"/>
                <w:sz w:val="20"/>
              </w:rPr>
              <w:t>2</w:t>
            </w:r>
          </w:p>
        </w:tc>
        <w:tc>
          <w:tcPr>
            <w:tcW w:type="dxa" w:w="2808"/>
            <w:vAlign w:val="center"/>
            <w:shd w:fill="FFFFFF"/>
            <w:tcMar>
              <w:top w:w="80" w:type="dxa"/>
              <w:bottom w:w="80" w:type="dxa"/>
              <w:left w:w="90" w:type="dxa"/>
              <w:right w:w="90" w:type="dxa"/>
            </w:tcMar>
          </w:tcPr>
          <w:p>
            <w:pPr>
              <w:spacing w:after="0" w:line="250" w:lineRule="auto"/>
            </w:pPr>
            <w:r>
              <w:rPr>
                <w:color w:val="000000"/>
                <w:sz w:val="20"/>
              </w:rPr>
              <w:t>F1, F2, F5</w:t>
            </w:r>
          </w:p>
        </w:tc>
        <w:tc>
          <w:tcPr>
            <w:tcW w:type="dxa" w:w="1584"/>
            <w:vAlign w:val="center"/>
            <w:shd w:fill="FFFFFF"/>
            <w:tcMar>
              <w:top w:w="80" w:type="dxa"/>
              <w:bottom w:w="80" w:type="dxa"/>
              <w:left w:w="90" w:type="dxa"/>
              <w:right w:w="90" w:type="dxa"/>
            </w:tcMar>
          </w:tcPr>
          <w:p>
            <w:pPr>
              <w:spacing w:after="0" w:line="250" w:lineRule="auto"/>
            </w:pPr>
            <w:r>
              <w:rPr>
                <w:color w:val="000000"/>
                <w:sz w:val="20"/>
              </w:rPr>
              <w:t>T4, T2</w:t>
            </w:r>
          </w:p>
        </w:tc>
      </w:tr>
    </w:tbl>
    <w:p>
      <w:pPr>
        <w:spacing w:after="20"/>
      </w:pPr>
    </w:p>
    <w:p>
      <w:r>
        <w:rPr>
          <w:color w:val="000000"/>
        </w:rPr>
        <w:t>Story choices launch actual cases from New Request or linked work items. They must not create five explanatory landing pages. Each story has a successful path and executable hold/exception branches. The source's 60%, 45%, 50%, 40% and 35% touchless shares are illustrative planning assumptions. Do not present them as measured results from five scripted cases.</w:t>
      </w:r>
    </w:p>
    <w:p>
      <w:pPr>
        <w:pStyle w:val="Heading2"/>
      </w:pPr>
      <w:r>
        <w:t>13 1 ST01 Reuse licences before buying</w:t>
      </w:r>
    </w:p>
    <w:p>
      <w:r>
        <w:rPr>
          <w:b/>
          <w:color w:val="000000"/>
        </w:rPr>
        <w:t>Trigger and fixtures.</w:t>
      </w:r>
      <w:r>
        <w:rPr>
          <w:color w:val="000000"/>
        </w:rPr>
        <w:t xml:space="preserve"> A Gaydon engineering team asks for 20 additional Engineering Viewer Enterprise seats for the same annual period. This is a fictional application, SKU </w:t>
      </w:r>
      <w:r>
        <w:rPr>
          <w:rFonts w:ascii="Consolas" w:hAnsi="Consolas"/>
          <w:color w:val="000000"/>
          <w:sz w:val="20"/>
        </w:rPr>
        <w:t>SW-EVIEW-STD-ANNUAL</w:t>
      </w:r>
      <w:r>
        <w:rPr>
          <w:color w:val="000000"/>
        </w:rPr>
        <w:t xml:space="preserve">, priced at £120 per seat-year. Original demand is £2,400. Snapshot </w:t>
      </w:r>
      <w:r>
        <w:rPr>
          <w:rFonts w:ascii="Consolas" w:hAnsi="Consolas"/>
          <w:color w:val="000000"/>
          <w:sz w:val="20"/>
        </w:rPr>
        <w:t>SAM-2026-1007</w:t>
      </w:r>
      <w:r>
        <w:rPr>
          <w:color w:val="000000"/>
        </w:rPr>
        <w:t xml:space="preserve"> shows six inactive same-tier seats in an Application Owner-approved pool, a fresh entitlement record, compatible role requirements and renewal in 60 days. The recommendation is six reassignments plus 14 purchased seats at £1,680. Administration costs £20. Net avoided cost is £700, or 29.17% of the original request.</w:t>
      </w:r>
    </w:p>
    <w:p>
      <w:r>
        <w:rPr>
          <w:color w:val="000000"/>
        </w:rPr>
        <w:t xml:space="preserve">Open My Desk, choose New Request and the licence example. Use the existing original-message, agent-work and structured-request layout. Fill application, tier, users, site, service period, purpose and quantity. Submit creates </w:t>
      </w:r>
      <w:r>
        <w:rPr>
          <w:rFonts w:ascii="Consolas" w:hAnsi="Consolas"/>
          <w:color w:val="000000"/>
          <w:sz w:val="20"/>
        </w:rPr>
        <w:t>CASE-ST01-001</w:t>
      </w:r>
      <w:r>
        <w:rPr>
          <w:color w:val="000000"/>
        </w:rPr>
        <w:t xml:space="preserve"> and </w:t>
      </w:r>
      <w:r>
        <w:rPr>
          <w:rFonts w:ascii="Consolas" w:hAnsi="Consolas"/>
          <w:color w:val="000000"/>
          <w:sz w:val="20"/>
        </w:rPr>
        <w:t>PR-AP-1001</w:t>
      </w:r>
      <w:r>
        <w:rPr>
          <w:color w:val="000000"/>
        </w:rPr>
        <w:t>; it does not immediately buy licences.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800"/>
        <w:gridCol w:w="3888"/>
        <w:gridCol w:w="3744"/>
      </w:tblGrid>
      <w:tr>
        <w:trPr>
          <w:cantSplit/>
          <w:tblHeader/>
        </w:trPr>
        <w:tc>
          <w:tcPr>
            <w:tcW w:type="dxa" w:w="648"/>
            <w:vAlign w:val="center"/>
            <w:shd w:fill="18354B"/>
            <w:tcMar>
              <w:top w:w="80" w:type="dxa"/>
              <w:bottom w:w="80" w:type="dxa"/>
              <w:left w:w="90" w:type="dxa"/>
              <w:right w:w="90" w:type="dxa"/>
            </w:tcMar>
          </w:tcPr>
          <w:p>
            <w:pPr>
              <w:keepNext/>
              <w:spacing w:after="0" w:line="250" w:lineRule="auto"/>
              <w:jc w:val="center"/>
            </w:pPr>
            <w:r>
              <w:rPr>
                <w:b/>
                <w:color w:val="FFFFFF"/>
                <w:sz w:val="20"/>
              </w:rPr>
              <w:t>Beat</w:t>
            </w:r>
          </w:p>
        </w:tc>
        <w:tc>
          <w:tcPr>
            <w:tcW w:type="dxa" w:w="1800"/>
            <w:vAlign w:val="center"/>
            <w:shd w:fill="18354B"/>
            <w:tcMar>
              <w:top w:w="80" w:type="dxa"/>
              <w:bottom w:w="80" w:type="dxa"/>
              <w:left w:w="90" w:type="dxa"/>
              <w:right w:w="90" w:type="dxa"/>
            </w:tcMar>
          </w:tcPr>
          <w:p>
            <w:pPr>
              <w:keepNext/>
              <w:spacing w:after="0" w:line="250" w:lineRule="auto"/>
            </w:pPr>
            <w:r>
              <w:rPr>
                <w:b/>
                <w:color w:val="FFFFFF"/>
                <w:sz w:val="20"/>
              </w:rPr>
              <w:t>Action</w:t>
            </w:r>
          </w:p>
        </w:tc>
        <w:tc>
          <w:tcPr>
            <w:tcW w:type="dxa" w:w="3888"/>
            <w:vAlign w:val="center"/>
            <w:shd w:fill="18354B"/>
            <w:tcMar>
              <w:top w:w="80" w:type="dxa"/>
              <w:bottom w:w="80" w:type="dxa"/>
              <w:left w:w="90" w:type="dxa"/>
              <w:right w:w="90" w:type="dxa"/>
            </w:tcMar>
          </w:tcPr>
          <w:p>
            <w:pPr>
              <w:keepNext/>
              <w:spacing w:after="0" w:line="250" w:lineRule="auto"/>
            </w:pPr>
            <w:r>
              <w:rPr>
                <w:b/>
                <w:color w:val="FFFFFF"/>
                <w:sz w:val="20"/>
              </w:rPr>
              <w:t>Visible result and state change</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Component plan</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1</w:t>
            </w:r>
          </w:p>
        </w:tc>
        <w:tc>
          <w:tcPr>
            <w:tcW w:type="dxa" w:w="1800"/>
            <w:vAlign w:val="center"/>
            <w:shd w:fill="FFFFFF"/>
            <w:tcMar>
              <w:top w:w="80" w:type="dxa"/>
              <w:bottom w:w="80" w:type="dxa"/>
              <w:left w:w="90" w:type="dxa"/>
              <w:right w:w="90" w:type="dxa"/>
            </w:tcMar>
          </w:tcPr>
          <w:p>
            <w:pPr>
              <w:spacing w:after="0" w:line="250" w:lineRule="auto"/>
            </w:pPr>
            <w:r>
              <w:rPr>
                <w:color w:val="000000"/>
                <w:sz w:val="20"/>
              </w:rPr>
              <w:t>Submit request</w:t>
            </w:r>
          </w:p>
        </w:tc>
        <w:tc>
          <w:tcPr>
            <w:tcW w:type="dxa" w:w="3888"/>
            <w:vAlign w:val="center"/>
            <w:shd w:fill="FFFFFF"/>
            <w:tcMar>
              <w:top w:w="80" w:type="dxa"/>
              <w:bottom w:w="80" w:type="dxa"/>
              <w:left w:w="90" w:type="dxa"/>
              <w:right w:w="90" w:type="dxa"/>
            </w:tcMar>
          </w:tcPr>
          <w:p>
            <w:pPr>
              <w:spacing w:after="0" w:line="250" w:lineRule="auto"/>
            </w:pPr>
            <w:r>
              <w:rPr>
                <w:color w:val="000000"/>
                <w:sz w:val="20"/>
              </w:rPr>
              <w:t>Structured draft becomes a case and PR</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Reuse </w:t>
            </w:r>
            <w:r>
              <w:rPr>
                <w:rFonts w:ascii="Consolas" w:hAnsi="Consolas"/>
                <w:color w:val="000000"/>
                <w:sz w:val="19"/>
              </w:rPr>
              <w:t>IntakeConsole</w:t>
            </w:r>
            <w:r>
              <w:rPr>
                <w:color w:val="000000"/>
                <w:sz w:val="20"/>
              </w:rPr>
              <w:t xml:space="preserve">, </w:t>
            </w:r>
            <w:r>
              <w:rPr>
                <w:rFonts w:ascii="Consolas" w:hAnsi="Consolas"/>
                <w:color w:val="000000"/>
                <w:sz w:val="19"/>
              </w:rPr>
              <w:t>PrFormPanel</w:t>
            </w:r>
            <w:r>
              <w:rPr>
                <w:color w:val="000000"/>
                <w:sz w:val="20"/>
              </w:rPr>
              <w:t xml:space="preserve">, </w:t>
            </w:r>
            <w:r>
              <w:rPr>
                <w:rFonts w:ascii="Consolas" w:hAnsi="Consolas"/>
                <w:color w:val="000000"/>
                <w:sz w:val="19"/>
              </w:rPr>
              <w:t>ExtractionWizard</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2</w:t>
            </w:r>
          </w:p>
        </w:tc>
        <w:tc>
          <w:tcPr>
            <w:tcW w:type="dxa" w:w="1800"/>
            <w:vAlign w:val="center"/>
            <w:shd w:fill="F3F6F8"/>
            <w:tcMar>
              <w:top w:w="80" w:type="dxa"/>
              <w:bottom w:w="80" w:type="dxa"/>
              <w:left w:w="90" w:type="dxa"/>
              <w:right w:w="90" w:type="dxa"/>
            </w:tcMar>
          </w:tcPr>
          <w:p>
            <w:pPr>
              <w:spacing w:after="0" w:line="250" w:lineRule="auto"/>
            </w:pPr>
            <w:r>
              <w:rPr>
                <w:color w:val="000000"/>
                <w:sz w:val="20"/>
              </w:rPr>
              <w:t>Read entitlement sources</w:t>
            </w:r>
          </w:p>
        </w:tc>
        <w:tc>
          <w:tcPr>
            <w:tcW w:type="dxa" w:w="3888"/>
            <w:vAlign w:val="center"/>
            <w:shd w:fill="F3F6F8"/>
            <w:tcMar>
              <w:top w:w="80" w:type="dxa"/>
              <w:bottom w:w="80" w:type="dxa"/>
              <w:left w:w="90" w:type="dxa"/>
              <w:right w:w="90" w:type="dxa"/>
            </w:tcMar>
          </w:tcPr>
          <w:p>
            <w:pPr>
              <w:spacing w:after="0" w:line="250" w:lineRule="auto"/>
            </w:pPr>
            <w:r>
              <w:rPr>
                <w:color w:val="000000"/>
                <w:sz w:val="20"/>
              </w:rPr>
              <w:t>Owned, assigned, idle and reusable seats reveal with snapshot time</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LicenceEvidencePanel</w:t>
            </w:r>
            <w:r>
              <w:rPr>
                <w:color w:val="000000"/>
                <w:sz w:val="20"/>
              </w:rPr>
              <w:t xml:space="preserve"> in existing </w:t>
            </w:r>
            <w:r>
              <w:rPr>
                <w:rFonts w:ascii="Consolas" w:hAnsi="Consolas"/>
                <w:color w:val="000000"/>
                <w:sz w:val="19"/>
              </w:rPr>
              <w:t>Panel</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3</w:t>
            </w:r>
          </w:p>
        </w:tc>
        <w:tc>
          <w:tcPr>
            <w:tcW w:type="dxa" w:w="1800"/>
            <w:vAlign w:val="center"/>
            <w:shd w:fill="FFFFFF"/>
            <w:tcMar>
              <w:top w:w="80" w:type="dxa"/>
              <w:bottom w:w="80" w:type="dxa"/>
              <w:left w:w="90" w:type="dxa"/>
              <w:right w:w="90" w:type="dxa"/>
            </w:tcMar>
          </w:tcPr>
          <w:p>
            <w:pPr>
              <w:spacing w:after="0" w:line="250" w:lineRule="auto"/>
            </w:pPr>
            <w:r>
              <w:rPr>
                <w:color w:val="000000"/>
                <w:sz w:val="20"/>
              </w:rPr>
              <w:t>Review allocation</w:t>
            </w:r>
          </w:p>
        </w:tc>
        <w:tc>
          <w:tcPr>
            <w:tcW w:type="dxa" w:w="3888"/>
            <w:vAlign w:val="center"/>
            <w:shd w:fill="FFFFFF"/>
            <w:tcMar>
              <w:top w:w="80" w:type="dxa"/>
              <w:bottom w:w="80" w:type="dxa"/>
              <w:left w:w="90" w:type="dxa"/>
              <w:right w:w="90" w:type="dxa"/>
            </w:tcMar>
          </w:tcPr>
          <w:p>
            <w:pPr>
              <w:spacing w:after="0" w:line="250" w:lineRule="auto"/>
            </w:pPr>
            <w:r>
              <w:rPr>
                <w:color w:val="000000"/>
                <w:sz w:val="20"/>
              </w:rPr>
              <w:t>20 seats divide into six reuse and 14 buy; price becomes £1,680</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ReuseBuyAllocation</w:t>
            </w:r>
            <w:r>
              <w:rPr>
                <w:color w:val="000000"/>
                <w:sz w:val="20"/>
              </w:rPr>
              <w:t xml:space="preserve">, reuse </w:t>
            </w:r>
            <w:r>
              <w:rPr>
                <w:rFonts w:ascii="Consolas" w:hAnsi="Consolas"/>
                <w:color w:val="000000"/>
                <w:sz w:val="19"/>
              </w:rPr>
              <w:t>CountUp</w:t>
            </w:r>
            <w:r>
              <w:rPr>
                <w:color w:val="000000"/>
                <w:sz w:val="20"/>
              </w:rPr>
              <w:t xml:space="preserve"> and </w:t>
            </w:r>
            <w:r>
              <w:rPr>
                <w:rFonts w:ascii="Consolas" w:hAnsi="Consolas"/>
                <w:color w:val="000000"/>
                <w:sz w:val="19"/>
              </w:rPr>
              <w:t>SpringIn</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4</w:t>
            </w:r>
          </w:p>
        </w:tc>
        <w:tc>
          <w:tcPr>
            <w:tcW w:type="dxa" w:w="1800"/>
            <w:vAlign w:val="center"/>
            <w:shd w:fill="F3F6F8"/>
            <w:tcMar>
              <w:top w:w="80" w:type="dxa"/>
              <w:bottom w:w="80" w:type="dxa"/>
              <w:left w:w="90" w:type="dxa"/>
              <w:right w:w="90" w:type="dxa"/>
            </w:tcMar>
          </w:tcPr>
          <w:p>
            <w:pPr>
              <w:spacing w:after="0" w:line="250" w:lineRule="auto"/>
            </w:pPr>
            <w:r>
              <w:rPr>
                <w:color w:val="000000"/>
                <w:sz w:val="20"/>
              </w:rPr>
              <w:t>Confirm mixed route as Buy Desk</w:t>
            </w:r>
          </w:p>
        </w:tc>
        <w:tc>
          <w:tcPr>
            <w:tcW w:type="dxa" w:w="3888"/>
            <w:vAlign w:val="center"/>
            <w:shd w:fill="F3F6F8"/>
            <w:tcMar>
              <w:top w:w="80" w:type="dxa"/>
              <w:bottom w:w="80" w:type="dxa"/>
              <w:left w:w="90" w:type="dxa"/>
              <w:right w:w="90" w:type="dxa"/>
            </w:tcMar>
          </w:tcPr>
          <w:p>
            <w:pPr>
              <w:spacing w:after="0" w:line="250" w:lineRule="auto"/>
            </w:pPr>
            <w:r>
              <w:rPr>
                <w:color w:val="000000"/>
                <w:sz w:val="20"/>
              </w:rPr>
              <w:t>Six seat IDs reserved; purchase quantity becomes 14</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AllocationConfirm</w:t>
            </w:r>
            <w:r>
              <w:rPr>
                <w:color w:val="000000"/>
                <w:sz w:val="20"/>
              </w:rPr>
              <w:t>, reuse decision/handoff shell</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5</w:t>
            </w:r>
          </w:p>
        </w:tc>
        <w:tc>
          <w:tcPr>
            <w:tcW w:type="dxa" w:w="1800"/>
            <w:vAlign w:val="center"/>
            <w:shd w:fill="FFFFFF"/>
            <w:tcMar>
              <w:top w:w="80" w:type="dxa"/>
              <w:bottom w:w="80" w:type="dxa"/>
              <w:left w:w="90" w:type="dxa"/>
              <w:right w:w="90" w:type="dxa"/>
            </w:tcMar>
          </w:tcPr>
          <w:p>
            <w:pPr>
              <w:spacing w:after="0" w:line="250" w:lineRule="auto"/>
            </w:pPr>
            <w:r>
              <w:rPr>
                <w:color w:val="000000"/>
                <w:sz w:val="20"/>
              </w:rPr>
              <w:t>Fulfil reuse and release buy</w:t>
            </w:r>
          </w:p>
        </w:tc>
        <w:tc>
          <w:tcPr>
            <w:tcW w:type="dxa" w:w="3888"/>
            <w:vAlign w:val="center"/>
            <w:shd w:fill="FFFFFF"/>
            <w:tcMar>
              <w:top w:w="80" w:type="dxa"/>
              <w:bottom w:w="80" w:type="dxa"/>
              <w:left w:w="90" w:type="dxa"/>
              <w:right w:w="90" w:type="dxa"/>
            </w:tcMar>
          </w:tcPr>
          <w:p>
            <w:pPr>
              <w:spacing w:after="0" w:line="250" w:lineRule="auto"/>
            </w:pPr>
            <w:r>
              <w:rPr>
                <w:color w:val="000000"/>
                <w:sz w:val="20"/>
              </w:rPr>
              <w:t>Mock reassignment records and approved 14-seat PO appear</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InternalFulfilmentCard</w:t>
            </w:r>
            <w:r>
              <w:rPr>
                <w:color w:val="000000"/>
                <w:sz w:val="20"/>
              </w:rPr>
              <w:t>, reuse PO/source documents</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6</w:t>
            </w:r>
          </w:p>
        </w:tc>
        <w:tc>
          <w:tcPr>
            <w:tcW w:type="dxa" w:w="1800"/>
            <w:vAlign w:val="center"/>
            <w:shd w:fill="F3F6F8"/>
            <w:tcMar>
              <w:top w:w="80" w:type="dxa"/>
              <w:bottom w:w="80" w:type="dxa"/>
              <w:left w:w="90" w:type="dxa"/>
              <w:right w:w="90" w:type="dxa"/>
            </w:tcMar>
          </w:tcPr>
          <w:p>
            <w:pPr>
              <w:spacing w:after="0" w:line="250" w:lineRule="auto"/>
            </w:pPr>
            <w:r>
              <w:rPr>
                <w:color w:val="000000"/>
                <w:sz w:val="20"/>
              </w:rPr>
              <w:t>Receive invoice and verify access</w:t>
            </w:r>
          </w:p>
        </w:tc>
        <w:tc>
          <w:tcPr>
            <w:tcW w:type="dxa" w:w="3888"/>
            <w:vAlign w:val="center"/>
            <w:shd w:fill="F3F6F8"/>
            <w:tcMar>
              <w:top w:w="80" w:type="dxa"/>
              <w:bottom w:w="80" w:type="dxa"/>
              <w:left w:w="90" w:type="dxa"/>
              <w:right w:w="90" w:type="dxa"/>
            </w:tcMar>
          </w:tcPr>
          <w:p>
            <w:pPr>
              <w:spacing w:after="0" w:line="250" w:lineRule="auto"/>
            </w:pPr>
            <w:r>
              <w:rPr>
                <w:color w:val="000000"/>
                <w:sz w:val="20"/>
              </w:rPr>
              <w:t>£1,680 invoice plus assignment evidence supports all 20 users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Reuse matching grid, new entitlement evidence rows</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7</w:t>
            </w:r>
          </w:p>
        </w:tc>
        <w:tc>
          <w:tcPr>
            <w:tcW w:type="dxa" w:w="1800"/>
            <w:vAlign w:val="center"/>
            <w:shd w:fill="FFFFFF"/>
            <w:tcMar>
              <w:top w:w="80" w:type="dxa"/>
              <w:bottom w:w="80" w:type="dxa"/>
              <w:left w:w="90" w:type="dxa"/>
              <w:right w:w="90" w:type="dxa"/>
            </w:tcMar>
          </w:tcPr>
          <w:p>
            <w:pPr>
              <w:spacing w:after="0" w:line="250" w:lineRule="auto"/>
            </w:pPr>
            <w:r>
              <w:rPr>
                <w:color w:val="000000"/>
                <w:sz w:val="20"/>
              </w:rPr>
              <w:t>Finance signs avoided cost</w:t>
            </w:r>
          </w:p>
        </w:tc>
        <w:tc>
          <w:tcPr>
            <w:tcW w:type="dxa" w:w="3888"/>
            <w:vAlign w:val="center"/>
            <w:shd w:fill="FFFFFF"/>
            <w:tcMar>
              <w:top w:w="80" w:type="dxa"/>
              <w:bottom w:w="80" w:type="dxa"/>
              <w:left w:w="90" w:type="dxa"/>
              <w:right w:w="90" w:type="dxa"/>
            </w:tcMar>
          </w:tcPr>
          <w:p>
            <w:pPr>
              <w:spacing w:after="0" w:line="250" w:lineRule="auto"/>
            </w:pPr>
            <w:r>
              <w:rPr>
                <w:color w:val="000000"/>
                <w:sz w:val="20"/>
              </w:rPr>
              <w:t>£700 enters validated cost avoidance, separate from sourcing savings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Shared </w:t>
            </w:r>
            <w:r>
              <w:rPr>
                <w:rFonts w:ascii="Consolas" w:hAnsi="Consolas"/>
                <w:color w:val="000000"/>
                <w:sz w:val="19"/>
              </w:rPr>
              <w:t>ValueSignoffCard</w:t>
            </w:r>
          </w:p>
        </w:tc>
      </w:tr>
    </w:tbl>
    <w:p>
      <w:pPr>
        <w:spacing w:after="20"/>
      </w:pPr>
    </w:p>
    <w:p>
      <w:r>
        <w:rPr>
          <w:b/>
          <w:color w:val="000000"/>
        </w:rPr>
        <w:t>Authority.</w:t>
      </w:r>
      <w:r>
        <w:rPr>
          <w:color w:val="000000"/>
        </w:rPr>
        <w:t xml:space="preserve"> Same-tier reuse within an explicitly owner-approved pool, unchanged rights and confidence at least 0.90 may execute under standing approval. New functional access, a different tier or unapproved pool membership requires Application Owner approval. Access-level changes also require IT Security. The main mixed reuse/buy case requires TCS review as stated in the story matrix. Available seats do not establish user access permission.</w:t>
      </w:r>
    </w:p>
    <w:p>
      <w:r>
        <w:rPr>
          <w:b/>
          <w:color w:val="000000"/>
        </w:rPr>
        <w:t>Required alternatives.</w:t>
      </w:r>
      <w:r>
        <w:rPr>
          <w:color w:val="000000"/>
        </w:rPr>
        <w:t xml:space="preserve"> A six-seat request can reuse all six after reset. Show </w:t>
      </w:r>
      <w:r>
        <w:rPr>
          <w:rFonts w:ascii="Consolas" w:hAnsi="Consolas"/>
          <w:color w:val="000000"/>
          <w:sz w:val="20"/>
        </w:rPr>
        <w:t>Fulfilled internally</w:t>
      </w:r>
      <w:r>
        <w:rPr>
          <w:color w:val="000000"/>
        </w:rPr>
        <w:t>, zero PO, zero supplier invoice and an internal fulfillment record. Finance validates cost avoidance using entitlements, assignment and cost evidence. It does not enter invoice-validated sourcing savings. Never fabricate an invoice to complete the no-buy route. A lower-tier recommendation is reviewable, not an automatic downgrade.</w:t>
      </w:r>
    </w:p>
    <w:p>
      <w:r>
        <w:rPr>
          <w:b/>
          <w:color w:val="000000"/>
        </w:rPr>
        <w:t>Exceptions.</w:t>
      </w:r>
      <w:r>
        <w:rPr>
          <w:color w:val="000000"/>
        </w:rPr>
        <w:t xml:space="preserve"> Demo SAM freshness is 24 hours. Stale records or sync failure drop to manual review due within one day. Reserve seats atomically so two cases cannot reuse the same licence. Requester rejection goes to Application Owner within 48h. No reusable licences and renewal in 90 days or less opens Category Lead renewal sourcing in F2. The monthly idle-seat finding also demonstrates F0 opportunity approval and baseline agreement.</w:t>
      </w:r>
    </w:p>
    <w:p>
      <w:r>
        <w:rPr>
          <w:b/>
          <w:color w:val="000000"/>
        </w:rPr>
        <w:t>Measurement.</w:t>
      </w:r>
      <w:r>
        <w:rPr>
          <w:color w:val="000000"/>
        </w:rPr>
        <w:t xml:space="preserve"> Preserve original purchase quantity, fulfilled user IDs, purchased quantity, price, period and administration cost. The source's 20–40% avoidance potential is illustrative; £700 comes from this case's actual arithmetic. Do not assert suitable access until assignment and owner evidence confirms it.</w:t>
      </w:r>
    </w:p>
    <w:p>
      <w:pPr>
        <w:pStyle w:val="Heading2"/>
      </w:pPr>
      <w:r>
        <w:t>13 2 ST02 Negotiate from quote evidence</w:t>
      </w:r>
    </w:p>
    <w:p>
      <w:r>
        <w:rPr>
          <w:b/>
          <w:color w:val="000000"/>
        </w:rPr>
        <w:t>Trigger and fixtures.</w:t>
      </w:r>
      <w:r>
        <w:rPr>
          <w:color w:val="000000"/>
        </w:rPr>
        <w:t xml:space="preserve"> A supplier quotes £50,000 for a Solihull planned-maintenance service. Case </w:t>
      </w:r>
      <w:r>
        <w:rPr>
          <w:rFonts w:ascii="Consolas" w:hAnsi="Consolas"/>
          <w:color w:val="000000"/>
          <w:sz w:val="20"/>
        </w:rPr>
        <w:t>CASE-ST02-001</w:t>
      </w:r>
      <w:r>
        <w:rPr>
          <w:color w:val="000000"/>
        </w:rPr>
        <w:t xml:space="preserve">, PR </w:t>
      </w:r>
      <w:r>
        <w:rPr>
          <w:rFonts w:ascii="Consolas" w:hAnsi="Consolas"/>
          <w:color w:val="000000"/>
          <w:sz w:val="20"/>
        </w:rPr>
        <w:t>PR-AP-1002</w:t>
      </w:r>
      <w:r>
        <w:rPr>
          <w:color w:val="000000"/>
        </w:rPr>
        <w:t xml:space="preserve"> and RFQ </w:t>
      </w:r>
      <w:r>
        <w:rPr>
          <w:rFonts w:ascii="Consolas" w:hAnsi="Consolas"/>
          <w:color w:val="000000"/>
          <w:sz w:val="20"/>
        </w:rPr>
        <w:t>RFQ-AP-2002</w:t>
      </w:r>
      <w:r>
        <w:rPr>
          <w:color w:val="000000"/>
        </w:rPr>
        <w:t xml:space="preserve"> share the same scope, dates and included costs. Three compliant bids are £50,000, £49,200 and £51,500. An optional £43,000 bid excludes required inspection, so it is shown as noncomparable and does not count. Benchmark is £45,000–£48,000. The initial valid quote is the Finance-approved baseline.</w:t>
      </w:r>
    </w:p>
    <w:p>
      <w:r>
        <w:rPr>
          <w:color w:val="000000"/>
        </w:rPr>
        <w:t>Preferred supplier quote lines are core work £44,000, overtime £3,000, mobilisation £2,000 and inspection £1,000. BAFO changes overtime to £1,000 and mobilisation to zero. Core work and inspection stay unchanged. Final award is £46,000. Expected saving is £4,000, or 8%, with no removed required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800"/>
        <w:gridCol w:w="3888"/>
        <w:gridCol w:w="3744"/>
      </w:tblGrid>
      <w:tr>
        <w:trPr>
          <w:cantSplit/>
          <w:tblHeader/>
        </w:trPr>
        <w:tc>
          <w:tcPr>
            <w:tcW w:type="dxa" w:w="648"/>
            <w:vAlign w:val="center"/>
            <w:shd w:fill="18354B"/>
            <w:tcMar>
              <w:top w:w="80" w:type="dxa"/>
              <w:bottom w:w="80" w:type="dxa"/>
              <w:left w:w="90" w:type="dxa"/>
              <w:right w:w="90" w:type="dxa"/>
            </w:tcMar>
          </w:tcPr>
          <w:p>
            <w:pPr>
              <w:keepNext/>
              <w:spacing w:after="0" w:line="250" w:lineRule="auto"/>
              <w:jc w:val="center"/>
            </w:pPr>
            <w:r>
              <w:rPr>
                <w:b/>
                <w:color w:val="FFFFFF"/>
                <w:sz w:val="20"/>
              </w:rPr>
              <w:t>Beat</w:t>
            </w:r>
          </w:p>
        </w:tc>
        <w:tc>
          <w:tcPr>
            <w:tcW w:type="dxa" w:w="1800"/>
            <w:vAlign w:val="center"/>
            <w:shd w:fill="18354B"/>
            <w:tcMar>
              <w:top w:w="80" w:type="dxa"/>
              <w:bottom w:w="80" w:type="dxa"/>
              <w:left w:w="90" w:type="dxa"/>
              <w:right w:w="90" w:type="dxa"/>
            </w:tcMar>
          </w:tcPr>
          <w:p>
            <w:pPr>
              <w:keepNext/>
              <w:spacing w:after="0" w:line="250" w:lineRule="auto"/>
            </w:pPr>
            <w:r>
              <w:rPr>
                <w:b/>
                <w:color w:val="FFFFFF"/>
                <w:sz w:val="20"/>
              </w:rPr>
              <w:t>Action</w:t>
            </w:r>
          </w:p>
        </w:tc>
        <w:tc>
          <w:tcPr>
            <w:tcW w:type="dxa" w:w="3888"/>
            <w:vAlign w:val="center"/>
            <w:shd w:fill="18354B"/>
            <w:tcMar>
              <w:top w:w="80" w:type="dxa"/>
              <w:bottom w:w="80" w:type="dxa"/>
              <w:left w:w="90" w:type="dxa"/>
              <w:right w:w="90" w:type="dxa"/>
            </w:tcMar>
          </w:tcPr>
          <w:p>
            <w:pPr>
              <w:keepNext/>
              <w:spacing w:after="0" w:line="250" w:lineRule="auto"/>
            </w:pPr>
            <w:r>
              <w:rPr>
                <w:b/>
                <w:color w:val="FFFFFF"/>
                <w:sz w:val="20"/>
              </w:rPr>
              <w:t>Visible result and state change</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Component plan</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1</w:t>
            </w:r>
          </w:p>
        </w:tc>
        <w:tc>
          <w:tcPr>
            <w:tcW w:type="dxa" w:w="1800"/>
            <w:vAlign w:val="center"/>
            <w:shd w:fill="FFFFFF"/>
            <w:tcMar>
              <w:top w:w="80" w:type="dxa"/>
              <w:bottom w:w="80" w:type="dxa"/>
              <w:left w:w="90" w:type="dxa"/>
              <w:right w:w="90" w:type="dxa"/>
            </w:tcMar>
          </w:tcPr>
          <w:p>
            <w:pPr>
              <w:spacing w:after="0" w:line="250" w:lineRule="auto"/>
            </w:pPr>
            <w:r>
              <w:rPr>
                <w:color w:val="000000"/>
                <w:sz w:val="20"/>
              </w:rPr>
              <w:t>Open quote or submit service need</w:t>
            </w:r>
          </w:p>
        </w:tc>
        <w:tc>
          <w:tcPr>
            <w:tcW w:type="dxa" w:w="3888"/>
            <w:vAlign w:val="center"/>
            <w:shd w:fill="FFFFFF"/>
            <w:tcMar>
              <w:top w:w="80" w:type="dxa"/>
              <w:bottom w:w="80" w:type="dxa"/>
              <w:left w:w="90" w:type="dxa"/>
              <w:right w:w="90" w:type="dxa"/>
            </w:tcMar>
          </w:tcPr>
          <w:p>
            <w:pPr>
              <w:spacing w:after="0" w:line="250" w:lineRule="auto"/>
            </w:pPr>
            <w:r>
              <w:rPr>
                <w:color w:val="000000"/>
                <w:sz w:val="20"/>
              </w:rPr>
              <w:t>Case opens with comparable quote evidence</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Reuse </w:t>
            </w:r>
            <w:r>
              <w:rPr>
                <w:rFonts w:ascii="Consolas" w:hAnsi="Consolas"/>
                <w:color w:val="000000"/>
                <w:sz w:val="19"/>
              </w:rPr>
              <w:t>InboundEmailModal</w:t>
            </w:r>
            <w:r>
              <w:rPr>
                <w:color w:val="000000"/>
                <w:sz w:val="20"/>
              </w:rPr>
              <w:t xml:space="preserve">, intake and </w:t>
            </w:r>
            <w:r>
              <w:rPr>
                <w:rFonts w:ascii="Consolas" w:hAnsi="Consolas"/>
                <w:color w:val="000000"/>
                <w:sz w:val="19"/>
              </w:rPr>
              <w:t>RfqFlow</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2</w:t>
            </w:r>
          </w:p>
        </w:tc>
        <w:tc>
          <w:tcPr>
            <w:tcW w:type="dxa" w:w="1800"/>
            <w:vAlign w:val="center"/>
            <w:shd w:fill="F3F6F8"/>
            <w:tcMar>
              <w:top w:w="80" w:type="dxa"/>
              <w:bottom w:w="80" w:type="dxa"/>
              <w:left w:w="90" w:type="dxa"/>
              <w:right w:w="90" w:type="dxa"/>
            </w:tcMar>
          </w:tcPr>
          <w:p>
            <w:pPr>
              <w:spacing w:after="0" w:line="250" w:lineRule="auto"/>
            </w:pPr>
            <w:r>
              <w:rPr>
                <w:color w:val="000000"/>
                <w:sz w:val="20"/>
              </w:rPr>
              <w:t>Analyse quotes</w:t>
            </w:r>
          </w:p>
        </w:tc>
        <w:tc>
          <w:tcPr>
            <w:tcW w:type="dxa" w:w="3888"/>
            <w:vAlign w:val="center"/>
            <w:shd w:fill="F3F6F8"/>
            <w:tcMar>
              <w:top w:w="80" w:type="dxa"/>
              <w:bottom w:w="80" w:type="dxa"/>
              <w:left w:w="90" w:type="dxa"/>
              <w:right w:w="90" w:type="dxa"/>
            </w:tcMar>
          </w:tcPr>
          <w:p>
            <w:pPr>
              <w:spacing w:after="0" w:line="250" w:lineRule="auto"/>
            </w:pPr>
            <w:r>
              <w:rPr>
                <w:color w:val="000000"/>
                <w:sz w:val="20"/>
              </w:rPr>
              <w:t>Three valid supplier cards populate; excluded quote shows its reason</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Extend </w:t>
            </w:r>
            <w:r>
              <w:rPr>
                <w:rFonts w:ascii="Consolas" w:hAnsi="Consolas"/>
                <w:color w:val="000000"/>
                <w:sz w:val="19"/>
              </w:rPr>
              <w:t>QuoteReview</w:t>
            </w:r>
            <w:r>
              <w:rPr>
                <w:color w:val="000000"/>
                <w:sz w:val="20"/>
              </w:rPr>
              <w:t>, source modals</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3</w:t>
            </w:r>
          </w:p>
        </w:tc>
        <w:tc>
          <w:tcPr>
            <w:tcW w:type="dxa" w:w="1800"/>
            <w:vAlign w:val="center"/>
            <w:shd w:fill="FFFFFF"/>
            <w:tcMar>
              <w:top w:w="80" w:type="dxa"/>
              <w:bottom w:w="80" w:type="dxa"/>
              <w:left w:w="90" w:type="dxa"/>
              <w:right w:w="90" w:type="dxa"/>
            </w:tcMar>
          </w:tcPr>
          <w:p>
            <w:pPr>
              <w:spacing w:after="0" w:line="250" w:lineRule="auto"/>
            </w:pPr>
            <w:r>
              <w:rPr>
                <w:color w:val="000000"/>
                <w:sz w:val="20"/>
              </w:rPr>
              <w:t>Inspect flagged cost lines</w:t>
            </w:r>
          </w:p>
        </w:tc>
        <w:tc>
          <w:tcPr>
            <w:tcW w:type="dxa" w:w="3888"/>
            <w:vAlign w:val="center"/>
            <w:shd w:fill="FFFFFF"/>
            <w:tcMar>
              <w:top w:w="80" w:type="dxa"/>
              <w:bottom w:w="80" w:type="dxa"/>
              <w:left w:w="90" w:type="dxa"/>
              <w:right w:w="90" w:type="dxa"/>
            </w:tcMar>
          </w:tcPr>
          <w:p>
            <w:pPr>
              <w:spacing w:after="0" w:line="250" w:lineRule="auto"/>
            </w:pPr>
            <w:r>
              <w:rPr>
                <w:color w:val="000000"/>
                <w:sz w:val="20"/>
              </w:rPr>
              <w:t>Overtime/mobilisation compare to rates and price history</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QuoteLineBenchmarkGrid</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4</w:t>
            </w:r>
          </w:p>
        </w:tc>
        <w:tc>
          <w:tcPr>
            <w:tcW w:type="dxa" w:w="1800"/>
            <w:vAlign w:val="center"/>
            <w:shd w:fill="F3F6F8"/>
            <w:tcMar>
              <w:top w:w="80" w:type="dxa"/>
              <w:bottom w:w="80" w:type="dxa"/>
              <w:left w:w="90" w:type="dxa"/>
              <w:right w:w="90" w:type="dxa"/>
            </w:tcMar>
          </w:tcPr>
          <w:p>
            <w:pPr>
              <w:spacing w:after="0" w:line="250" w:lineRule="auto"/>
            </w:pPr>
            <w:r>
              <w:rPr>
                <w:color w:val="000000"/>
                <w:sz w:val="20"/>
              </w:rPr>
              <w:t>Prepare negotiation</w:t>
            </w:r>
          </w:p>
        </w:tc>
        <w:tc>
          <w:tcPr>
            <w:tcW w:type="dxa" w:w="3888"/>
            <w:vAlign w:val="center"/>
            <w:shd w:fill="F3F6F8"/>
            <w:tcMar>
              <w:top w:w="80" w:type="dxa"/>
              <w:bottom w:w="80" w:type="dxa"/>
              <w:left w:w="90" w:type="dxa"/>
              <w:right w:w="90" w:type="dxa"/>
            </w:tcMar>
          </w:tcPr>
          <w:p>
            <w:pPr>
              <w:spacing w:after="0" w:line="250" w:lineRule="auto"/>
            </w:pPr>
            <w:r>
              <w:rPr>
                <w:color w:val="000000"/>
                <w:sz w:val="20"/>
              </w:rPr>
              <w:t>Target £46K and fallback £48K show supporting evidence</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NegotiationPositionCard</w:t>
            </w:r>
            <w:r>
              <w:rPr>
                <w:color w:val="000000"/>
                <w:sz w:val="20"/>
              </w:rPr>
              <w:t xml:space="preserve">, reuse </w:t>
            </w:r>
            <w:r>
              <w:rPr>
                <w:rFonts w:ascii="Consolas" w:hAnsi="Consolas"/>
                <w:color w:val="000000"/>
                <w:sz w:val="19"/>
              </w:rPr>
              <w:t>EmailDraftModal</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5</w:t>
            </w:r>
          </w:p>
        </w:tc>
        <w:tc>
          <w:tcPr>
            <w:tcW w:type="dxa" w:w="1800"/>
            <w:vAlign w:val="center"/>
            <w:shd w:fill="FFFFFF"/>
            <w:tcMar>
              <w:top w:w="80" w:type="dxa"/>
              <w:bottom w:w="80" w:type="dxa"/>
              <w:left w:w="90" w:type="dxa"/>
              <w:right w:w="90" w:type="dxa"/>
            </w:tcMar>
          </w:tcPr>
          <w:p>
            <w:pPr>
              <w:spacing w:after="0" w:line="250" w:lineRule="auto"/>
            </w:pPr>
            <w:r>
              <w:rPr>
                <w:color w:val="000000"/>
                <w:sz w:val="20"/>
              </w:rPr>
              <w:t>Run simulated BAFO</w:t>
            </w:r>
          </w:p>
        </w:tc>
        <w:tc>
          <w:tcPr>
            <w:tcW w:type="dxa" w:w="3888"/>
            <w:vAlign w:val="center"/>
            <w:shd w:fill="FFFFFF"/>
            <w:tcMar>
              <w:top w:w="80" w:type="dxa"/>
              <w:bottom w:w="80" w:type="dxa"/>
              <w:left w:w="90" w:type="dxa"/>
              <w:right w:w="90" w:type="dxa"/>
            </w:tcMar>
          </w:tcPr>
          <w:p>
            <w:pPr>
              <w:spacing w:after="0" w:line="250" w:lineRule="auto"/>
            </w:pPr>
            <w:r>
              <w:rPr>
                <w:color w:val="000000"/>
                <w:sz w:val="20"/>
              </w:rPr>
              <w:t>Revised quote animates; original remains reviewable</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Extend </w:t>
            </w:r>
            <w:r>
              <w:rPr>
                <w:rFonts w:ascii="Consolas" w:hAnsi="Consolas"/>
                <w:color w:val="000000"/>
                <w:sz w:val="19"/>
              </w:rPr>
              <w:t>RfqFlow</w:t>
            </w:r>
            <w:r>
              <w:rPr>
                <w:color w:val="000000"/>
                <w:sz w:val="20"/>
              </w:rPr>
              <w:t xml:space="preserve">, new </w:t>
            </w:r>
            <w:r>
              <w:rPr>
                <w:rFonts w:ascii="Consolas" w:hAnsi="Consolas"/>
                <w:color w:val="000000"/>
                <w:sz w:val="19"/>
              </w:rPr>
              <w:t>BafoRoundTimeline</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6</w:t>
            </w:r>
          </w:p>
        </w:tc>
        <w:tc>
          <w:tcPr>
            <w:tcW w:type="dxa" w:w="1800"/>
            <w:vAlign w:val="center"/>
            <w:shd w:fill="F3F6F8"/>
            <w:tcMar>
              <w:top w:w="80" w:type="dxa"/>
              <w:bottom w:w="80" w:type="dxa"/>
              <w:left w:w="90" w:type="dxa"/>
              <w:right w:w="90" w:type="dxa"/>
            </w:tcMar>
          </w:tcPr>
          <w:p>
            <w:pPr>
              <w:spacing w:after="0" w:line="250" w:lineRule="auto"/>
            </w:pPr>
            <w:r>
              <w:rPr>
                <w:color w:val="000000"/>
                <w:sz w:val="20"/>
              </w:rPr>
              <w:t>Category Lead awards</w:t>
            </w:r>
          </w:p>
        </w:tc>
        <w:tc>
          <w:tcPr>
            <w:tcW w:type="dxa" w:w="3888"/>
            <w:vAlign w:val="center"/>
            <w:shd w:fill="F3F6F8"/>
            <w:tcMar>
              <w:top w:w="80" w:type="dxa"/>
              <w:bottom w:w="80" w:type="dxa"/>
              <w:left w:w="90" w:type="dxa"/>
              <w:right w:w="90" w:type="dxa"/>
            </w:tcMar>
          </w:tcPr>
          <w:p>
            <w:pPr>
              <w:spacing w:after="0" w:line="250" w:lineRule="auto"/>
            </w:pPr>
            <w:r>
              <w:rPr>
                <w:color w:val="000000"/>
                <w:sz w:val="20"/>
              </w:rPr>
              <w:t>Award records chosen revision and competition evidence</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AwardDecisionCard</w:t>
            </w:r>
            <w:r>
              <w:rPr>
                <w:color w:val="000000"/>
                <w:sz w:val="20"/>
              </w:rPr>
              <w:t>, approval shell</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7</w:t>
            </w:r>
          </w:p>
        </w:tc>
        <w:tc>
          <w:tcPr>
            <w:tcW w:type="dxa" w:w="1800"/>
            <w:vAlign w:val="center"/>
            <w:shd w:fill="FFFFFF"/>
            <w:tcMar>
              <w:top w:w="80" w:type="dxa"/>
              <w:bottom w:w="80" w:type="dxa"/>
              <w:left w:w="90" w:type="dxa"/>
              <w:right w:w="90" w:type="dxa"/>
            </w:tcMar>
          </w:tcPr>
          <w:p>
            <w:pPr>
              <w:spacing w:after="0" w:line="250" w:lineRule="auto"/>
            </w:pPr>
            <w:r>
              <w:rPr>
                <w:color w:val="000000"/>
                <w:sz w:val="20"/>
              </w:rPr>
              <w:t>Obtain spend/contract clearance</w:t>
            </w:r>
          </w:p>
        </w:tc>
        <w:tc>
          <w:tcPr>
            <w:tcW w:type="dxa" w:w="3888"/>
            <w:vAlign w:val="center"/>
            <w:shd w:fill="FFFFFF"/>
            <w:tcMar>
              <w:top w:w="80" w:type="dxa"/>
              <w:bottom w:w="80" w:type="dxa"/>
              <w:left w:w="90" w:type="dxa"/>
              <w:right w:w="90" w:type="dxa"/>
            </w:tcMar>
          </w:tcPr>
          <w:p>
            <w:pPr>
              <w:spacing w:after="0" w:line="250" w:lineRule="auto"/>
            </w:pPr>
            <w:r>
              <w:rPr>
                <w:color w:val="000000"/>
                <w:sz w:val="20"/>
              </w:rPr>
              <w:t>Correct DoA task and linked ST04 contract work open</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Reuse </w:t>
            </w:r>
            <w:r>
              <w:rPr>
                <w:rFonts w:ascii="Consolas" w:hAnsi="Consolas"/>
                <w:color w:val="000000"/>
                <w:sz w:val="19"/>
              </w:rPr>
              <w:t>BudgetApprovalSignable</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8</w:t>
            </w:r>
          </w:p>
        </w:tc>
        <w:tc>
          <w:tcPr>
            <w:tcW w:type="dxa" w:w="1800"/>
            <w:vAlign w:val="center"/>
            <w:shd w:fill="F3F6F8"/>
            <w:tcMar>
              <w:top w:w="80" w:type="dxa"/>
              <w:bottom w:w="80" w:type="dxa"/>
              <w:left w:w="90" w:type="dxa"/>
              <w:right w:w="90" w:type="dxa"/>
            </w:tcMar>
          </w:tcPr>
          <w:p>
            <w:pPr>
              <w:spacing w:after="0" w:line="250" w:lineRule="auto"/>
            </w:pPr>
            <w:r>
              <w:rPr>
                <w:color w:val="000000"/>
                <w:sz w:val="20"/>
              </w:rPr>
              <w:t>Dispatch and validate invoice</w:t>
            </w:r>
          </w:p>
        </w:tc>
        <w:tc>
          <w:tcPr>
            <w:tcW w:type="dxa" w:w="3888"/>
            <w:vAlign w:val="center"/>
            <w:shd w:fill="F3F6F8"/>
            <w:tcMar>
              <w:top w:w="80" w:type="dxa"/>
              <w:bottom w:w="80" w:type="dxa"/>
              <w:left w:w="90" w:type="dxa"/>
              <w:right w:w="90" w:type="dxa"/>
            </w:tcMar>
          </w:tcPr>
          <w:p>
            <w:pPr>
              <w:spacing w:after="0" w:line="250" w:lineRule="auto"/>
            </w:pPr>
            <w:r>
              <w:rPr>
                <w:color w:val="000000"/>
                <w:sz w:val="20"/>
              </w:rPr>
              <w:t>£46K PO, acceptance and invoice link one value record</w:t>
            </w:r>
          </w:p>
        </w:tc>
        <w:tc>
          <w:tcPr>
            <w:tcW w:type="dxa" w:w="3744"/>
            <w:vAlign w:val="center"/>
            <w:shd w:fill="F3F6F8"/>
            <w:tcMar>
              <w:top w:w="80" w:type="dxa"/>
              <w:bottom w:w="80" w:type="dxa"/>
              <w:left w:w="90" w:type="dxa"/>
              <w:right w:w="90" w:type="dxa"/>
            </w:tcMar>
          </w:tcPr>
          <w:p>
            <w:pPr>
              <w:spacing w:after="0" w:line="250" w:lineRule="auto"/>
            </w:pPr>
            <w:r>
              <w:rPr>
                <w:color w:val="000000"/>
                <w:sz w:val="20"/>
              </w:rPr>
              <w:t>Existing PO and invoice components</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9</w:t>
            </w:r>
          </w:p>
        </w:tc>
        <w:tc>
          <w:tcPr>
            <w:tcW w:type="dxa" w:w="1800"/>
            <w:vAlign w:val="center"/>
            <w:shd w:fill="FFFFFF"/>
            <w:tcMar>
              <w:top w:w="80" w:type="dxa"/>
              <w:bottom w:w="80" w:type="dxa"/>
              <w:left w:w="90" w:type="dxa"/>
              <w:right w:w="90" w:type="dxa"/>
            </w:tcMar>
          </w:tcPr>
          <w:p>
            <w:pPr>
              <w:spacing w:after="0" w:line="250" w:lineRule="auto"/>
            </w:pPr>
            <w:r>
              <w:rPr>
                <w:color w:val="000000"/>
                <w:sz w:val="20"/>
              </w:rPr>
              <w:t>Finance signs saving</w:t>
            </w:r>
          </w:p>
        </w:tc>
        <w:tc>
          <w:tcPr>
            <w:tcW w:type="dxa" w:w="3888"/>
            <w:vAlign w:val="center"/>
            <w:shd w:fill="FFFFFF"/>
            <w:tcMar>
              <w:top w:w="80" w:type="dxa"/>
              <w:bottom w:w="80" w:type="dxa"/>
              <w:left w:w="90" w:type="dxa"/>
              <w:right w:w="90" w:type="dxa"/>
            </w:tcMar>
          </w:tcPr>
          <w:p>
            <w:pPr>
              <w:spacing w:after="0" w:line="250" w:lineRule="auto"/>
            </w:pPr>
            <w:r>
              <w:rPr>
                <w:color w:val="000000"/>
                <w:sz w:val="20"/>
              </w:rPr>
              <w:t>£4,000 enters validated sourcing savings once</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Shared </w:t>
            </w:r>
            <w:r>
              <w:rPr>
                <w:rFonts w:ascii="Consolas" w:hAnsi="Consolas"/>
                <w:color w:val="000000"/>
                <w:sz w:val="19"/>
              </w:rPr>
              <w:t>ValueSignoffCard</w:t>
            </w:r>
            <w:r>
              <w:rPr>
                <w:color w:val="000000"/>
                <w:sz w:val="20"/>
              </w:rPr>
              <w:t xml:space="preserve"> and derived KPI update</w:t>
            </w:r>
          </w:p>
        </w:tc>
      </w:tr>
    </w:tbl>
    <w:p>
      <w:pPr>
        <w:spacing w:after="20"/>
      </w:pPr>
    </w:p>
    <w:p>
      <w:r>
        <w:rPr>
          <w:b/>
          <w:color w:val="000000"/>
        </w:rPr>
        <w:t>Authority.</w:t>
      </w:r>
      <w:r>
        <w:rPr>
          <w:color w:val="000000"/>
        </w:rPr>
        <w:t xml:space="preserve"> TCS validates comparability and leads negotiation. The agent drafts positions with evidence and does not make an unapproved commercial commitment. Category Lead accepts the award above £30K. Financial approval is a separate gate. A required contract blocks PO until ST04 completes execution and storage.</w:t>
      </w:r>
    </w:p>
    <w:p>
      <w:r>
        <w:rPr>
          <w:b/>
          <w:color w:val="000000"/>
        </w:rPr>
        <w:t>Required branch.</w:t>
      </w:r>
      <w:r>
        <w:rPr>
          <w:color w:val="000000"/>
        </w:rPr>
        <w:t xml:space="preserve"> Exclude one compliant quote, leaving two. Award becomes unavailable. Extend once by 48h, then require Category Lead sole-source/limited-competition justification or re-source. Thin history lowers confidence to human review. A bid more than 15% above benchmark without supporting rationale escalates. Limit BAFO to two rounds. Each round preserves original and revised prices and scope.</w:t>
      </w:r>
    </w:p>
    <w:p>
      <w:r>
        <w:rPr>
          <w:b/>
          <w:color w:val="000000"/>
        </w:rPr>
        <w:t>Measurement.</w:t>
      </w:r>
      <w:r>
        <w:rPr>
          <w:color w:val="000000"/>
        </w:rPr>
        <w:t xml:space="preserve"> Use initial valid quote minus final comparable award, adjusted for scope and commercial terms. A lower price obtained by dropping mandatory inspection is not a saving. ST04 must not claim the same £4,000 again. The matrix's 5–12% range and channel targets are planning inputs, not automatic amounts.</w:t>
      </w:r>
    </w:p>
    <w:p>
      <w:pPr>
        <w:pStyle w:val="Heading2"/>
      </w:pPr>
      <w:r>
        <w:t>13 3 ST03 Check the panel before onboarding</w:t>
      </w:r>
    </w:p>
    <w:p>
      <w:r>
        <w:rPr>
          <w:b/>
          <w:color w:val="000000"/>
        </w:rPr>
        <w:t>Trigger and fixtures.</w:t>
      </w:r>
      <w:r>
        <w:rPr>
          <w:color w:val="000000"/>
        </w:rPr>
        <w:t xml:space="preserve"> A Wolverhampton business unit asks for a new operational supplier for calibration of two robotic cells. The requested supplier quotes £38,400. A preferred incumbent on </w:t>
      </w:r>
      <w:r>
        <w:rPr>
          <w:rFonts w:ascii="Consolas" w:hAnsi="Consolas"/>
          <w:color w:val="000000"/>
          <w:sz w:val="20"/>
        </w:rPr>
        <w:t>AGR-CAL-2026-01</w:t>
      </w:r>
      <w:r>
        <w:rPr>
          <w:color w:val="000000"/>
        </w:rPr>
        <w:t xml:space="preserve"> can deliver the same scope for £36,000 inside the shutdown window. Sources show geography, capability, performance, capacity, valid insurance and active/risk-cleared status. Use </w:t>
      </w:r>
      <w:r>
        <w:rPr>
          <w:rFonts w:ascii="Consolas" w:hAnsi="Consolas"/>
          <w:color w:val="000000"/>
          <w:sz w:val="20"/>
        </w:rPr>
        <w:t>CASE-ST03-001</w:t>
      </w:r>
      <w:r>
        <w:rPr>
          <w:color w:val="000000"/>
        </w:rPr>
        <w:t xml:space="preserve">, </w:t>
      </w:r>
      <w:r>
        <w:rPr>
          <w:rFonts w:ascii="Consolas" w:hAnsi="Consolas"/>
          <w:color w:val="000000"/>
          <w:sz w:val="20"/>
        </w:rPr>
        <w:t>PR-AP-1003</w:t>
      </w:r>
      <w:r>
        <w:rPr>
          <w:color w:val="000000"/>
        </w:rPr>
        <w:t xml:space="preserve"> and panel match </w:t>
      </w:r>
      <w:r>
        <w:rPr>
          <w:rFonts w:ascii="Consolas" w:hAnsi="Consolas"/>
          <w:color w:val="000000"/>
          <w:sz w:val="20"/>
        </w:rPr>
        <w:t>PM-3003</w:t>
      </w:r>
      <w:r>
        <w:rPr>
          <w:color w:val="000000"/>
        </w:rPr>
        <w:t>.</w:t>
      </w:r>
    </w:p>
    <w:p>
      <w:r>
        <w:rPr>
          <w:color w:val="000000"/>
        </w:rPr>
        <w:t>New Request preserves the named supplier as a preference. Channel Decision checks the panel before opening onboarding.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800"/>
        <w:gridCol w:w="3888"/>
        <w:gridCol w:w="3744"/>
      </w:tblGrid>
      <w:tr>
        <w:trPr>
          <w:cantSplit/>
          <w:tblHeader/>
        </w:trPr>
        <w:tc>
          <w:tcPr>
            <w:tcW w:type="dxa" w:w="648"/>
            <w:vAlign w:val="center"/>
            <w:shd w:fill="18354B"/>
            <w:tcMar>
              <w:top w:w="80" w:type="dxa"/>
              <w:bottom w:w="80" w:type="dxa"/>
              <w:left w:w="90" w:type="dxa"/>
              <w:right w:w="90" w:type="dxa"/>
            </w:tcMar>
          </w:tcPr>
          <w:p>
            <w:pPr>
              <w:keepNext/>
              <w:spacing w:after="0" w:line="250" w:lineRule="auto"/>
              <w:jc w:val="center"/>
            </w:pPr>
            <w:r>
              <w:rPr>
                <w:b/>
                <w:color w:val="FFFFFF"/>
                <w:sz w:val="20"/>
              </w:rPr>
              <w:t>Beat</w:t>
            </w:r>
          </w:p>
        </w:tc>
        <w:tc>
          <w:tcPr>
            <w:tcW w:type="dxa" w:w="1800"/>
            <w:vAlign w:val="center"/>
            <w:shd w:fill="18354B"/>
            <w:tcMar>
              <w:top w:w="80" w:type="dxa"/>
              <w:bottom w:w="80" w:type="dxa"/>
              <w:left w:w="90" w:type="dxa"/>
              <w:right w:w="90" w:type="dxa"/>
            </w:tcMar>
          </w:tcPr>
          <w:p>
            <w:pPr>
              <w:keepNext/>
              <w:spacing w:after="0" w:line="250" w:lineRule="auto"/>
            </w:pPr>
            <w:r>
              <w:rPr>
                <w:b/>
                <w:color w:val="FFFFFF"/>
                <w:sz w:val="20"/>
              </w:rPr>
              <w:t>Action</w:t>
            </w:r>
          </w:p>
        </w:tc>
        <w:tc>
          <w:tcPr>
            <w:tcW w:type="dxa" w:w="3888"/>
            <w:vAlign w:val="center"/>
            <w:shd w:fill="18354B"/>
            <w:tcMar>
              <w:top w:w="80" w:type="dxa"/>
              <w:bottom w:w="80" w:type="dxa"/>
              <w:left w:w="90" w:type="dxa"/>
              <w:right w:w="90" w:type="dxa"/>
            </w:tcMar>
          </w:tcPr>
          <w:p>
            <w:pPr>
              <w:keepNext/>
              <w:spacing w:after="0" w:line="250" w:lineRule="auto"/>
            </w:pPr>
            <w:r>
              <w:rPr>
                <w:b/>
                <w:color w:val="FFFFFF"/>
                <w:sz w:val="20"/>
              </w:rPr>
              <w:t>Visible result and state change</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Component plan</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1</w:t>
            </w:r>
          </w:p>
        </w:tc>
        <w:tc>
          <w:tcPr>
            <w:tcW w:type="dxa" w:w="1800"/>
            <w:vAlign w:val="center"/>
            <w:shd w:fill="FFFFFF"/>
            <w:tcMar>
              <w:top w:w="80" w:type="dxa"/>
              <w:bottom w:w="80" w:type="dxa"/>
              <w:left w:w="90" w:type="dxa"/>
              <w:right w:w="90" w:type="dxa"/>
            </w:tcMar>
          </w:tcPr>
          <w:p>
            <w:pPr>
              <w:spacing w:after="0" w:line="250" w:lineRule="auto"/>
            </w:pPr>
            <w:r>
              <w:rPr>
                <w:color w:val="000000"/>
                <w:sz w:val="20"/>
              </w:rPr>
              <w:t>Submit supplier request</w:t>
            </w:r>
          </w:p>
        </w:tc>
        <w:tc>
          <w:tcPr>
            <w:tcW w:type="dxa" w:w="3888"/>
            <w:vAlign w:val="center"/>
            <w:shd w:fill="FFFFFF"/>
            <w:tcMar>
              <w:top w:w="80" w:type="dxa"/>
              <w:bottom w:w="80" w:type="dxa"/>
              <w:left w:w="90" w:type="dxa"/>
              <w:right w:w="90" w:type="dxa"/>
            </w:tcMar>
          </w:tcPr>
          <w:p>
            <w:pPr>
              <w:spacing w:after="0" w:line="250" w:lineRule="auto"/>
            </w:pPr>
            <w:r>
              <w:rPr>
                <w:color w:val="000000"/>
                <w:sz w:val="20"/>
              </w:rPr>
              <w:t>Original preference and scope stay on the PR</w:t>
            </w:r>
          </w:p>
        </w:tc>
        <w:tc>
          <w:tcPr>
            <w:tcW w:type="dxa" w:w="3744"/>
            <w:vAlign w:val="center"/>
            <w:shd w:fill="FFFFFF"/>
            <w:tcMar>
              <w:top w:w="80" w:type="dxa"/>
              <w:bottom w:w="80" w:type="dxa"/>
              <w:left w:w="90" w:type="dxa"/>
              <w:right w:w="90" w:type="dxa"/>
            </w:tcMar>
          </w:tcPr>
          <w:p>
            <w:pPr>
              <w:spacing w:after="0" w:line="250" w:lineRule="auto"/>
            </w:pPr>
            <w:r>
              <w:rPr>
                <w:color w:val="000000"/>
                <w:sz w:val="20"/>
              </w:rPr>
              <w:t>Reuse intake and structured PR</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2</w:t>
            </w:r>
          </w:p>
        </w:tc>
        <w:tc>
          <w:tcPr>
            <w:tcW w:type="dxa" w:w="1800"/>
            <w:vAlign w:val="center"/>
            <w:shd w:fill="F3F6F8"/>
            <w:tcMar>
              <w:top w:w="80" w:type="dxa"/>
              <w:bottom w:w="80" w:type="dxa"/>
              <w:left w:w="90" w:type="dxa"/>
              <w:right w:w="90" w:type="dxa"/>
            </w:tcMar>
          </w:tcPr>
          <w:p>
            <w:pPr>
              <w:spacing w:after="0" w:line="250" w:lineRule="auto"/>
            </w:pPr>
            <w:r>
              <w:rPr>
                <w:color w:val="000000"/>
                <w:sz w:val="20"/>
              </w:rPr>
              <w:t>Match preferred suppliers</w:t>
            </w:r>
          </w:p>
        </w:tc>
        <w:tc>
          <w:tcPr>
            <w:tcW w:type="dxa" w:w="3888"/>
            <w:vAlign w:val="center"/>
            <w:shd w:fill="F3F6F8"/>
            <w:tcMar>
              <w:top w:w="80" w:type="dxa"/>
              <w:bottom w:w="80" w:type="dxa"/>
              <w:left w:w="90" w:type="dxa"/>
              <w:right w:w="90" w:type="dxa"/>
            </w:tcMar>
          </w:tcPr>
          <w:p>
            <w:pPr>
              <w:spacing w:after="0" w:line="250" w:lineRule="auto"/>
            </w:pPr>
            <w:r>
              <w:rPr>
                <w:color w:val="000000"/>
                <w:sz w:val="20"/>
              </w:rPr>
              <w:t>Incumbent/requested supplier compare in aligned cards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PanelFitCompare</w:t>
            </w:r>
            <w:r>
              <w:rPr>
                <w:color w:val="000000"/>
                <w:sz w:val="20"/>
              </w:rPr>
              <w:t xml:space="preserve">, reuse </w:t>
            </w:r>
            <w:r>
              <w:rPr>
                <w:rFonts w:ascii="Consolas" w:hAnsi="Consolas"/>
                <w:color w:val="000000"/>
                <w:sz w:val="19"/>
              </w:rPr>
              <w:t>ChoiceStage</w:t>
            </w:r>
            <w:r>
              <w:rPr>
                <w:color w:val="000000"/>
                <w:sz w:val="20"/>
              </w:rPr>
              <w:t xml:space="preserve"> pattern</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3</w:t>
            </w:r>
          </w:p>
        </w:tc>
        <w:tc>
          <w:tcPr>
            <w:tcW w:type="dxa" w:w="1800"/>
            <w:vAlign w:val="center"/>
            <w:shd w:fill="FFFFFF"/>
            <w:tcMar>
              <w:top w:w="80" w:type="dxa"/>
              <w:bottom w:w="80" w:type="dxa"/>
              <w:left w:w="90" w:type="dxa"/>
              <w:right w:w="90" w:type="dxa"/>
            </w:tcMar>
          </w:tcPr>
          <w:p>
            <w:pPr>
              <w:spacing w:after="0" w:line="250" w:lineRule="auto"/>
            </w:pPr>
            <w:r>
              <w:rPr>
                <w:color w:val="000000"/>
                <w:sz w:val="20"/>
              </w:rPr>
              <w:t>Inspect fit</w:t>
            </w:r>
          </w:p>
        </w:tc>
        <w:tc>
          <w:tcPr>
            <w:tcW w:type="dxa" w:w="3888"/>
            <w:vAlign w:val="center"/>
            <w:shd w:fill="FFFFFF"/>
            <w:tcMar>
              <w:top w:w="80" w:type="dxa"/>
              <w:bottom w:w="80" w:type="dxa"/>
              <w:left w:w="90" w:type="dxa"/>
              <w:right w:w="90" w:type="dxa"/>
            </w:tcMar>
          </w:tcPr>
          <w:p>
            <w:pPr>
              <w:spacing w:after="0" w:line="250" w:lineRule="auto"/>
            </w:pPr>
            <w:r>
              <w:rPr>
                <w:color w:val="000000"/>
                <w:sz w:val="20"/>
              </w:rPr>
              <w:t>Scope, geography, certifications, commitments and capacity link sources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SupplierFitEvidence</w:t>
            </w:r>
            <w:r>
              <w:rPr>
                <w:color w:val="000000"/>
                <w:sz w:val="20"/>
              </w:rPr>
              <w:t xml:space="preserve">, reuse </w:t>
            </w:r>
            <w:r>
              <w:rPr>
                <w:rFonts w:ascii="Consolas" w:hAnsi="Consolas"/>
                <w:color w:val="000000"/>
                <w:sz w:val="19"/>
              </w:rPr>
              <w:t>Scorecard</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4</w:t>
            </w:r>
          </w:p>
        </w:tc>
        <w:tc>
          <w:tcPr>
            <w:tcW w:type="dxa" w:w="1800"/>
            <w:vAlign w:val="center"/>
            <w:shd w:fill="F3F6F8"/>
            <w:tcMar>
              <w:top w:w="80" w:type="dxa"/>
              <w:bottom w:w="80" w:type="dxa"/>
              <w:left w:w="90" w:type="dxa"/>
              <w:right w:w="90" w:type="dxa"/>
            </w:tcMar>
          </w:tcPr>
          <w:p>
            <w:pPr>
              <w:spacing w:after="0" w:line="250" w:lineRule="auto"/>
            </w:pPr>
            <w:r>
              <w:rPr>
                <w:color w:val="000000"/>
                <w:sz w:val="20"/>
              </w:rPr>
              <w:t>Category Lead confirms redirect</w:t>
            </w:r>
          </w:p>
        </w:tc>
        <w:tc>
          <w:tcPr>
            <w:tcW w:type="dxa" w:w="3888"/>
            <w:vAlign w:val="center"/>
            <w:shd w:fill="F3F6F8"/>
            <w:tcMar>
              <w:top w:w="80" w:type="dxa"/>
              <w:bottom w:w="80" w:type="dxa"/>
              <w:left w:w="90" w:type="dxa"/>
              <w:right w:w="90" w:type="dxa"/>
            </w:tcMar>
          </w:tcPr>
          <w:p>
            <w:pPr>
              <w:spacing w:after="0" w:line="250" w:lineRule="auto"/>
            </w:pPr>
            <w:r>
              <w:rPr>
                <w:color w:val="000000"/>
                <w:sz w:val="20"/>
              </w:rPr>
              <w:t>Reasoned decision selects incumbent agreement</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SupplierRouteDecision</w:t>
            </w:r>
            <w:r>
              <w:rPr>
                <w:color w:val="000000"/>
                <w:sz w:val="20"/>
              </w:rPr>
              <w:t>, approval shell</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5</w:t>
            </w:r>
          </w:p>
        </w:tc>
        <w:tc>
          <w:tcPr>
            <w:tcW w:type="dxa" w:w="1800"/>
            <w:vAlign w:val="center"/>
            <w:shd w:fill="FFFFFF"/>
            <w:tcMar>
              <w:top w:w="80" w:type="dxa"/>
              <w:bottom w:w="80" w:type="dxa"/>
              <w:left w:w="90" w:type="dxa"/>
              <w:right w:w="90" w:type="dxa"/>
            </w:tcMar>
          </w:tcPr>
          <w:p>
            <w:pPr>
              <w:spacing w:after="0" w:line="250" w:lineRule="auto"/>
            </w:pPr>
            <w:r>
              <w:rPr>
                <w:color w:val="000000"/>
                <w:sz w:val="20"/>
              </w:rPr>
              <w:t>Obtain spend approval</w:t>
            </w:r>
          </w:p>
        </w:tc>
        <w:tc>
          <w:tcPr>
            <w:tcW w:type="dxa" w:w="3888"/>
            <w:vAlign w:val="center"/>
            <w:shd w:fill="FFFFFF"/>
            <w:tcMar>
              <w:top w:w="80" w:type="dxa"/>
              <w:bottom w:w="80" w:type="dxa"/>
              <w:left w:w="90" w:type="dxa"/>
              <w:right w:w="90" w:type="dxa"/>
            </w:tcMar>
          </w:tcPr>
          <w:p>
            <w:pPr>
              <w:spacing w:after="0" w:line="250" w:lineRule="auto"/>
            </w:pPr>
            <w:r>
              <w:rPr>
                <w:color w:val="000000"/>
                <w:sz w:val="20"/>
              </w:rPr>
              <w:t>£36K request reaches appropriate DoA owner</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Existing </w:t>
            </w:r>
            <w:r>
              <w:rPr>
                <w:rFonts w:ascii="Consolas" w:hAnsi="Consolas"/>
                <w:color w:val="000000"/>
                <w:sz w:val="19"/>
              </w:rPr>
              <w:t>BudgetApprovalSignable</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6</w:t>
            </w:r>
          </w:p>
        </w:tc>
        <w:tc>
          <w:tcPr>
            <w:tcW w:type="dxa" w:w="1800"/>
            <w:vAlign w:val="center"/>
            <w:shd w:fill="F3F6F8"/>
            <w:tcMar>
              <w:top w:w="80" w:type="dxa"/>
              <w:bottom w:w="80" w:type="dxa"/>
              <w:left w:w="90" w:type="dxa"/>
              <w:right w:w="90" w:type="dxa"/>
            </w:tcMar>
          </w:tcPr>
          <w:p>
            <w:pPr>
              <w:spacing w:after="0" w:line="250" w:lineRule="auto"/>
            </w:pPr>
            <w:r>
              <w:rPr>
                <w:color w:val="000000"/>
                <w:sz w:val="20"/>
              </w:rPr>
              <w:t>Create call-off and accept service</w:t>
            </w:r>
          </w:p>
        </w:tc>
        <w:tc>
          <w:tcPr>
            <w:tcW w:type="dxa" w:w="3888"/>
            <w:vAlign w:val="center"/>
            <w:shd w:fill="F3F6F8"/>
            <w:tcMar>
              <w:top w:w="80" w:type="dxa"/>
              <w:bottom w:w="80" w:type="dxa"/>
              <w:left w:w="90" w:type="dxa"/>
              <w:right w:w="90" w:type="dxa"/>
            </w:tcMar>
          </w:tcPr>
          <w:p>
            <w:pPr>
              <w:spacing w:after="0" w:line="250" w:lineRule="auto"/>
            </w:pPr>
            <w:r>
              <w:rPr>
                <w:color w:val="000000"/>
                <w:sz w:val="20"/>
              </w:rPr>
              <w:t>Existing supplier PO; no new vendor created</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Reuse </w:t>
            </w:r>
            <w:r>
              <w:rPr>
                <w:rFonts w:ascii="Consolas" w:hAnsi="Consolas"/>
                <w:color w:val="000000"/>
                <w:sz w:val="19"/>
              </w:rPr>
              <w:t>PurchaseOrderDoc</w:t>
            </w:r>
            <w:r>
              <w:rPr>
                <w:color w:val="000000"/>
                <w:sz w:val="20"/>
              </w:rPr>
              <w:t>, new acceptance fixture</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7</w:t>
            </w:r>
          </w:p>
        </w:tc>
        <w:tc>
          <w:tcPr>
            <w:tcW w:type="dxa" w:w="1800"/>
            <w:vAlign w:val="center"/>
            <w:shd w:fill="FFFFFF"/>
            <w:tcMar>
              <w:top w:w="80" w:type="dxa"/>
              <w:bottom w:w="80" w:type="dxa"/>
              <w:left w:w="90" w:type="dxa"/>
              <w:right w:w="90" w:type="dxa"/>
            </w:tcMar>
          </w:tcPr>
          <w:p>
            <w:pPr>
              <w:spacing w:after="0" w:line="250" w:lineRule="auto"/>
            </w:pPr>
            <w:r>
              <w:rPr>
                <w:color w:val="000000"/>
                <w:sz w:val="20"/>
              </w:rPr>
              <w:t>Finance signs price saving</w:t>
            </w:r>
          </w:p>
        </w:tc>
        <w:tc>
          <w:tcPr>
            <w:tcW w:type="dxa" w:w="3888"/>
            <w:vAlign w:val="center"/>
            <w:shd w:fill="FFFFFF"/>
            <w:tcMar>
              <w:top w:w="80" w:type="dxa"/>
              <w:bottom w:w="80" w:type="dxa"/>
              <w:left w:w="90" w:type="dxa"/>
              <w:right w:w="90" w:type="dxa"/>
            </w:tcMar>
          </w:tcPr>
          <w:p>
            <w:pPr>
              <w:spacing w:after="0" w:line="250" w:lineRule="auto"/>
            </w:pPr>
            <w:r>
              <w:rPr>
                <w:color w:val="000000"/>
                <w:sz w:val="20"/>
              </w:rPr>
              <w:t>£2,400, or 6.25%, is invoice-supported</w:t>
            </w:r>
          </w:p>
        </w:tc>
        <w:tc>
          <w:tcPr>
            <w:tcW w:type="dxa" w:w="3744"/>
            <w:vAlign w:val="center"/>
            <w:shd w:fill="FFFFFF"/>
            <w:tcMar>
              <w:top w:w="80" w:type="dxa"/>
              <w:bottom w:w="80" w:type="dxa"/>
              <w:left w:w="90" w:type="dxa"/>
              <w:right w:w="90" w:type="dxa"/>
            </w:tcMar>
          </w:tcPr>
          <w:p>
            <w:pPr>
              <w:spacing w:after="0" w:line="250" w:lineRule="auto"/>
            </w:pPr>
            <w:r>
              <w:rPr>
                <w:color w:val="000000"/>
                <w:sz w:val="20"/>
              </w:rPr>
              <w:t>Shared Value Assurance components</w:t>
            </w:r>
          </w:p>
        </w:tc>
      </w:tr>
    </w:tbl>
    <w:p>
      <w:pPr>
        <w:spacing w:after="20"/>
      </w:pPr>
    </w:p>
    <w:p>
      <w:r>
        <w:rPr>
          <w:b/>
          <w:color w:val="000000"/>
        </w:rPr>
        <w:t>Judgment.</w:t>
      </w:r>
      <w:r>
        <w:rPr>
          <w:color w:val="000000"/>
        </w:rPr>
        <w:t xml:space="preserve"> Panel membership alone does not prove fit. Scope, capacity, timing and required qualifications all matter. A suitable preapproved panel route can execute inside standing scope. For a business request specifically seeking a new supplier, Category Lead confirms the recommended incumbent fit. Risk and bank authority remain separate.</w:t>
      </w:r>
    </w:p>
    <w:p>
      <w:r>
        <w:rPr>
          <w:b/>
          <w:color w:val="000000"/>
        </w:rPr>
        <w:t>Required new-supplier branch.</w:t>
      </w:r>
      <w:r>
        <w:rPr>
          <w:color w:val="000000"/>
        </w:rPr>
        <w:t xml:space="preserve"> Mark incumbent capacity unavailable and select justified onboarding. Reuse extraction/screening patterns from </w:t>
      </w:r>
      <w:r>
        <w:rPr>
          <w:rFonts w:ascii="Consolas" w:hAnsi="Consolas"/>
          <w:color w:val="000000"/>
          <w:sz w:val="20"/>
        </w:rPr>
        <w:t>onboardingCase.tsx</w:t>
      </w:r>
      <w:r>
        <w:rPr>
          <w:color w:val="000000"/>
        </w:rPr>
        <w:t>, replacing all entities, currency, dates and services. Read registration, tax, insurance and ownership. Run duplicate and screening checks. Stop at client Finance callback. Record verified bank result and master sync, then activate and resume the held PO. A sanctions variant remains blocked. Bank mismatch routes to Finance Controller. Re-entry never creates duplicate masters.</w:t>
      </w:r>
    </w:p>
    <w:p>
      <w:r>
        <w:rPr>
          <w:b/>
          <w:color w:val="000000"/>
        </w:rPr>
        <w:t>Measurement.</w:t>
      </w:r>
      <w:r>
        <w:rPr>
          <w:color w:val="000000"/>
        </w:rPr>
        <w:t xml:space="preserve"> Record £2,400 like-for-like price saving separately from illustrative £600 onboarding effort avoided. The effort amount is noncash productivity/cost avoidance unless a Finance-approved method establishes otherwise. It never increases invoice-validated savings by default. One redirected request is one avoided onboarding, not proof of 10–25% supplier-base reduction. Measure the source's 4–10% potential only through supported case results.</w:t>
      </w:r>
    </w:p>
    <w:p>
      <w:pPr>
        <w:pStyle w:val="Heading2"/>
      </w:pPr>
      <w:r>
        <w:t>13 4 ST04 Resolve contract deviations</w:t>
      </w:r>
    </w:p>
    <w:p>
      <w:r>
        <w:rPr>
          <w:b/>
          <w:color w:val="000000"/>
        </w:rPr>
        <w:t>Trigger and linkage.</w:t>
      </w:r>
      <w:r>
        <w:rPr>
          <w:color w:val="000000"/>
        </w:rPr>
        <w:t xml:space="preserve"> ST02's £46,000 award needs a service contract. Its task opens ST04 on </w:t>
      </w:r>
      <w:r>
        <w:rPr>
          <w:rFonts w:ascii="Consolas" w:hAnsi="Consolas"/>
          <w:color w:val="000000"/>
          <w:sz w:val="20"/>
        </w:rPr>
        <w:t>CASE-ST02-001</w:t>
      </w:r>
      <w:r>
        <w:rPr>
          <w:color w:val="000000"/>
        </w:rPr>
        <w:t xml:space="preserve">, contract </w:t>
      </w:r>
      <w:r>
        <w:rPr>
          <w:rFonts w:ascii="Consolas" w:hAnsi="Consolas"/>
          <w:color w:val="000000"/>
          <w:sz w:val="20"/>
        </w:rPr>
        <w:t>CTR-AP-4004</w:t>
      </w:r>
      <w:r>
        <w:rPr>
          <w:color w:val="000000"/>
        </w:rPr>
        <w:t>. A standalone presenter launch seeds the upstream award and three-bid evidence as completed. Both launch modes use the same rules and must not create another value record.</w:t>
      </w:r>
    </w:p>
    <w:p>
      <w:r>
        <w:rPr>
          <w:color w:val="000000"/>
        </w:rPr>
        <w:t>The fictional demo library has preferred payment Net 30, a delegated warranty range of 6–12 months and a restricted liability clause. Supplier redlines propose Net 30, six-month warranty and uncapped client liability. They map to Green, Amber and Red. They are example library positions, not actual legal advice or client contract terms.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800"/>
        <w:gridCol w:w="3888"/>
        <w:gridCol w:w="3744"/>
      </w:tblGrid>
      <w:tr>
        <w:trPr>
          <w:cantSplit/>
          <w:tblHeader/>
        </w:trPr>
        <w:tc>
          <w:tcPr>
            <w:tcW w:type="dxa" w:w="648"/>
            <w:vAlign w:val="center"/>
            <w:shd w:fill="18354B"/>
            <w:tcMar>
              <w:top w:w="80" w:type="dxa"/>
              <w:bottom w:w="80" w:type="dxa"/>
              <w:left w:w="90" w:type="dxa"/>
              <w:right w:w="90" w:type="dxa"/>
            </w:tcMar>
          </w:tcPr>
          <w:p>
            <w:pPr>
              <w:keepNext/>
              <w:spacing w:after="0" w:line="250" w:lineRule="auto"/>
              <w:jc w:val="center"/>
            </w:pPr>
            <w:r>
              <w:rPr>
                <w:b/>
                <w:color w:val="FFFFFF"/>
                <w:sz w:val="20"/>
              </w:rPr>
              <w:t>Beat</w:t>
            </w:r>
          </w:p>
        </w:tc>
        <w:tc>
          <w:tcPr>
            <w:tcW w:type="dxa" w:w="1800"/>
            <w:vAlign w:val="center"/>
            <w:shd w:fill="18354B"/>
            <w:tcMar>
              <w:top w:w="80" w:type="dxa"/>
              <w:bottom w:w="80" w:type="dxa"/>
              <w:left w:w="90" w:type="dxa"/>
              <w:right w:w="90" w:type="dxa"/>
            </w:tcMar>
          </w:tcPr>
          <w:p>
            <w:pPr>
              <w:keepNext/>
              <w:spacing w:after="0" w:line="250" w:lineRule="auto"/>
            </w:pPr>
            <w:r>
              <w:rPr>
                <w:b/>
                <w:color w:val="FFFFFF"/>
                <w:sz w:val="20"/>
              </w:rPr>
              <w:t>Action</w:t>
            </w:r>
          </w:p>
        </w:tc>
        <w:tc>
          <w:tcPr>
            <w:tcW w:type="dxa" w:w="3888"/>
            <w:vAlign w:val="center"/>
            <w:shd w:fill="18354B"/>
            <w:tcMar>
              <w:top w:w="80" w:type="dxa"/>
              <w:bottom w:w="80" w:type="dxa"/>
              <w:left w:w="90" w:type="dxa"/>
              <w:right w:w="90" w:type="dxa"/>
            </w:tcMar>
          </w:tcPr>
          <w:p>
            <w:pPr>
              <w:keepNext/>
              <w:spacing w:after="0" w:line="250" w:lineRule="auto"/>
            </w:pPr>
            <w:r>
              <w:rPr>
                <w:b/>
                <w:color w:val="FFFFFF"/>
                <w:sz w:val="20"/>
              </w:rPr>
              <w:t>Visible result and state change</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Component plan</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1</w:t>
            </w:r>
          </w:p>
        </w:tc>
        <w:tc>
          <w:tcPr>
            <w:tcW w:type="dxa" w:w="1800"/>
            <w:vAlign w:val="center"/>
            <w:shd w:fill="FFFFFF"/>
            <w:tcMar>
              <w:top w:w="80" w:type="dxa"/>
              <w:bottom w:w="80" w:type="dxa"/>
              <w:left w:w="90" w:type="dxa"/>
              <w:right w:w="90" w:type="dxa"/>
            </w:tcMar>
          </w:tcPr>
          <w:p>
            <w:pPr>
              <w:spacing w:after="0" w:line="250" w:lineRule="auto"/>
            </w:pPr>
            <w:r>
              <w:rPr>
                <w:color w:val="000000"/>
                <w:sz w:val="20"/>
              </w:rPr>
              <w:t>Open contract task</w:t>
            </w:r>
          </w:p>
        </w:tc>
        <w:tc>
          <w:tcPr>
            <w:tcW w:type="dxa" w:w="3888"/>
            <w:vAlign w:val="center"/>
            <w:shd w:fill="FFFFFF"/>
            <w:tcMar>
              <w:top w:w="80" w:type="dxa"/>
              <w:bottom w:w="80" w:type="dxa"/>
              <w:left w:w="90" w:type="dxa"/>
              <w:right w:w="90" w:type="dxa"/>
            </w:tcMar>
          </w:tcPr>
          <w:p>
            <w:pPr>
              <w:spacing w:after="0" w:line="250" w:lineRule="auto"/>
            </w:pPr>
            <w:r>
              <w:rPr>
                <w:color w:val="000000"/>
                <w:sz w:val="20"/>
              </w:rPr>
              <w:t>£46K scope passes desk triage; library version visible</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Reuse </w:t>
            </w:r>
            <w:r>
              <w:rPr>
                <w:rFonts w:ascii="Consolas" w:hAnsi="Consolas"/>
                <w:color w:val="000000"/>
                <w:sz w:val="19"/>
              </w:rPr>
              <w:t>ConsolePage</w:t>
            </w:r>
            <w:r>
              <w:rPr>
                <w:color w:val="000000"/>
                <w:sz w:val="20"/>
              </w:rPr>
              <w:t xml:space="preserve">, </w:t>
            </w:r>
            <w:r>
              <w:rPr>
                <w:rFonts w:ascii="Consolas" w:hAnsi="Consolas"/>
                <w:color w:val="000000"/>
                <w:sz w:val="19"/>
              </w:rPr>
              <w:t>ContractDoc</w:t>
            </w:r>
            <w:r>
              <w:rPr>
                <w:color w:val="000000"/>
                <w:sz w:val="20"/>
              </w:rPr>
              <w:t>, new scope panel</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2</w:t>
            </w:r>
          </w:p>
        </w:tc>
        <w:tc>
          <w:tcPr>
            <w:tcW w:type="dxa" w:w="1800"/>
            <w:vAlign w:val="center"/>
            <w:shd w:fill="F3F6F8"/>
            <w:tcMar>
              <w:top w:w="80" w:type="dxa"/>
              <w:bottom w:w="80" w:type="dxa"/>
              <w:left w:w="90" w:type="dxa"/>
              <w:right w:w="90" w:type="dxa"/>
            </w:tcMar>
          </w:tcPr>
          <w:p>
            <w:pPr>
              <w:spacing w:after="0" w:line="250" w:lineRule="auto"/>
            </w:pPr>
            <w:r>
              <w:rPr>
                <w:color w:val="000000"/>
                <w:sz w:val="20"/>
              </w:rPr>
              <w:t>Compare redlines</w:t>
            </w:r>
          </w:p>
        </w:tc>
        <w:tc>
          <w:tcPr>
            <w:tcW w:type="dxa" w:w="3888"/>
            <w:vAlign w:val="center"/>
            <w:shd w:fill="F3F6F8"/>
            <w:tcMar>
              <w:top w:w="80" w:type="dxa"/>
              <w:bottom w:w="80" w:type="dxa"/>
              <w:left w:w="90" w:type="dxa"/>
              <w:right w:w="90" w:type="dxa"/>
            </w:tcMar>
          </w:tcPr>
          <w:p>
            <w:pPr>
              <w:spacing w:after="0" w:line="250" w:lineRule="auto"/>
            </w:pPr>
            <w:r>
              <w:rPr>
                <w:color w:val="000000"/>
                <w:sz w:val="20"/>
              </w:rPr>
              <w:t>Clause rows show original/proposed text, band and owner</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ClauseCompareGrid</w:t>
            </w:r>
            <w:r>
              <w:rPr>
                <w:color w:val="000000"/>
                <w:sz w:val="20"/>
              </w:rPr>
              <w:t>, staged source highlights</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3</w:t>
            </w:r>
          </w:p>
        </w:tc>
        <w:tc>
          <w:tcPr>
            <w:tcW w:type="dxa" w:w="1800"/>
            <w:vAlign w:val="center"/>
            <w:shd w:fill="FFFFFF"/>
            <w:tcMar>
              <w:top w:w="80" w:type="dxa"/>
              <w:bottom w:w="80" w:type="dxa"/>
              <w:left w:w="90" w:type="dxa"/>
              <w:right w:w="90" w:type="dxa"/>
            </w:tcMar>
          </w:tcPr>
          <w:p>
            <w:pPr>
              <w:spacing w:after="0" w:line="250" w:lineRule="auto"/>
            </w:pPr>
            <w:r>
              <w:rPr>
                <w:color w:val="000000"/>
                <w:sz w:val="20"/>
              </w:rPr>
              <w:t>Resolve Green payment</w:t>
            </w:r>
          </w:p>
        </w:tc>
        <w:tc>
          <w:tcPr>
            <w:tcW w:type="dxa" w:w="3888"/>
            <w:vAlign w:val="center"/>
            <w:shd w:fill="FFFFFF"/>
            <w:tcMar>
              <w:top w:w="80" w:type="dxa"/>
              <w:bottom w:w="80" w:type="dxa"/>
              <w:left w:w="90" w:type="dxa"/>
              <w:right w:w="90" w:type="dxa"/>
            </w:tcMar>
          </w:tcPr>
          <w:p>
            <w:pPr>
              <w:spacing w:after="0" w:line="250" w:lineRule="auto"/>
            </w:pPr>
            <w:r>
              <w:rPr>
                <w:color w:val="000000"/>
                <w:sz w:val="20"/>
              </w:rPr>
              <w:t>Preferred text retained under existing authority</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ClauseBandChip</w:t>
            </w:r>
            <w:r>
              <w:rPr>
                <w:color w:val="000000"/>
                <w:sz w:val="20"/>
              </w:rPr>
              <w:t>, existing contract reader</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4</w:t>
            </w:r>
          </w:p>
        </w:tc>
        <w:tc>
          <w:tcPr>
            <w:tcW w:type="dxa" w:w="1800"/>
            <w:vAlign w:val="center"/>
            <w:shd w:fill="F3F6F8"/>
            <w:tcMar>
              <w:top w:w="80" w:type="dxa"/>
              <w:bottom w:w="80" w:type="dxa"/>
              <w:left w:w="90" w:type="dxa"/>
              <w:right w:w="90" w:type="dxa"/>
            </w:tcMar>
          </w:tcPr>
          <w:p>
            <w:pPr>
              <w:spacing w:after="0" w:line="250" w:lineRule="auto"/>
            </w:pPr>
            <w:r>
              <w:rPr>
                <w:color w:val="000000"/>
                <w:sz w:val="20"/>
              </w:rPr>
              <w:t>Decide Amber warranty</w:t>
            </w:r>
          </w:p>
        </w:tc>
        <w:tc>
          <w:tcPr>
            <w:tcW w:type="dxa" w:w="3888"/>
            <w:vAlign w:val="center"/>
            <w:shd w:fill="F3F6F8"/>
            <w:tcMar>
              <w:top w:w="80" w:type="dxa"/>
              <w:bottom w:w="80" w:type="dxa"/>
              <w:left w:w="90" w:type="dxa"/>
              <w:right w:w="90" w:type="dxa"/>
            </w:tcMar>
          </w:tcPr>
          <w:p>
            <w:pPr>
              <w:spacing w:after="0" w:line="250" w:lineRule="auto"/>
            </w:pPr>
            <w:r>
              <w:rPr>
                <w:color w:val="000000"/>
                <w:sz w:val="20"/>
              </w:rPr>
              <w:t>Delegated Approver counters six months with 12</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ClauseDecisionPanel</w:t>
            </w:r>
            <w:r>
              <w:rPr>
                <w:color w:val="000000"/>
                <w:sz w:val="20"/>
              </w:rPr>
              <w:t>, signable/modal shell</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5</w:t>
            </w:r>
          </w:p>
        </w:tc>
        <w:tc>
          <w:tcPr>
            <w:tcW w:type="dxa" w:w="1800"/>
            <w:vAlign w:val="center"/>
            <w:shd w:fill="FFFFFF"/>
            <w:tcMar>
              <w:top w:w="80" w:type="dxa"/>
              <w:bottom w:w="80" w:type="dxa"/>
              <w:left w:w="90" w:type="dxa"/>
              <w:right w:w="90" w:type="dxa"/>
            </w:tcMar>
          </w:tcPr>
          <w:p>
            <w:pPr>
              <w:spacing w:after="0" w:line="250" w:lineRule="auto"/>
            </w:pPr>
            <w:r>
              <w:rPr>
                <w:color w:val="000000"/>
                <w:sz w:val="20"/>
              </w:rPr>
              <w:t>Refer Red liability</w:t>
            </w:r>
          </w:p>
        </w:tc>
        <w:tc>
          <w:tcPr>
            <w:tcW w:type="dxa" w:w="3888"/>
            <w:vAlign w:val="center"/>
            <w:shd w:fill="FFFFFF"/>
            <w:tcMar>
              <w:top w:w="80" w:type="dxa"/>
              <w:bottom w:w="80" w:type="dxa"/>
              <w:left w:w="90" w:type="dxa"/>
              <w:right w:w="90" w:type="dxa"/>
            </w:tcMar>
          </w:tcPr>
          <w:p>
            <w:pPr>
              <w:spacing w:after="0" w:line="250" w:lineRule="auto"/>
            </w:pPr>
            <w:r>
              <w:rPr>
                <w:color w:val="000000"/>
                <w:sz w:val="20"/>
              </w:rPr>
              <w:t>Mandatory Legal task; generic proceed unavailable</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LegalReviewTask</w:t>
            </w:r>
            <w:r>
              <w:rPr>
                <w:color w:val="000000"/>
                <w:sz w:val="20"/>
              </w:rPr>
              <w:t xml:space="preserve">, shared </w:t>
            </w:r>
            <w:r>
              <w:rPr>
                <w:rFonts w:ascii="Consolas" w:hAnsi="Consolas"/>
                <w:color w:val="000000"/>
                <w:sz w:val="19"/>
              </w:rPr>
              <w:t>ApprovalTaskCard</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6</w:t>
            </w:r>
          </w:p>
        </w:tc>
        <w:tc>
          <w:tcPr>
            <w:tcW w:type="dxa" w:w="1800"/>
            <w:vAlign w:val="center"/>
            <w:shd w:fill="F3F6F8"/>
            <w:tcMar>
              <w:top w:w="80" w:type="dxa"/>
              <w:bottom w:w="80" w:type="dxa"/>
              <w:left w:w="90" w:type="dxa"/>
              <w:right w:w="90" w:type="dxa"/>
            </w:tcMar>
          </w:tcPr>
          <w:p>
            <w:pPr>
              <w:spacing w:after="0" w:line="250" w:lineRule="auto"/>
            </w:pPr>
            <w:r>
              <w:rPr>
                <w:color w:val="000000"/>
                <w:sz w:val="20"/>
              </w:rPr>
              <w:t>Accept countertext and sign</w:t>
            </w:r>
          </w:p>
        </w:tc>
        <w:tc>
          <w:tcPr>
            <w:tcW w:type="dxa" w:w="3888"/>
            <w:vAlign w:val="center"/>
            <w:shd w:fill="F3F6F8"/>
            <w:tcMar>
              <w:top w:w="80" w:type="dxa"/>
              <w:bottom w:w="80" w:type="dxa"/>
              <w:left w:w="90" w:type="dxa"/>
              <w:right w:w="90" w:type="dxa"/>
            </w:tcMar>
          </w:tcPr>
          <w:p>
            <w:pPr>
              <w:spacing w:after="0" w:line="250" w:lineRule="auto"/>
            </w:pPr>
            <w:r>
              <w:rPr>
                <w:color w:val="000000"/>
                <w:sz w:val="20"/>
              </w:rPr>
              <w:t>Supplier accepts approved text; authorised mock signature records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Existing email roundtrip, new execution timeline</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7</w:t>
            </w:r>
          </w:p>
        </w:tc>
        <w:tc>
          <w:tcPr>
            <w:tcW w:type="dxa" w:w="1800"/>
            <w:vAlign w:val="center"/>
            <w:shd w:fill="FFFFFF"/>
            <w:tcMar>
              <w:top w:w="80" w:type="dxa"/>
              <w:bottom w:w="80" w:type="dxa"/>
              <w:left w:w="90" w:type="dxa"/>
              <w:right w:w="90" w:type="dxa"/>
            </w:tcMar>
          </w:tcPr>
          <w:p>
            <w:pPr>
              <w:spacing w:after="0" w:line="250" w:lineRule="auto"/>
            </w:pPr>
            <w:r>
              <w:rPr>
                <w:color w:val="000000"/>
                <w:sz w:val="20"/>
              </w:rPr>
              <w:t>Store executed version</w:t>
            </w:r>
          </w:p>
        </w:tc>
        <w:tc>
          <w:tcPr>
            <w:tcW w:type="dxa" w:w="3888"/>
            <w:vAlign w:val="center"/>
            <w:shd w:fill="FFFFFF"/>
            <w:tcMar>
              <w:top w:w="80" w:type="dxa"/>
              <w:bottom w:w="80" w:type="dxa"/>
              <w:left w:w="90" w:type="dxa"/>
              <w:right w:w="90" w:type="dxa"/>
            </w:tcMar>
          </w:tcPr>
          <w:p>
            <w:pPr>
              <w:spacing w:after="0" w:line="250" w:lineRule="auto"/>
            </w:pPr>
            <w:r>
              <w:rPr>
                <w:color w:val="000000"/>
                <w:sz w:val="20"/>
              </w:rPr>
              <w:t>Repository receipt creates contractLive</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RepositoryReceipt</w:t>
            </w:r>
            <w:r>
              <w:rPr>
                <w:color w:val="000000"/>
                <w:sz w:val="20"/>
              </w:rPr>
              <w:t>, shared async motion</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8</w:t>
            </w:r>
          </w:p>
        </w:tc>
        <w:tc>
          <w:tcPr>
            <w:tcW w:type="dxa" w:w="1800"/>
            <w:vAlign w:val="center"/>
            <w:shd w:fill="F3F6F8"/>
            <w:tcMar>
              <w:top w:w="80" w:type="dxa"/>
              <w:bottom w:w="80" w:type="dxa"/>
              <w:left w:w="90" w:type="dxa"/>
              <w:right w:w="90" w:type="dxa"/>
            </w:tcMar>
          </w:tcPr>
          <w:p>
            <w:pPr>
              <w:spacing w:after="0" w:line="250" w:lineRule="auto"/>
            </w:pPr>
            <w:r>
              <w:rPr>
                <w:color w:val="000000"/>
                <w:sz w:val="20"/>
              </w:rPr>
              <w:t>Return to held PO</w:t>
            </w:r>
          </w:p>
        </w:tc>
        <w:tc>
          <w:tcPr>
            <w:tcW w:type="dxa" w:w="3888"/>
            <w:vAlign w:val="center"/>
            <w:shd w:fill="F3F6F8"/>
            <w:tcMar>
              <w:top w:w="80" w:type="dxa"/>
              <w:bottom w:w="80" w:type="dxa"/>
              <w:left w:w="90" w:type="dxa"/>
              <w:right w:w="90" w:type="dxa"/>
            </w:tcMar>
          </w:tcPr>
          <w:p>
            <w:pPr>
              <w:spacing w:after="0" w:line="250" w:lineRule="auto"/>
            </w:pPr>
            <w:r>
              <w:rPr>
                <w:color w:val="000000"/>
                <w:sz w:val="20"/>
              </w:rPr>
              <w:t>Contract hold clears on original case</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Existing </w:t>
            </w:r>
            <w:r>
              <w:rPr>
                <w:rFonts w:ascii="Consolas" w:hAnsi="Consolas"/>
                <w:color w:val="000000"/>
                <w:sz w:val="19"/>
              </w:rPr>
              <w:t>HandoffOverlay</w:t>
            </w:r>
            <w:r>
              <w:rPr>
                <w:color w:val="000000"/>
                <w:sz w:val="20"/>
              </w:rPr>
              <w:t xml:space="preserve"> and PO workspace</w:t>
            </w:r>
          </w:p>
        </w:tc>
      </w:tr>
    </w:tbl>
    <w:p>
      <w:pPr>
        <w:spacing w:after="20"/>
      </w:pPr>
    </w:p>
    <w:p>
      <w:r>
        <w:rPr>
          <w:b/>
          <w:color w:val="000000"/>
        </w:rPr>
        <w:t>Controls.</w:t>
      </w:r>
      <w:r>
        <w:rPr>
          <w:color w:val="000000"/>
        </w:rPr>
        <w:t xml:space="preserve"> The highest unresolved band determines routing. Green can execute under approved signing mandate and confidence at least 0.90. Amber needs delegated authority. Red or unknown clauses always need Legal. A changed redline increments revision and invalidates affected decisions. Store the reviewed wording and decision evidence.</w:t>
      </w:r>
    </w:p>
    <w:p>
      <w:r>
        <w:rPr>
          <w:b/>
          <w:color w:val="000000"/>
        </w:rPr>
        <w:t>Required branches.</w:t>
      </w:r>
      <w:r>
        <w:rPr>
          <w:color w:val="000000"/>
        </w:rPr>
        <w:t xml:space="preserve"> An all-Green variant executes and stores touchlessly. Unknown/uncapped text keeps PO blocked until Legal resolves it. A signing/repository outage preserves the approved draft but holds PO and creates a manual task due within one day. Recurring deviations create a proposed quarterly governance refresh, not an immediate rule change.</w:t>
      </w:r>
    </w:p>
    <w:p>
      <w:r>
        <w:rPr>
          <w:b/>
          <w:color w:val="000000"/>
        </w:rPr>
        <w:t>Outcome.</w:t>
      </w:r>
      <w:r>
        <w:rPr>
          <w:color w:val="000000"/>
        </w:rPr>
        <w:t xml:space="preserve"> Show stored contract, protected warranty/liability terms, decision history and resumed PO. Incremental contract cash savings default to £0 here. Track cycle time and protected terms separately. Do not apply an assumed 2–5% impact or count ST02 savings twice.</w:t>
      </w:r>
    </w:p>
    <w:p>
      <w:pPr>
        <w:pStyle w:val="Heading2"/>
      </w:pPr>
      <w:r>
        <w:t>13 5 ST05 Challenge a named specification</w:t>
      </w:r>
    </w:p>
    <w:p>
      <w:r>
        <w:rPr>
          <w:b/>
          <w:color w:val="000000"/>
        </w:rPr>
        <w:t>Trigger and fixtures.</w:t>
      </w:r>
      <w:r>
        <w:rPr>
          <w:color w:val="000000"/>
        </w:rPr>
        <w:t xml:space="preserve"> A Halewood maintenance requester specifies 200 SKF 6205 bearings for a non-safety-critical stores conveyor. Original option is £24 each, £4,800 total. Candidate FAG 6205-C is £22 each, £4,400 total. Real manufacturer designations ground the documents. Application suitability, approval status, price and quality history are demo records. Equal dimensions alone do not establish equivalence.</w:t>
      </w:r>
    </w:p>
    <w:p>
      <w:r>
        <w:rPr>
          <w:color w:val="000000"/>
        </w:rPr>
        <w:t xml:space="preserve">Use </w:t>
      </w:r>
      <w:r>
        <w:rPr>
          <w:rFonts w:ascii="Consolas" w:hAnsi="Consolas"/>
          <w:color w:val="000000"/>
          <w:sz w:val="20"/>
        </w:rPr>
        <w:t>CASE-ST05-001</w:t>
      </w:r>
      <w:r>
        <w:rPr>
          <w:color w:val="000000"/>
        </w:rPr>
        <w:t xml:space="preserve">, </w:t>
      </w:r>
      <w:r>
        <w:rPr>
          <w:rFonts w:ascii="Consolas" w:hAnsi="Consolas"/>
          <w:color w:val="000000"/>
          <w:sz w:val="20"/>
        </w:rPr>
        <w:t>PR-AP-1005</w:t>
      </w:r>
      <w:r>
        <w:rPr>
          <w:color w:val="000000"/>
        </w:rPr>
        <w:t xml:space="preserve">, equivalence record </w:t>
      </w:r>
      <w:r>
        <w:rPr>
          <w:rFonts w:ascii="Consolas" w:hAnsi="Consolas"/>
          <w:color w:val="000000"/>
          <w:sz w:val="20"/>
        </w:rPr>
        <w:t>EQ-AP-5005</w:t>
      </w:r>
      <w:r>
        <w:rPr>
          <w:color w:val="000000"/>
        </w:rPr>
        <w:t xml:space="preserve"> and </w:t>
      </w:r>
      <w:r>
        <w:rPr>
          <w:rFonts w:ascii="Consolas" w:hAnsi="Consolas"/>
          <w:color w:val="000000"/>
          <w:sz w:val="20"/>
        </w:rPr>
        <w:t>RFQ-AP-2005</w:t>
      </w:r>
      <w:r>
        <w:rPr>
          <w:color w:val="000000"/>
        </w:rPr>
        <w:t>. Compare dimensions, variant/sealing, clearance, load, speed, lubrication, environment, quality, warranty and permitted application. Missing required attributes are unverified. The Technical Owner approves complete demo engineering evidence for this application. Competitive bids are £4,400, £4,600 and £4,700 for the accepted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800"/>
        <w:gridCol w:w="3888"/>
        <w:gridCol w:w="3744"/>
      </w:tblGrid>
      <w:tr>
        <w:trPr>
          <w:cantSplit/>
          <w:tblHeader/>
        </w:trPr>
        <w:tc>
          <w:tcPr>
            <w:tcW w:type="dxa" w:w="648"/>
            <w:vAlign w:val="center"/>
            <w:shd w:fill="18354B"/>
            <w:tcMar>
              <w:top w:w="80" w:type="dxa"/>
              <w:bottom w:w="80" w:type="dxa"/>
              <w:left w:w="90" w:type="dxa"/>
              <w:right w:w="90" w:type="dxa"/>
            </w:tcMar>
          </w:tcPr>
          <w:p>
            <w:pPr>
              <w:keepNext/>
              <w:spacing w:after="0" w:line="250" w:lineRule="auto"/>
              <w:jc w:val="center"/>
            </w:pPr>
            <w:r>
              <w:rPr>
                <w:b/>
                <w:color w:val="FFFFFF"/>
                <w:sz w:val="20"/>
              </w:rPr>
              <w:t>Beat</w:t>
            </w:r>
          </w:p>
        </w:tc>
        <w:tc>
          <w:tcPr>
            <w:tcW w:type="dxa" w:w="1800"/>
            <w:vAlign w:val="center"/>
            <w:shd w:fill="18354B"/>
            <w:tcMar>
              <w:top w:w="80" w:type="dxa"/>
              <w:bottom w:w="80" w:type="dxa"/>
              <w:left w:w="90" w:type="dxa"/>
              <w:right w:w="90" w:type="dxa"/>
            </w:tcMar>
          </w:tcPr>
          <w:p>
            <w:pPr>
              <w:keepNext/>
              <w:spacing w:after="0" w:line="250" w:lineRule="auto"/>
            </w:pPr>
            <w:r>
              <w:rPr>
                <w:b/>
                <w:color w:val="FFFFFF"/>
                <w:sz w:val="20"/>
              </w:rPr>
              <w:t>Action</w:t>
            </w:r>
          </w:p>
        </w:tc>
        <w:tc>
          <w:tcPr>
            <w:tcW w:type="dxa" w:w="3888"/>
            <w:vAlign w:val="center"/>
            <w:shd w:fill="18354B"/>
            <w:tcMar>
              <w:top w:w="80" w:type="dxa"/>
              <w:bottom w:w="80" w:type="dxa"/>
              <w:left w:w="90" w:type="dxa"/>
              <w:right w:w="90" w:type="dxa"/>
            </w:tcMar>
          </w:tcPr>
          <w:p>
            <w:pPr>
              <w:keepNext/>
              <w:spacing w:after="0" w:line="250" w:lineRule="auto"/>
            </w:pPr>
            <w:r>
              <w:rPr>
                <w:b/>
                <w:color w:val="FFFFFF"/>
                <w:sz w:val="20"/>
              </w:rPr>
              <w:t>Visible result and state change</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Component plan</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1</w:t>
            </w:r>
          </w:p>
        </w:tc>
        <w:tc>
          <w:tcPr>
            <w:tcW w:type="dxa" w:w="1800"/>
            <w:vAlign w:val="center"/>
            <w:shd w:fill="FFFFFF"/>
            <w:tcMar>
              <w:top w:w="80" w:type="dxa"/>
              <w:bottom w:w="80" w:type="dxa"/>
              <w:left w:w="90" w:type="dxa"/>
              <w:right w:w="90" w:type="dxa"/>
            </w:tcMar>
          </w:tcPr>
          <w:p>
            <w:pPr>
              <w:spacing w:after="0" w:line="250" w:lineRule="auto"/>
            </w:pPr>
            <w:r>
              <w:rPr>
                <w:color w:val="000000"/>
                <w:sz w:val="20"/>
              </w:rPr>
              <w:t>Submit named-brand need</w:t>
            </w:r>
          </w:p>
        </w:tc>
        <w:tc>
          <w:tcPr>
            <w:tcW w:type="dxa" w:w="3888"/>
            <w:vAlign w:val="center"/>
            <w:shd w:fill="FFFFFF"/>
            <w:tcMar>
              <w:top w:w="80" w:type="dxa"/>
              <w:bottom w:w="80" w:type="dxa"/>
              <w:left w:w="90" w:type="dxa"/>
              <w:right w:w="90" w:type="dxa"/>
            </w:tcMar>
          </w:tcPr>
          <w:p>
            <w:pPr>
              <w:spacing w:after="0" w:line="250" w:lineRule="auto"/>
            </w:pPr>
            <w:r>
              <w:rPr>
                <w:color w:val="000000"/>
                <w:sz w:val="20"/>
              </w:rPr>
              <w:t>Original specification and £4,800 baseline remain visible</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Existing intake and </w:t>
            </w:r>
            <w:r>
              <w:rPr>
                <w:rFonts w:ascii="Consolas" w:hAnsi="Consolas"/>
                <w:color w:val="000000"/>
                <w:sz w:val="19"/>
              </w:rPr>
              <w:t>StructuredPrDoc</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2</w:t>
            </w:r>
          </w:p>
        </w:tc>
        <w:tc>
          <w:tcPr>
            <w:tcW w:type="dxa" w:w="1800"/>
            <w:vAlign w:val="center"/>
            <w:shd w:fill="F3F6F8"/>
            <w:tcMar>
              <w:top w:w="80" w:type="dxa"/>
              <w:bottom w:w="80" w:type="dxa"/>
              <w:left w:w="90" w:type="dxa"/>
              <w:right w:w="90" w:type="dxa"/>
            </w:tcMar>
          </w:tcPr>
          <w:p>
            <w:pPr>
              <w:spacing w:after="0" w:line="250" w:lineRule="auto"/>
            </w:pPr>
            <w:r>
              <w:rPr>
                <w:color w:val="000000"/>
                <w:sz w:val="20"/>
              </w:rPr>
              <w:t>Analyse essential attributes</w:t>
            </w:r>
          </w:p>
        </w:tc>
        <w:tc>
          <w:tcPr>
            <w:tcW w:type="dxa" w:w="3888"/>
            <w:vAlign w:val="center"/>
            <w:shd w:fill="F3F6F8"/>
            <w:tcMar>
              <w:top w:w="80" w:type="dxa"/>
              <w:bottom w:w="80" w:type="dxa"/>
              <w:left w:w="90" w:type="dxa"/>
              <w:right w:w="90" w:type="dxa"/>
            </w:tcMar>
          </w:tcPr>
          <w:p>
            <w:pPr>
              <w:spacing w:after="0" w:line="250" w:lineRule="auto"/>
            </w:pPr>
            <w:r>
              <w:rPr>
                <w:color w:val="000000"/>
                <w:sz w:val="20"/>
              </w:rPr>
              <w:t>Compact comparison fills with evidence and unresolved fields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TechnicalAttributeGrid</w:t>
            </w:r>
            <w:r>
              <w:rPr>
                <w:color w:val="000000"/>
                <w:sz w:val="20"/>
              </w:rPr>
              <w:t>, reuse lookup/scorecards</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3</w:t>
            </w:r>
          </w:p>
        </w:tc>
        <w:tc>
          <w:tcPr>
            <w:tcW w:type="dxa" w:w="1800"/>
            <w:vAlign w:val="center"/>
            <w:shd w:fill="FFFFFF"/>
            <w:tcMar>
              <w:top w:w="80" w:type="dxa"/>
              <w:bottom w:w="80" w:type="dxa"/>
              <w:left w:w="90" w:type="dxa"/>
              <w:right w:w="90" w:type="dxa"/>
            </w:tcMar>
          </w:tcPr>
          <w:p>
            <w:pPr>
              <w:spacing w:after="0" w:line="250" w:lineRule="auto"/>
            </w:pPr>
            <w:r>
              <w:rPr>
                <w:color w:val="000000"/>
                <w:sz w:val="20"/>
              </w:rPr>
              <w:t>Review candidate</w:t>
            </w:r>
          </w:p>
        </w:tc>
        <w:tc>
          <w:tcPr>
            <w:tcW w:type="dxa" w:w="3888"/>
            <w:vAlign w:val="center"/>
            <w:shd w:fill="FFFFFF"/>
            <w:tcMar>
              <w:top w:w="80" w:type="dxa"/>
              <w:bottom w:w="80" w:type="dxa"/>
              <w:left w:w="90" w:type="dxa"/>
              <w:right w:w="90" w:type="dxa"/>
            </w:tcMar>
          </w:tcPr>
          <w:p>
            <w:pPr>
              <w:spacing w:after="0" w:line="250" w:lineRule="auto"/>
            </w:pPr>
            <w:r>
              <w:rPr>
                <w:color w:val="000000"/>
                <w:sz w:val="20"/>
              </w:rPr>
              <w:t>Criticality, required conditions and fit are shown</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EquivalentCandidateCard</w:t>
            </w:r>
            <w:r>
              <w:rPr>
                <w:color w:val="000000"/>
                <w:sz w:val="20"/>
              </w:rPr>
              <w:t>, choice pattern</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4</w:t>
            </w:r>
          </w:p>
        </w:tc>
        <w:tc>
          <w:tcPr>
            <w:tcW w:type="dxa" w:w="1800"/>
            <w:vAlign w:val="center"/>
            <w:shd w:fill="F3F6F8"/>
            <w:tcMar>
              <w:top w:w="80" w:type="dxa"/>
              <w:bottom w:w="80" w:type="dxa"/>
              <w:left w:w="90" w:type="dxa"/>
              <w:right w:w="90" w:type="dxa"/>
            </w:tcMar>
          </w:tcPr>
          <w:p>
            <w:pPr>
              <w:spacing w:after="0" w:line="250" w:lineRule="auto"/>
            </w:pPr>
            <w:r>
              <w:rPr>
                <w:color w:val="000000"/>
                <w:sz w:val="20"/>
              </w:rPr>
              <w:t>Technical Owner signs</w:t>
            </w:r>
          </w:p>
        </w:tc>
        <w:tc>
          <w:tcPr>
            <w:tcW w:type="dxa" w:w="3888"/>
            <w:vAlign w:val="center"/>
            <w:shd w:fill="F3F6F8"/>
            <w:tcMar>
              <w:top w:w="80" w:type="dxa"/>
              <w:bottom w:w="80" w:type="dxa"/>
              <w:left w:w="90" w:type="dxa"/>
              <w:right w:w="90" w:type="dxa"/>
            </w:tcMar>
          </w:tcPr>
          <w:p>
            <w:pPr>
              <w:spacing w:after="0" w:line="250" w:lineRule="auto"/>
            </w:pPr>
            <w:r>
              <w:rPr>
                <w:color w:val="000000"/>
                <w:sz w:val="20"/>
              </w:rPr>
              <w:t>Versioned application-specific equivalence recorded</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TechnicalSignoffCard</w:t>
            </w:r>
            <w:r>
              <w:rPr>
                <w:color w:val="000000"/>
                <w:sz w:val="20"/>
              </w:rPr>
              <w:t>, existing approval shell</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5</w:t>
            </w:r>
          </w:p>
        </w:tc>
        <w:tc>
          <w:tcPr>
            <w:tcW w:type="dxa" w:w="1800"/>
            <w:vAlign w:val="center"/>
            <w:shd w:fill="FFFFFF"/>
            <w:tcMar>
              <w:top w:w="80" w:type="dxa"/>
              <w:bottom w:w="80" w:type="dxa"/>
              <w:left w:w="90" w:type="dxa"/>
              <w:right w:w="90" w:type="dxa"/>
            </w:tcMar>
          </w:tcPr>
          <w:p>
            <w:pPr>
              <w:spacing w:after="0" w:line="250" w:lineRule="auto"/>
            </w:pPr>
            <w:r>
              <w:rPr>
                <w:color w:val="000000"/>
                <w:sz w:val="20"/>
              </w:rPr>
              <w:t>Buy Desk releases RFQ scope</w:t>
            </w:r>
          </w:p>
        </w:tc>
        <w:tc>
          <w:tcPr>
            <w:tcW w:type="dxa" w:w="3888"/>
            <w:vAlign w:val="center"/>
            <w:shd w:fill="FFFFFF"/>
            <w:tcMar>
              <w:top w:w="80" w:type="dxa"/>
              <w:bottom w:w="80" w:type="dxa"/>
              <w:left w:w="90" w:type="dxa"/>
              <w:right w:w="90" w:type="dxa"/>
            </w:tcMar>
          </w:tcPr>
          <w:p>
            <w:pPr>
              <w:spacing w:after="0" w:line="250" w:lineRule="auto"/>
            </w:pPr>
            <w:r>
              <w:rPr>
                <w:color w:val="000000"/>
                <w:sz w:val="20"/>
              </w:rPr>
              <w:t>Approved alternatives widen bidding without dropping warranty</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New </w:t>
            </w:r>
            <w:r>
              <w:rPr>
                <w:rFonts w:ascii="Consolas" w:hAnsi="Consolas"/>
                <w:color w:val="000000"/>
                <w:sz w:val="19"/>
              </w:rPr>
              <w:t>SpecificationReleaseCard</w:t>
            </w:r>
            <w:r>
              <w:rPr>
                <w:color w:val="000000"/>
                <w:sz w:val="20"/>
              </w:rPr>
              <w:t xml:space="preserve">, </w:t>
            </w:r>
            <w:r>
              <w:rPr>
                <w:rFonts w:ascii="Consolas" w:hAnsi="Consolas"/>
                <w:color w:val="000000"/>
                <w:sz w:val="19"/>
              </w:rPr>
              <w:t>RfqFlow</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6</w:t>
            </w:r>
          </w:p>
        </w:tc>
        <w:tc>
          <w:tcPr>
            <w:tcW w:type="dxa" w:w="1800"/>
            <w:vAlign w:val="center"/>
            <w:shd w:fill="F3F6F8"/>
            <w:tcMar>
              <w:top w:w="80" w:type="dxa"/>
              <w:bottom w:w="80" w:type="dxa"/>
              <w:left w:w="90" w:type="dxa"/>
              <w:right w:w="90" w:type="dxa"/>
            </w:tcMar>
          </w:tcPr>
          <w:p>
            <w:pPr>
              <w:spacing w:after="0" w:line="250" w:lineRule="auto"/>
            </w:pPr>
            <w:r>
              <w:rPr>
                <w:color w:val="000000"/>
                <w:sz w:val="20"/>
              </w:rPr>
              <w:t>Compare compliant bids</w:t>
            </w:r>
          </w:p>
        </w:tc>
        <w:tc>
          <w:tcPr>
            <w:tcW w:type="dxa" w:w="3888"/>
            <w:vAlign w:val="center"/>
            <w:shd w:fill="F3F6F8"/>
            <w:tcMar>
              <w:top w:w="80" w:type="dxa"/>
              <w:bottom w:w="80" w:type="dxa"/>
              <w:left w:w="90" w:type="dxa"/>
              <w:right w:w="90" w:type="dxa"/>
            </w:tcMar>
          </w:tcPr>
          <w:p>
            <w:pPr>
              <w:spacing w:after="0" w:line="250" w:lineRule="auto"/>
            </w:pPr>
            <w:r>
              <w:rPr>
                <w:color w:val="000000"/>
                <w:sz w:val="20"/>
              </w:rPr>
              <w:t>£4,400 recommendation against £4,600/£4,700</w:t>
            </w:r>
          </w:p>
        </w:tc>
        <w:tc>
          <w:tcPr>
            <w:tcW w:type="dxa" w:w="3744"/>
            <w:vAlign w:val="center"/>
            <w:shd w:fill="F3F6F8"/>
            <w:tcMar>
              <w:top w:w="80" w:type="dxa"/>
              <w:bottom w:w="80" w:type="dxa"/>
              <w:left w:w="90" w:type="dxa"/>
              <w:right w:w="90" w:type="dxa"/>
            </w:tcMar>
          </w:tcPr>
          <w:p>
            <w:pPr>
              <w:spacing w:after="0" w:line="250" w:lineRule="auto"/>
            </w:pPr>
            <w:r>
              <w:rPr>
                <w:color w:val="000000"/>
                <w:sz w:val="20"/>
              </w:rPr>
              <w:t xml:space="preserve">Extend </w:t>
            </w:r>
            <w:r>
              <w:rPr>
                <w:rFonts w:ascii="Consolas" w:hAnsi="Consolas"/>
                <w:color w:val="000000"/>
                <w:sz w:val="19"/>
              </w:rPr>
              <w:t>QuoteReview</w:t>
            </w:r>
          </w:p>
        </w:tc>
      </w:tr>
      <w:tr>
        <w:trPr>
          <w:cantSplit/>
        </w:trPr>
        <w:tc>
          <w:tcPr>
            <w:tcW w:type="dxa" w:w="648"/>
            <w:vAlign w:val="center"/>
            <w:shd w:fill="FFFFFF"/>
            <w:tcMar>
              <w:top w:w="80" w:type="dxa"/>
              <w:bottom w:w="80" w:type="dxa"/>
              <w:left w:w="90" w:type="dxa"/>
              <w:right w:w="90" w:type="dxa"/>
            </w:tcMar>
          </w:tcPr>
          <w:p>
            <w:pPr>
              <w:spacing w:after="0" w:line="250" w:lineRule="auto"/>
              <w:jc w:val="center"/>
            </w:pPr>
            <w:r>
              <w:rPr>
                <w:color w:val="000000"/>
                <w:sz w:val="20"/>
              </w:rPr>
              <w:t>7</w:t>
            </w:r>
          </w:p>
        </w:tc>
        <w:tc>
          <w:tcPr>
            <w:tcW w:type="dxa" w:w="1800"/>
            <w:vAlign w:val="center"/>
            <w:shd w:fill="FFFFFF"/>
            <w:tcMar>
              <w:top w:w="80" w:type="dxa"/>
              <w:bottom w:w="80" w:type="dxa"/>
              <w:left w:w="90" w:type="dxa"/>
              <w:right w:w="90" w:type="dxa"/>
            </w:tcMar>
          </w:tcPr>
          <w:p>
            <w:pPr>
              <w:spacing w:after="0" w:line="250" w:lineRule="auto"/>
            </w:pPr>
            <w:r>
              <w:rPr>
                <w:color w:val="000000"/>
                <w:sz w:val="20"/>
              </w:rPr>
              <w:t>Approve spend and release PO</w:t>
            </w:r>
          </w:p>
        </w:tc>
        <w:tc>
          <w:tcPr>
            <w:tcW w:type="dxa" w:w="3888"/>
            <w:vAlign w:val="center"/>
            <w:shd w:fill="FFFFFF"/>
            <w:tcMar>
              <w:top w:w="80" w:type="dxa"/>
              <w:bottom w:w="80" w:type="dxa"/>
              <w:left w:w="90" w:type="dxa"/>
              <w:right w:w="90" w:type="dxa"/>
            </w:tcMar>
          </w:tcPr>
          <w:p>
            <w:pPr>
              <w:spacing w:after="0" w:line="250" w:lineRule="auto"/>
            </w:pPr>
            <w:r>
              <w:rPr>
                <w:color w:val="000000"/>
                <w:sz w:val="20"/>
              </w:rPr>
              <w:t>Budget Holder approval above £3K; selected variant fixed</w:t>
            </w:r>
          </w:p>
        </w:tc>
        <w:tc>
          <w:tcPr>
            <w:tcW w:type="dxa" w:w="3744"/>
            <w:vAlign w:val="center"/>
            <w:shd w:fill="FFFFFF"/>
            <w:tcMar>
              <w:top w:w="80" w:type="dxa"/>
              <w:bottom w:w="80" w:type="dxa"/>
              <w:left w:w="90" w:type="dxa"/>
              <w:right w:w="90" w:type="dxa"/>
            </w:tcMar>
          </w:tcPr>
          <w:p>
            <w:pPr>
              <w:spacing w:after="0" w:line="250" w:lineRule="auto"/>
            </w:pPr>
            <w:r>
              <w:rPr>
                <w:color w:val="000000"/>
                <w:sz w:val="20"/>
              </w:rPr>
              <w:t>Existing signable and PO documents</w:t>
            </w:r>
          </w:p>
        </w:tc>
      </w:tr>
      <w:tr>
        <w:trPr>
          <w:cantSplit/>
        </w:trPr>
        <w:tc>
          <w:tcPr>
            <w:tcW w:type="dxa" w:w="648"/>
            <w:vAlign w:val="center"/>
            <w:shd w:fill="F3F6F8"/>
            <w:tcMar>
              <w:top w:w="80" w:type="dxa"/>
              <w:bottom w:w="80" w:type="dxa"/>
              <w:left w:w="90" w:type="dxa"/>
              <w:right w:w="90" w:type="dxa"/>
            </w:tcMar>
          </w:tcPr>
          <w:p>
            <w:pPr>
              <w:spacing w:after="0" w:line="250" w:lineRule="auto"/>
              <w:jc w:val="center"/>
            </w:pPr>
            <w:r>
              <w:rPr>
                <w:color w:val="000000"/>
                <w:sz w:val="20"/>
              </w:rPr>
              <w:t>8</w:t>
            </w:r>
          </w:p>
        </w:tc>
        <w:tc>
          <w:tcPr>
            <w:tcW w:type="dxa" w:w="1800"/>
            <w:vAlign w:val="center"/>
            <w:shd w:fill="F3F6F8"/>
            <w:tcMar>
              <w:top w:w="80" w:type="dxa"/>
              <w:bottom w:w="80" w:type="dxa"/>
              <w:left w:w="90" w:type="dxa"/>
              <w:right w:w="90" w:type="dxa"/>
            </w:tcMar>
          </w:tcPr>
          <w:p>
            <w:pPr>
              <w:spacing w:after="0" w:line="250" w:lineRule="auto"/>
            </w:pPr>
            <w:r>
              <w:rPr>
                <w:color w:val="000000"/>
                <w:sz w:val="20"/>
              </w:rPr>
              <w:t>Match and Finance-sign</w:t>
            </w:r>
          </w:p>
        </w:tc>
        <w:tc>
          <w:tcPr>
            <w:tcW w:type="dxa" w:w="3888"/>
            <w:vAlign w:val="center"/>
            <w:shd w:fill="F3F6F8"/>
            <w:tcMar>
              <w:top w:w="80" w:type="dxa"/>
              <w:bottom w:w="80" w:type="dxa"/>
              <w:left w:w="90" w:type="dxa"/>
              <w:right w:w="90" w:type="dxa"/>
            </w:tcMar>
          </w:tcPr>
          <w:p>
            <w:pPr>
              <w:spacing w:after="0" w:line="250" w:lineRule="auto"/>
            </w:pPr>
            <w:r>
              <w:rPr>
                <w:color w:val="000000"/>
                <w:sz w:val="20"/>
              </w:rPr>
              <w:t>£400, or 8.33%, becomes validated with invoice evidence</w:t>
            </w:r>
          </w:p>
        </w:tc>
        <w:tc>
          <w:tcPr>
            <w:tcW w:type="dxa" w:w="3744"/>
            <w:vAlign w:val="center"/>
            <w:shd w:fill="F3F6F8"/>
            <w:tcMar>
              <w:top w:w="80" w:type="dxa"/>
              <w:bottom w:w="80" w:type="dxa"/>
              <w:left w:w="90" w:type="dxa"/>
              <w:right w:w="90" w:type="dxa"/>
            </w:tcMar>
          </w:tcPr>
          <w:p>
            <w:pPr>
              <w:spacing w:after="0" w:line="250" w:lineRule="auto"/>
            </w:pPr>
            <w:r>
              <w:rPr>
                <w:color w:val="000000"/>
                <w:sz w:val="20"/>
              </w:rPr>
              <w:t>Existing match grid and shared value signoff</w:t>
            </w:r>
          </w:p>
        </w:tc>
      </w:tr>
    </w:tbl>
    <w:p>
      <w:pPr>
        <w:spacing w:after="20"/>
      </w:pPr>
    </w:p>
    <w:p>
      <w:r>
        <w:rPr>
          <w:b/>
          <w:color w:val="000000"/>
        </w:rPr>
        <w:t>Authority.</w:t>
      </w:r>
      <w:r>
        <w:rPr>
          <w:color w:val="000000"/>
        </w:rPr>
        <w:t xml:space="preserve"> A listed equivalent for exactly the application and criticality can widen RFQ automatically at confidence at least 0.90. This does not authorise shipment of an arbitrary alternative or a safety-critical specification change. A new equivalent needs Technical Owner sign-off. Buy Desk approves supplier-facing wording. Requester rejection needs a reason and routes to Category Lead if unresolved.</w:t>
      </w:r>
    </w:p>
    <w:p>
      <w:r>
        <w:rPr>
          <w:b/>
          <w:color w:val="000000"/>
        </w:rPr>
        <w:t>Required branch.</w:t>
      </w:r>
      <w:r>
        <w:rPr>
          <w:color w:val="000000"/>
        </w:rPr>
        <w:t xml:space="preserve"> Set safety-critical or quality-flagged. Technical approval becomes mandatory even at score 0.99. A rejected equivalent cannot enter RFQ. A later quality failure opens a governed removal proposal. Remind technical review at 48h, escalate coordination at 72h. Category Lead cannot replace required safety-critical technical approval.</w:t>
      </w:r>
    </w:p>
    <w:p>
      <w:r>
        <w:rPr>
          <w:b/>
          <w:color w:val="000000"/>
        </w:rPr>
        <w:t>Measurement.</w:t>
      </w:r>
      <w:r>
        <w:rPr>
          <w:color w:val="000000"/>
        </w:rPr>
        <w:t xml:space="preserve"> Keep quantity, accepted specification, logistics and terms comparable. The £400 is 200 × (£24 − £22). Do not monetize risk or warranty without approved evidence. Count actual compliant bidders. The source's 5–10% potential is a planning range, not a guaranteed UI benefit.</w:t>
      </w:r>
    </w:p>
    <w:p>
      <w:pPr>
        <w:pStyle w:val="Heading2"/>
      </w:pPr>
      <w:r>
        <w:t>13 6 Story continuity and replay</w:t>
      </w:r>
    </w:p>
    <w:p>
      <w:r>
        <w:rPr>
          <w:color w:val="000000"/>
        </w:rPr>
        <w:t>Preserve one case ID across related TOM work packages. Launching ST04 from ST02 reuses the award and value record. Presenter controls can reset a story dependency graph or the entire session. Reset clears demo records, progress, reservations, audit sequences and simulated clock consistently. Confirm reset because it discards current work.</w:t>
      </w:r>
    </w:p>
    <w:p>
      <w:r>
        <w:rPr>
          <w:color w:val="000000"/>
        </w:rPr>
        <w:t>F0 is functional through ST01 idle-seat/renewal opportunity and a supporting pooling opportunity. All six flows stay reachable, but the five stories remain the primary narrative. Secondary test fixtures exercise failures rather than adding more main stories.</w:t>
      </w:r>
    </w:p>
    <w:p>
      <w:pPr>
        <w:pStyle w:val="Heading1"/>
      </w:pPr>
      <w:r>
        <w:t>14 Mandatory UI restrictions and motion</w:t>
      </w:r>
    </w:p>
    <w:p>
      <w:r>
        <w:rPr>
          <w:color w:val="000000"/>
        </w:rPr>
        <w:t>These requirements apply to every reused and newly created product component. Claude must treat them as acceptance gates, not optional design preferences.</w:t>
      </w:r>
    </w:p>
    <w:p>
      <w:pPr>
        <w:pStyle w:val="Heading2"/>
      </w:pPr>
      <w:r>
        <w:t>14 1 UI01 Dynamically aligned card heights</w:t>
      </w:r>
    </w:p>
    <w:p>
      <w:r>
        <w:rPr>
          <w:color w:val="000000"/>
        </w:rPr>
        <w:t xml:space="preserve">Peer cards in the same visual row must have equal outer height based on the tallest card's rendered content. Use CSS grid </w:t>
      </w:r>
      <w:r>
        <w:rPr>
          <w:rFonts w:ascii="Consolas" w:hAnsi="Consolas"/>
          <w:color w:val="000000"/>
          <w:sz w:val="20"/>
        </w:rPr>
        <w:t>align-items: stretch</w:t>
      </w:r>
      <w:r>
        <w:rPr>
          <w:color w:val="000000"/>
        </w:rPr>
        <w:t xml:space="preserve"> and card wrappers with </w:t>
      </w:r>
      <w:r>
        <w:rPr>
          <w:rFonts w:ascii="Consolas" w:hAnsi="Consolas"/>
          <w:color w:val="000000"/>
          <w:sz w:val="20"/>
        </w:rPr>
        <w:t>height: 100%</w:t>
      </w:r>
      <w:r>
        <w:rPr>
          <w:color w:val="000000"/>
        </w:rPr>
        <w:t xml:space="preserve">, </w:t>
      </w:r>
      <w:r>
        <w:rPr>
          <w:rFonts w:ascii="Consolas" w:hAnsi="Consolas"/>
          <w:color w:val="000000"/>
          <w:sz w:val="20"/>
        </w:rPr>
        <w:t>min-width: 0</w:t>
      </w:r>
      <w:r>
        <w:rPr>
          <w:color w:val="000000"/>
        </w:rPr>
        <w:t xml:space="preserve"> and flex column. Anchor equivalent action areas using </w:t>
      </w:r>
      <w:r>
        <w:rPr>
          <w:rFonts w:ascii="Consolas" w:hAnsi="Consolas"/>
          <w:color w:val="000000"/>
          <w:sz w:val="20"/>
        </w:rPr>
        <w:t>margin-top: auto</w:t>
      </w:r>
      <w:r>
        <w:rPr>
          <w:color w:val="000000"/>
        </w:rPr>
        <w:t>. Alignment is per visual row, not one arbitrary fixed height for the page.</w:t>
      </w:r>
    </w:p>
    <w:p>
      <w:r>
        <w:rPr>
          <w:color w:val="000000"/>
        </w:rPr>
        <w:t>Height must respond to data, language, validation, expanded rows and viewport changes. Use a shared layout transition for animated size changes. Prefer normal CSS. Where measurement is essential, use ResizeObserver with cleanup and responsive row grouping. Never clip content, force fixed heights or hide facts to obtain matching bottoms.</w:t>
      </w:r>
    </w:p>
    <w:p>
      <w:r>
        <w:rPr>
          <w:b/>
          <w:color w:val="000000"/>
        </w:rPr>
        <w:t>Acceptance:</w:t>
      </w:r>
      <w:r>
        <w:rPr>
          <w:color w:val="000000"/>
        </w:rPr>
        <w:t xml:space="preserve"> peer heights differ by no more than one CSS pixel after layout settles at 1440×900, 1280×800 and 1024×768. Repeat after a hold row appears and in each supported language. Matching footer structures align. No fixed height truncates content.</w:t>
      </w:r>
    </w:p>
    <w:p>
      <w:pPr>
        <w:pStyle w:val="Heading2"/>
      </w:pPr>
      <w:r>
        <w:t>14 2 UI02 No paragraph walls and no wrapped text items</w:t>
      </w:r>
    </w:p>
    <w:p>
      <w:r>
        <w:rPr>
          <w:color w:val="000000"/>
        </w:rPr>
        <w:t>Each visible title, label, body text item, button, status, recommendation item and metric caption must occupy at most one physical line in the product UI. Cards may have several short independent evidence rows. They must not contain a paragraph wrapping into multiple lines. Group facts into comparisons, key/value rows, chips and actions.</w:t>
      </w:r>
    </w:p>
    <w:p>
      <w:r>
        <w:rPr>
          <w:color w:val="000000"/>
        </w:rPr>
        <w:t xml:space="preserve">Define component data as </w:t>
      </w:r>
      <w:r>
        <w:rPr>
          <w:rFonts w:ascii="Consolas" w:hAnsi="Consolas"/>
          <w:color w:val="000000"/>
          <w:sz w:val="20"/>
        </w:rPr>
        <w:t>title</w:t>
      </w:r>
      <w:r>
        <w:rPr>
          <w:color w:val="000000"/>
        </w:rPr>
        <w:t xml:space="preserve">, </w:t>
      </w:r>
      <w:r>
        <w:rPr>
          <w:rFonts w:ascii="Consolas" w:hAnsi="Consolas"/>
          <w:color w:val="000000"/>
          <w:sz w:val="20"/>
        </w:rPr>
        <w:t>metrics</w:t>
      </w:r>
      <w:r>
        <w:rPr>
          <w:color w:val="000000"/>
        </w:rPr>
        <w:t xml:space="preserve">, </w:t>
      </w:r>
      <w:r>
        <w:rPr>
          <w:rFonts w:ascii="Consolas" w:hAnsi="Consolas"/>
          <w:color w:val="000000"/>
          <w:sz w:val="20"/>
        </w:rPr>
        <w:t>evidenceRows</w:t>
      </w:r>
      <w:r>
        <w:rPr>
          <w:color w:val="000000"/>
        </w:rPr>
        <w:t xml:space="preserve">, </w:t>
      </w:r>
      <w:r>
        <w:rPr>
          <w:rFonts w:ascii="Consolas" w:hAnsi="Consolas"/>
          <w:color w:val="000000"/>
          <w:sz w:val="20"/>
        </w:rPr>
        <w:t>status</w:t>
      </w:r>
      <w:r>
        <w:rPr>
          <w:color w:val="000000"/>
        </w:rPr>
        <w:t xml:space="preserve"> and </w:t>
      </w:r>
      <w:r>
        <w:rPr>
          <w:rFonts w:ascii="Consolas" w:hAnsi="Consolas"/>
          <w:color w:val="000000"/>
          <w:sz w:val="20"/>
        </w:rPr>
        <w:t>actions</w:t>
      </w:r>
      <w:r>
        <w:rPr>
          <w:color w:val="000000"/>
        </w:rPr>
        <w:t xml:space="preserve">, not long generic </w:t>
      </w:r>
      <w:r>
        <w:rPr>
          <w:rFonts w:ascii="Consolas" w:hAnsi="Consolas"/>
          <w:color w:val="000000"/>
          <w:sz w:val="20"/>
        </w:rPr>
        <w:t>description</w:t>
      </w:r>
      <w:r>
        <w:rPr>
          <w:color w:val="000000"/>
        </w:rPr>
        <w:t xml:space="preserve"> strings. Rewrite copy to fit before truncating. Use intentional widths, </w:t>
      </w:r>
      <w:r>
        <w:rPr>
          <w:rFonts w:ascii="Consolas" w:hAnsi="Consolas"/>
          <w:color w:val="000000"/>
          <w:sz w:val="20"/>
        </w:rPr>
        <w:t>min-width: 0</w:t>
      </w:r>
      <w:r>
        <w:rPr>
          <w:color w:val="000000"/>
        </w:rPr>
        <w:t xml:space="preserve"> and one-line styles. Critical amounts, identity, actions and blocking reasons must remain visible. Only secondary metadata may ellipsize, with full content reachable in a reader.</w:t>
      </w:r>
    </w:p>
    <w:p>
      <w:r>
        <w:rPr>
          <w:color w:val="000000"/>
        </w:rPr>
        <w:t>If content cannot fit, reduce column count or move peer cards to another row. Do not shrink essential text below 13px, wrap buttons or make the whole page scroll sideways. Dense evidence tables may scroll inside their reader with sticky critical columns. Source documents preserve original physical line breaks, and the reader introduces no additional browser wrapping. Permit internal scrolling/zoom for full original emails and legal text. Downloaded source artifacts remain complete.</w:t>
      </w:r>
    </w:p>
    <w:p>
      <w:r>
        <w:rPr>
          <w:color w:val="000000"/>
        </w:rPr>
        <w:t xml:space="preserve">Instead of a paragraph announcing licence optimisation, show </w:t>
      </w:r>
      <w:r>
        <w:rPr>
          <w:rFonts w:ascii="Consolas" w:hAnsi="Consolas"/>
          <w:color w:val="000000"/>
          <w:sz w:val="20"/>
        </w:rPr>
        <w:t>6 idle seats available</w:t>
      </w:r>
      <w:r>
        <w:rPr>
          <w:color w:val="000000"/>
        </w:rPr>
        <w:t xml:space="preserve">, </w:t>
      </w:r>
      <w:r>
        <w:rPr>
          <w:rFonts w:ascii="Consolas" w:hAnsi="Consolas"/>
          <w:color w:val="000000"/>
          <w:sz w:val="20"/>
        </w:rPr>
        <w:t>14 seats to buy</w:t>
      </w:r>
      <w:r>
        <w:rPr>
          <w:color w:val="000000"/>
        </w:rPr>
        <w:t xml:space="preserve"> and the amount in separate factual rows. Instead of describing competitive sourcing in prose, show </w:t>
      </w:r>
      <w:r>
        <w:rPr>
          <w:rFonts w:ascii="Consolas" w:hAnsi="Consolas"/>
          <w:color w:val="000000"/>
          <w:sz w:val="20"/>
        </w:rPr>
        <w:t>3 compliant quotes</w:t>
      </w:r>
      <w:r>
        <w:rPr>
          <w:color w:val="000000"/>
        </w:rPr>
        <w:t xml:space="preserve">, </w:t>
      </w:r>
      <w:r>
        <w:rPr>
          <w:rFonts w:ascii="Consolas" w:hAnsi="Consolas"/>
          <w:color w:val="000000"/>
          <w:sz w:val="20"/>
        </w:rPr>
        <w:t>Benchmark £45K–£48K</w:t>
      </w:r>
      <w:r>
        <w:rPr>
          <w:color w:val="000000"/>
        </w:rPr>
        <w:t xml:space="preserve"> and </w:t>
      </w:r>
      <w:r>
        <w:rPr>
          <w:rFonts w:ascii="Consolas" w:hAnsi="Consolas"/>
          <w:color w:val="000000"/>
          <w:sz w:val="20"/>
        </w:rPr>
        <w:t>Category Lead approval</w:t>
      </w:r>
      <w:r>
        <w:rPr>
          <w:color w:val="000000"/>
        </w:rPr>
        <w:t>.</w:t>
      </w:r>
    </w:p>
    <w:p>
      <w:r>
        <w:rPr>
          <w:b/>
          <w:color w:val="000000"/>
        </w:rPr>
        <w:t>Acceptance:</w:t>
      </w:r>
      <w:r>
        <w:rPr>
          <w:color w:val="000000"/>
        </w:rPr>
        <w:t xml:space="preserve"> no UI text item or action wraps at the supported viewports or during translation. No multi-sentence explanatory paragraph appears in a workbench. Evidence remains available in full. Ellipsis never hides a critical value or required decision.</w:t>
      </w:r>
    </w:p>
    <w:p>
      <w:pPr>
        <w:pStyle w:val="Heading2"/>
      </w:pPr>
      <w:r>
        <w:t>14 3 UI03 Entry click and agent work animation</w:t>
      </w:r>
    </w:p>
    <w:p>
      <w:r>
        <w:rPr>
          <w:color w:val="000000"/>
        </w:rPr>
        <w:t>Every page entry has a short coherent reveal sequence. Every enabled button has hover/focus/press feedback and visible action-result feedback. Agent work shows source scanning, field highlights, comparison updates and handoffs when the corresponding operation actually runs. A click must not cause an unexplained static jump.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744"/>
      </w:tblGrid>
      <w:tr>
        <w:trPr>
          <w:cantSplit/>
          <w:tblHeader/>
        </w:trPr>
        <w:tc>
          <w:tcPr>
            <w:tcW w:type="dxa" w:w="2376"/>
            <w:vAlign w:val="center"/>
            <w:shd w:fill="18354B"/>
            <w:tcMar>
              <w:top w:w="80" w:type="dxa"/>
              <w:bottom w:w="80" w:type="dxa"/>
              <w:left w:w="90" w:type="dxa"/>
              <w:right w:w="90" w:type="dxa"/>
            </w:tcMar>
          </w:tcPr>
          <w:p>
            <w:pPr>
              <w:keepNext/>
              <w:spacing w:after="0" w:line="250" w:lineRule="auto"/>
            </w:pPr>
            <w:r>
              <w:rPr>
                <w:b/>
                <w:color w:val="FFFFFF"/>
                <w:sz w:val="20"/>
              </w:rPr>
              <w:t>Interaction</w:t>
            </w:r>
          </w:p>
        </w:tc>
        <w:tc>
          <w:tcPr>
            <w:tcW w:type="dxa" w:w="3960"/>
            <w:vAlign w:val="center"/>
            <w:shd w:fill="18354B"/>
            <w:tcMar>
              <w:top w:w="80" w:type="dxa"/>
              <w:bottom w:w="80" w:type="dxa"/>
              <w:left w:w="90" w:type="dxa"/>
              <w:right w:w="90" w:type="dxa"/>
            </w:tcMar>
          </w:tcPr>
          <w:p>
            <w:pPr>
              <w:keepNext/>
              <w:spacing w:after="0" w:line="250" w:lineRule="auto"/>
            </w:pPr>
            <w:r>
              <w:rPr>
                <w:b/>
                <w:color w:val="FFFFFF"/>
                <w:sz w:val="20"/>
              </w:rPr>
              <w:t>Required motion</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Reuse</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Page entry</w:t>
            </w:r>
          </w:p>
        </w:tc>
        <w:tc>
          <w:tcPr>
            <w:tcW w:type="dxa" w:w="3960"/>
            <w:vAlign w:val="center"/>
            <w:shd w:fill="FFFFFF"/>
            <w:tcMar>
              <w:top w:w="80" w:type="dxa"/>
              <w:bottom w:w="80" w:type="dxa"/>
              <w:left w:w="90" w:type="dxa"/>
              <w:right w:w="90" w:type="dxa"/>
            </w:tcMar>
          </w:tcPr>
          <w:p>
            <w:pPr>
              <w:spacing w:after="0" w:line="250" w:lineRule="auto"/>
            </w:pPr>
            <w:r>
              <w:rPr>
                <w:color w:val="000000"/>
                <w:sz w:val="20"/>
              </w:rPr>
              <w:t>Header then cards/rows, stagger 40–80ms</w:t>
            </w:r>
          </w:p>
        </w:tc>
        <w:tc>
          <w:tcPr>
            <w:tcW w:type="dxa" w:w="3744"/>
            <w:vAlign w:val="center"/>
            <w:shd w:fill="FFFFFF"/>
            <w:tcMar>
              <w:top w:w="80" w:type="dxa"/>
              <w:bottom w:w="80" w:type="dxa"/>
              <w:left w:w="90" w:type="dxa"/>
              <w:right w:w="90" w:type="dxa"/>
            </w:tcMar>
          </w:tcPr>
          <w:p>
            <w:pPr>
              <w:spacing w:after="0" w:line="250" w:lineRule="auto"/>
            </w:pPr>
            <w:r>
              <w:rPr>
                <w:rFonts w:ascii="Consolas" w:hAnsi="Consolas"/>
                <w:color w:val="000000"/>
                <w:sz w:val="19"/>
              </w:rPr>
              <w:t>SpringIn</w:t>
            </w:r>
            <w:r>
              <w:rPr>
                <w:color w:val="000000"/>
                <w:sz w:val="20"/>
              </w:rPr>
              <w:t xml:space="preserve">, </w:t>
            </w:r>
            <w:r>
              <w:rPr>
                <w:rFonts w:ascii="Consolas" w:hAnsi="Consolas"/>
                <w:color w:val="000000"/>
                <w:sz w:val="19"/>
              </w:rPr>
              <w:t>StaggerList</w:t>
            </w:r>
            <w:r>
              <w:rPr>
                <w:color w:val="000000"/>
                <w:sz w:val="20"/>
              </w:rPr>
              <w:t xml:space="preserve">, </w:t>
            </w:r>
            <w:r>
              <w:rPr>
                <w:rFonts w:ascii="Consolas" w:hAnsi="Consolas"/>
                <w:color w:val="000000"/>
                <w:sz w:val="19"/>
              </w:rPr>
              <w:t>Reveal</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Hover/focus</w:t>
            </w:r>
          </w:p>
        </w:tc>
        <w:tc>
          <w:tcPr>
            <w:tcW w:type="dxa" w:w="3960"/>
            <w:vAlign w:val="center"/>
            <w:shd w:fill="F3F6F8"/>
            <w:tcMar>
              <w:top w:w="80" w:type="dxa"/>
              <w:bottom w:w="80" w:type="dxa"/>
              <w:left w:w="90" w:type="dxa"/>
              <w:right w:w="90" w:type="dxa"/>
            </w:tcMar>
          </w:tcPr>
          <w:p>
            <w:pPr>
              <w:spacing w:after="0" w:line="250" w:lineRule="auto"/>
            </w:pPr>
            <w:r>
              <w:rPr>
                <w:color w:val="000000"/>
                <w:sz w:val="20"/>
              </w:rPr>
              <w:t>Border/background or 1–2px lift, 120–180ms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Shared button styles</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Press</w:t>
            </w:r>
          </w:p>
        </w:tc>
        <w:tc>
          <w:tcPr>
            <w:tcW w:type="dxa" w:w="3960"/>
            <w:vAlign w:val="center"/>
            <w:shd w:fill="FFFFFF"/>
            <w:tcMar>
              <w:top w:w="80" w:type="dxa"/>
              <w:bottom w:w="80" w:type="dxa"/>
              <w:left w:w="90" w:type="dxa"/>
              <w:right w:w="90" w:type="dxa"/>
            </w:tcMar>
          </w:tcPr>
          <w:p>
            <w:pPr>
              <w:spacing w:after="0" w:line="250" w:lineRule="auto"/>
            </w:pPr>
            <w:r>
              <w:rPr>
                <w:color w:val="000000"/>
                <w:sz w:val="20"/>
              </w:rPr>
              <w:t>Small scale feedback, 80–120ms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New shared </w:t>
            </w:r>
            <w:r>
              <w:rPr>
                <w:rFonts w:ascii="Consolas" w:hAnsi="Consolas"/>
                <w:color w:val="000000"/>
                <w:sz w:val="19"/>
              </w:rPr>
              <w:t>ActionButton</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Async action</w:t>
            </w:r>
          </w:p>
        </w:tc>
        <w:tc>
          <w:tcPr>
            <w:tcW w:type="dxa" w:w="3960"/>
            <w:vAlign w:val="center"/>
            <w:shd w:fill="F3F6F8"/>
            <w:tcMar>
              <w:top w:w="80" w:type="dxa"/>
              <w:bottom w:w="80" w:type="dxa"/>
              <w:left w:w="90" w:type="dxa"/>
              <w:right w:w="90" w:type="dxa"/>
            </w:tcMar>
          </w:tcPr>
          <w:p>
            <w:pPr>
              <w:spacing w:after="0" w:line="250" w:lineRule="auto"/>
            </w:pPr>
            <w:r>
              <w:rPr>
                <w:color w:val="000000"/>
                <w:sz w:val="20"/>
              </w:rPr>
              <w:t>Specific working label, progress and duplicate-submit lock</w:t>
            </w:r>
          </w:p>
        </w:tc>
        <w:tc>
          <w:tcPr>
            <w:tcW w:type="dxa" w:w="3744"/>
            <w:vAlign w:val="center"/>
            <w:shd w:fill="F3F6F8"/>
            <w:tcMar>
              <w:top w:w="80" w:type="dxa"/>
              <w:bottom w:w="80" w:type="dxa"/>
              <w:left w:w="90" w:type="dxa"/>
              <w:right w:w="90" w:type="dxa"/>
            </w:tcMar>
          </w:tcPr>
          <w:p>
            <w:pPr>
              <w:spacing w:after="0" w:line="250" w:lineRule="auto"/>
            </w:pPr>
            <w:r>
              <w:rPr>
                <w:rFonts w:ascii="Consolas" w:hAnsi="Consolas"/>
                <w:color w:val="000000"/>
                <w:sz w:val="19"/>
              </w:rPr>
              <w:t>Spinner</w:t>
            </w:r>
            <w:r>
              <w:rPr>
                <w:color w:val="000000"/>
                <w:sz w:val="20"/>
              </w:rPr>
              <w:t xml:space="preserve">, </w:t>
            </w:r>
            <w:r>
              <w:rPr>
                <w:rFonts w:ascii="Consolas" w:hAnsi="Consolas"/>
                <w:color w:val="000000"/>
                <w:sz w:val="19"/>
              </w:rPr>
              <w:t>TypingDots</w:t>
            </w:r>
            <w:r>
              <w:rPr>
                <w:color w:val="000000"/>
                <w:sz w:val="20"/>
              </w:rPr>
              <w:t xml:space="preserve">, </w:t>
            </w:r>
            <w:r>
              <w:rPr>
                <w:rFonts w:ascii="Consolas" w:hAnsi="Consolas"/>
                <w:color w:val="000000"/>
                <w:sz w:val="19"/>
              </w:rPr>
              <w:t>AgentLiveStrip</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Extraction</w:t>
            </w:r>
          </w:p>
        </w:tc>
        <w:tc>
          <w:tcPr>
            <w:tcW w:type="dxa" w:w="3960"/>
            <w:vAlign w:val="center"/>
            <w:shd w:fill="FFFFFF"/>
            <w:tcMar>
              <w:top w:w="80" w:type="dxa"/>
              <w:bottom w:w="80" w:type="dxa"/>
              <w:left w:w="90" w:type="dxa"/>
              <w:right w:w="90" w:type="dxa"/>
            </w:tcMar>
          </w:tcPr>
          <w:p>
            <w:pPr>
              <w:spacing w:after="0" w:line="250" w:lineRule="auto"/>
            </w:pPr>
            <w:r>
              <w:rPr>
                <w:color w:val="000000"/>
                <w:sz w:val="20"/>
              </w:rPr>
              <w:t>Source highlight then field reveal at 80–140ms intervals</w:t>
            </w:r>
          </w:p>
        </w:tc>
        <w:tc>
          <w:tcPr>
            <w:tcW w:type="dxa" w:w="3744"/>
            <w:vAlign w:val="center"/>
            <w:shd w:fill="FFFFFF"/>
            <w:tcMar>
              <w:top w:w="80" w:type="dxa"/>
              <w:bottom w:w="80" w:type="dxa"/>
              <w:left w:w="90" w:type="dxa"/>
              <w:right w:w="90" w:type="dxa"/>
            </w:tcMar>
          </w:tcPr>
          <w:p>
            <w:pPr>
              <w:spacing w:after="0" w:line="250" w:lineRule="auto"/>
            </w:pPr>
            <w:r>
              <w:rPr>
                <w:rFonts w:ascii="Consolas" w:hAnsi="Consolas"/>
                <w:color w:val="000000"/>
                <w:sz w:val="19"/>
              </w:rPr>
              <w:t>ExtractionWizard</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Analysis</w:t>
            </w:r>
          </w:p>
        </w:tc>
        <w:tc>
          <w:tcPr>
            <w:tcW w:type="dxa" w:w="3960"/>
            <w:vAlign w:val="center"/>
            <w:shd w:fill="F3F6F8"/>
            <w:tcMar>
              <w:top w:w="80" w:type="dxa"/>
              <w:bottom w:w="80" w:type="dxa"/>
              <w:left w:w="90" w:type="dxa"/>
              <w:right w:w="90" w:type="dxa"/>
            </w:tcMar>
          </w:tcPr>
          <w:p>
            <w:pPr>
              <w:spacing w:after="0" w:line="250" w:lineRule="auto"/>
            </w:pPr>
            <w:r>
              <w:rPr>
                <w:color w:val="000000"/>
                <w:sz w:val="20"/>
              </w:rPr>
              <w:t>Evidence rows reveal, compared cells highlight</w:t>
            </w:r>
          </w:p>
        </w:tc>
        <w:tc>
          <w:tcPr>
            <w:tcW w:type="dxa" w:w="3744"/>
            <w:vAlign w:val="center"/>
            <w:shd w:fill="F3F6F8"/>
            <w:tcMar>
              <w:top w:w="80" w:type="dxa"/>
              <w:bottom w:w="80" w:type="dxa"/>
              <w:left w:w="90" w:type="dxa"/>
              <w:right w:w="90" w:type="dxa"/>
            </w:tcMar>
          </w:tcPr>
          <w:p>
            <w:pPr>
              <w:spacing w:after="0" w:line="250" w:lineRule="auto"/>
            </w:pPr>
            <w:r>
              <w:rPr>
                <w:rFonts w:ascii="Consolas" w:hAnsi="Consolas"/>
                <w:color w:val="000000"/>
                <w:sz w:val="19"/>
              </w:rPr>
              <w:t>QuoteReview</w:t>
            </w:r>
            <w:r>
              <w:rPr>
                <w:color w:val="000000"/>
                <w:sz w:val="20"/>
              </w:rPr>
              <w:t xml:space="preserve">, </w:t>
            </w:r>
            <w:r>
              <w:rPr>
                <w:rFonts w:ascii="Consolas" w:hAnsi="Consolas"/>
                <w:color w:val="000000"/>
                <w:sz w:val="19"/>
              </w:rPr>
              <w:t>StaggerList</w:t>
            </w:r>
            <w:r>
              <w:rPr>
                <w:color w:val="000000"/>
                <w:sz w:val="20"/>
              </w:rPr>
              <w:t>, new grids</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Handoff</w:t>
            </w:r>
          </w:p>
        </w:tc>
        <w:tc>
          <w:tcPr>
            <w:tcW w:type="dxa" w:w="3960"/>
            <w:vAlign w:val="center"/>
            <w:shd w:fill="FFFFFF"/>
            <w:tcMar>
              <w:top w:w="80" w:type="dxa"/>
              <w:bottom w:w="80" w:type="dxa"/>
              <w:left w:w="90" w:type="dxa"/>
              <w:right w:w="90" w:type="dxa"/>
            </w:tcMar>
          </w:tcPr>
          <w:p>
            <w:pPr>
              <w:spacing w:after="0" w:line="250" w:lineRule="auto"/>
            </w:pPr>
            <w:r>
              <w:rPr>
                <w:color w:val="000000"/>
                <w:sz w:val="20"/>
              </w:rPr>
              <w:t>Existing baton-pass and destination owner</w:t>
            </w:r>
          </w:p>
        </w:tc>
        <w:tc>
          <w:tcPr>
            <w:tcW w:type="dxa" w:w="3744"/>
            <w:vAlign w:val="center"/>
            <w:shd w:fill="FFFFFF"/>
            <w:tcMar>
              <w:top w:w="80" w:type="dxa"/>
              <w:bottom w:w="80" w:type="dxa"/>
              <w:left w:w="90" w:type="dxa"/>
              <w:right w:w="90" w:type="dxa"/>
            </w:tcMar>
          </w:tcPr>
          <w:p>
            <w:pPr>
              <w:spacing w:after="0" w:line="250" w:lineRule="auto"/>
            </w:pPr>
            <w:r>
              <w:rPr>
                <w:rFonts w:ascii="Consolas" w:hAnsi="Consolas"/>
                <w:color w:val="000000"/>
                <w:sz w:val="19"/>
              </w:rPr>
              <w:t>HandoffOverlay</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Decision</w:t>
            </w:r>
          </w:p>
        </w:tc>
        <w:tc>
          <w:tcPr>
            <w:tcW w:type="dxa" w:w="3960"/>
            <w:vAlign w:val="center"/>
            <w:shd w:fill="F3F6F8"/>
            <w:tcMar>
              <w:top w:w="80" w:type="dxa"/>
              <w:bottom w:w="80" w:type="dxa"/>
              <w:left w:w="90" w:type="dxa"/>
              <w:right w:w="90" w:type="dxa"/>
            </w:tcMar>
          </w:tcPr>
          <w:p>
            <w:pPr>
              <w:spacing w:after="0" w:line="250" w:lineRule="auto"/>
            </w:pPr>
            <w:r>
              <w:rPr>
                <w:color w:val="000000"/>
                <w:sz w:val="20"/>
              </w:rPr>
              <w:t>Chip changes, queue updates and KPI delta</w:t>
            </w:r>
          </w:p>
        </w:tc>
        <w:tc>
          <w:tcPr>
            <w:tcW w:type="dxa" w:w="3744"/>
            <w:vAlign w:val="center"/>
            <w:shd w:fill="F3F6F8"/>
            <w:tcMar>
              <w:top w:w="80" w:type="dxa"/>
              <w:bottom w:w="80" w:type="dxa"/>
              <w:left w:w="90" w:type="dxa"/>
              <w:right w:w="90" w:type="dxa"/>
            </w:tcMar>
          </w:tcPr>
          <w:p>
            <w:pPr>
              <w:spacing w:after="0" w:line="250" w:lineRule="auto"/>
            </w:pPr>
            <w:r>
              <w:rPr>
                <w:rFonts w:ascii="Consolas" w:hAnsi="Consolas"/>
                <w:color w:val="000000"/>
                <w:sz w:val="19"/>
              </w:rPr>
              <w:t>AIDot</w:t>
            </w:r>
            <w:r>
              <w:rPr>
                <w:color w:val="000000"/>
                <w:sz w:val="20"/>
              </w:rPr>
              <w:t xml:space="preserve">, </w:t>
            </w:r>
            <w:r>
              <w:rPr>
                <w:rFonts w:ascii="Consolas" w:hAnsi="Consolas"/>
                <w:color w:val="000000"/>
                <w:sz w:val="19"/>
              </w:rPr>
              <w:t>CountUp</w:t>
            </w:r>
            <w:r>
              <w:rPr>
                <w:color w:val="000000"/>
                <w:sz w:val="20"/>
              </w:rPr>
              <w:t>, toast</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Modal/drawer</w:t>
            </w:r>
          </w:p>
        </w:tc>
        <w:tc>
          <w:tcPr>
            <w:tcW w:type="dxa" w:w="3960"/>
            <w:vAlign w:val="center"/>
            <w:shd w:fill="FFFFFF"/>
            <w:tcMar>
              <w:top w:w="80" w:type="dxa"/>
              <w:bottom w:w="80" w:type="dxa"/>
              <w:left w:w="90" w:type="dxa"/>
              <w:right w:w="90" w:type="dxa"/>
            </w:tcMar>
          </w:tcPr>
          <w:p>
            <w:pPr>
              <w:spacing w:after="0" w:line="250" w:lineRule="auto"/>
            </w:pPr>
            <w:r>
              <w:rPr>
                <w:color w:val="000000"/>
                <w:sz w:val="20"/>
              </w:rPr>
              <w:t>Backdrop/fade and small scale/slide, 180–260ms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Existing modal/SpringIn patterns</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Chart/filter</w:t>
            </w:r>
          </w:p>
        </w:tc>
        <w:tc>
          <w:tcPr>
            <w:tcW w:type="dxa" w:w="3960"/>
            <w:vAlign w:val="center"/>
            <w:shd w:fill="F3F6F8"/>
            <w:tcMar>
              <w:top w:w="80" w:type="dxa"/>
              <w:bottom w:w="80" w:type="dxa"/>
              <w:left w:w="90" w:type="dxa"/>
              <w:right w:w="90" w:type="dxa"/>
            </w:tcMar>
          </w:tcPr>
          <w:p>
            <w:pPr>
              <w:spacing w:after="0" w:line="250" w:lineRule="auto"/>
            </w:pPr>
            <w:r>
              <w:rPr>
                <w:color w:val="000000"/>
                <w:sz w:val="20"/>
              </w:rPr>
              <w:t>Data transition and active filter feedback</w:t>
            </w:r>
          </w:p>
        </w:tc>
        <w:tc>
          <w:tcPr>
            <w:tcW w:type="dxa" w:w="3744"/>
            <w:vAlign w:val="center"/>
            <w:shd w:fill="F3F6F8"/>
            <w:tcMar>
              <w:top w:w="80" w:type="dxa"/>
              <w:bottom w:w="80" w:type="dxa"/>
              <w:left w:w="90" w:type="dxa"/>
              <w:right w:w="90" w:type="dxa"/>
            </w:tcMar>
          </w:tcPr>
          <w:p>
            <w:pPr>
              <w:spacing w:after="0" w:line="250" w:lineRule="auto"/>
            </w:pPr>
            <w:r>
              <w:rPr>
                <w:rFonts w:ascii="Consolas" w:hAnsi="Consolas"/>
                <w:color w:val="000000"/>
                <w:sz w:val="19"/>
              </w:rPr>
              <w:t>useChartAnimation</w:t>
            </w:r>
            <w:r>
              <w:rPr>
                <w:color w:val="000000"/>
                <w:sz w:val="20"/>
              </w:rPr>
              <w:t>, Recharts</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Height change</w:t>
            </w:r>
          </w:p>
        </w:tc>
        <w:tc>
          <w:tcPr>
            <w:tcW w:type="dxa" w:w="3960"/>
            <w:vAlign w:val="center"/>
            <w:shd w:fill="FFFFFF"/>
            <w:tcMar>
              <w:top w:w="80" w:type="dxa"/>
              <w:bottom w:w="80" w:type="dxa"/>
              <w:left w:w="90" w:type="dxa"/>
              <w:right w:w="90" w:type="dxa"/>
            </w:tcMar>
          </w:tcPr>
          <w:p>
            <w:pPr>
              <w:spacing w:after="0" w:line="250" w:lineRule="auto"/>
            </w:pPr>
            <w:r>
              <w:rPr>
                <w:color w:val="000000"/>
                <w:sz w:val="20"/>
              </w:rPr>
              <w:t>Row-aligned layout transition</w:t>
            </w:r>
          </w:p>
        </w:tc>
        <w:tc>
          <w:tcPr>
            <w:tcW w:type="dxa" w:w="3744"/>
            <w:vAlign w:val="center"/>
            <w:shd w:fill="FFFFFF"/>
            <w:tcMar>
              <w:top w:w="80" w:type="dxa"/>
              <w:bottom w:w="80" w:type="dxa"/>
              <w:left w:w="90" w:type="dxa"/>
              <w:right w:w="90" w:type="dxa"/>
            </w:tcMar>
          </w:tcPr>
          <w:p>
            <w:pPr>
              <w:spacing w:after="0" w:line="250" w:lineRule="auto"/>
            </w:pPr>
            <w:r>
              <w:rPr>
                <w:color w:val="000000"/>
                <w:sz w:val="20"/>
              </w:rPr>
              <w:t xml:space="preserve">Existing </w:t>
            </w:r>
            <w:r>
              <w:rPr>
                <w:rFonts w:ascii="Consolas" w:hAnsi="Consolas"/>
                <w:color w:val="000000"/>
                <w:sz w:val="19"/>
              </w:rPr>
              <w:t>motion</w:t>
            </w:r>
            <w:r>
              <w:rPr>
                <w:color w:val="000000"/>
                <w:sz w:val="20"/>
              </w:rPr>
              <w:t xml:space="preserve"> dependency</w:t>
            </w:r>
          </w:p>
        </w:tc>
      </w:tr>
    </w:tbl>
    <w:p>
      <w:pPr>
        <w:spacing w:after="20"/>
      </w:pPr>
    </w:p>
    <w:p>
      <w:r>
        <w:rPr>
          <w:color w:val="000000"/>
        </w:rPr>
        <w:t>Use AI work animation for an agent operation, not a fake spinner for every tab or document open. Idle buttons remain responsive without endless distracting motion. A paused agent stops its running indicator. Observable checks use short factual lines instead of long streamed paragraphs.</w:t>
      </w:r>
    </w:p>
    <w:p>
      <w:r>
        <w:rPr>
          <w:color w:val="000000"/>
        </w:rPr>
        <w:t xml:space="preserve">Respect reduced motion using immediate state, progress text and focus feedback. Timers animate presentation, never grant authority. Unmount cleanup cancels animation; persisted operations continue in the store/controller. Returning cannot resend an RFQ. </w:t>
      </w:r>
      <w:r>
        <w:rPr>
          <w:b/>
          <w:color w:val="000000"/>
        </w:rPr>
        <w:t>Skip animation</w:t>
      </w:r>
      <w:r>
        <w:rPr>
          <w:color w:val="000000"/>
        </w:rPr>
        <w:t xml:space="preserve"> in presenter controls never skips a gate.</w:t>
      </w:r>
    </w:p>
    <w:p>
      <w:r>
        <w:rPr>
          <w:b/>
          <w:color w:val="000000"/>
        </w:rPr>
        <w:t>Acceptance:</w:t>
      </w:r>
      <w:r>
        <w:rPr>
          <w:color w:val="000000"/>
        </w:rPr>
        <w:t xml:space="preserve"> every page/modal/action has visible feedback, no dead click and no indefinite spinner. Double click yields one event. Hidden-tab and reduced-motion behavior completes correctly. Required decisions remain on screen until acted upon.</w:t>
      </w:r>
    </w:p>
    <w:p>
      <w:pPr>
        <w:pStyle w:val="Heading2"/>
      </w:pPr>
      <w:r>
        <w:t>14 4 UI04 Business copy without generated sounding claims</w:t>
      </w:r>
    </w:p>
    <w:p>
      <w:r>
        <w:rPr>
          <w:color w:val="000000"/>
        </w:rPr>
        <w:t>Show objects, evidence, checks, owners and actions directly. Do not announce a capability and then describe the current page as proof. Avoid slogans, self-description, long hero prose and generic repeated claims of intelligence or autonomy.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760"/>
      </w:tblGrid>
      <w:tr>
        <w:trPr>
          <w:cantSplit/>
          <w:tblHeader/>
        </w:trPr>
        <w:tc>
          <w:tcPr>
            <w:tcW w:type="dxa" w:w="4320"/>
            <w:vAlign w:val="center"/>
            <w:shd w:fill="18354B"/>
            <w:tcMar>
              <w:top w:w="80" w:type="dxa"/>
              <w:bottom w:w="80" w:type="dxa"/>
              <w:left w:w="90" w:type="dxa"/>
              <w:right w:w="90" w:type="dxa"/>
            </w:tcMar>
          </w:tcPr>
          <w:p>
            <w:pPr>
              <w:keepNext/>
              <w:spacing w:after="0" w:line="250" w:lineRule="auto"/>
            </w:pPr>
            <w:r>
              <w:rPr>
                <w:b/>
                <w:color w:val="FFFFFF"/>
                <w:sz w:val="20"/>
              </w:rPr>
              <w:t>Reject</w:t>
            </w:r>
          </w:p>
        </w:tc>
        <w:tc>
          <w:tcPr>
            <w:tcW w:type="dxa" w:w="5760"/>
            <w:vAlign w:val="center"/>
            <w:shd w:fill="18354B"/>
            <w:tcMar>
              <w:top w:w="80" w:type="dxa"/>
              <w:bottom w:w="80" w:type="dxa"/>
              <w:left w:w="90" w:type="dxa"/>
              <w:right w:w="90" w:type="dxa"/>
            </w:tcMar>
          </w:tcPr>
          <w:p>
            <w:pPr>
              <w:keepNext/>
              <w:spacing w:after="0" w:line="250" w:lineRule="auto"/>
            </w:pPr>
            <w:r>
              <w:rPr>
                <w:b/>
                <w:color w:val="FFFFFF"/>
                <w:sz w:val="20"/>
              </w:rPr>
              <w:t>Use</w:t>
            </w:r>
          </w:p>
        </w:tc>
      </w:tr>
      <w:tr>
        <w:trPr>
          <w:cantSplit/>
        </w:trPr>
        <w:tc>
          <w:tcPr>
            <w:tcW w:type="dxa" w:w="4320"/>
            <w:vAlign w:val="center"/>
            <w:shd w:fill="FFFFFF"/>
            <w:tcMar>
              <w:top w:w="80" w:type="dxa"/>
              <w:bottom w:w="80" w:type="dxa"/>
              <w:left w:w="90" w:type="dxa"/>
              <w:right w:w="90" w:type="dxa"/>
            </w:tcMar>
          </w:tcPr>
          <w:p>
            <w:pPr>
              <w:spacing w:after="0" w:line="250" w:lineRule="auto"/>
            </w:pPr>
            <w:r>
              <w:rPr>
                <w:color w:val="000000"/>
                <w:sz w:val="20"/>
              </w:rPr>
              <w:t>“Your intelligent procurement optimisation hub”</w:t>
            </w:r>
          </w:p>
        </w:tc>
        <w:tc>
          <w:tcPr>
            <w:tcW w:type="dxa" w:w="5760"/>
            <w:vAlign w:val="center"/>
            <w:shd w:fill="FFFFFF"/>
            <w:tcMar>
              <w:top w:w="80" w:type="dxa"/>
              <w:bottom w:w="80" w:type="dxa"/>
              <w:left w:w="90" w:type="dxa"/>
              <w:right w:w="90" w:type="dxa"/>
            </w:tcMar>
          </w:tcPr>
          <w:p>
            <w:pPr>
              <w:spacing w:after="0" w:line="250" w:lineRule="auto"/>
            </w:pPr>
            <w:r>
              <w:rPr>
                <w:rFonts w:ascii="Consolas" w:hAnsi="Consolas"/>
                <w:color w:val="000000"/>
                <w:sz w:val="19"/>
              </w:rPr>
              <w:t>My Desk</w:t>
            </w:r>
            <w:r>
              <w:rPr>
                <w:color w:val="000000"/>
                <w:sz w:val="20"/>
              </w:rPr>
              <w:t xml:space="preserve"> with actual work queue</w:t>
            </w:r>
          </w:p>
        </w:tc>
      </w:tr>
      <w:tr>
        <w:trPr>
          <w:cantSplit/>
        </w:trPr>
        <w:tc>
          <w:tcPr>
            <w:tcW w:type="dxa" w:w="4320"/>
            <w:vAlign w:val="center"/>
            <w:shd w:fill="F3F6F8"/>
            <w:tcMar>
              <w:top w:w="80" w:type="dxa"/>
              <w:bottom w:w="80" w:type="dxa"/>
              <w:left w:w="90" w:type="dxa"/>
              <w:right w:w="90" w:type="dxa"/>
            </w:tcMar>
          </w:tcPr>
          <w:p>
            <w:pPr>
              <w:spacing w:after="0" w:line="250" w:lineRule="auto"/>
            </w:pPr>
            <w:r>
              <w:rPr>
                <w:color w:val="000000"/>
                <w:sz w:val="20"/>
              </w:rPr>
              <w:t>“Our AI seamlessly unlocks licence savings”</w:t>
            </w:r>
          </w:p>
        </w:tc>
        <w:tc>
          <w:tcPr>
            <w:tcW w:type="dxa" w:w="5760"/>
            <w:vAlign w:val="center"/>
            <w:shd w:fill="F3F6F8"/>
            <w:tcMar>
              <w:top w:w="80" w:type="dxa"/>
              <w:bottom w:w="80" w:type="dxa"/>
              <w:left w:w="90" w:type="dxa"/>
              <w:right w:w="90" w:type="dxa"/>
            </w:tcMar>
          </w:tcPr>
          <w:p>
            <w:pPr>
              <w:spacing w:after="0" w:line="250" w:lineRule="auto"/>
            </w:pPr>
            <w:r>
              <w:rPr>
                <w:rFonts w:ascii="Consolas" w:hAnsi="Consolas"/>
                <w:color w:val="000000"/>
                <w:sz w:val="19"/>
              </w:rPr>
              <w:t>6 seats reusable</w:t>
            </w:r>
            <w:r>
              <w:rPr>
                <w:color w:val="000000"/>
                <w:sz w:val="20"/>
              </w:rPr>
              <w:t xml:space="preserve"> and </w:t>
            </w:r>
            <w:r>
              <w:rPr>
                <w:rFonts w:ascii="Consolas" w:hAnsi="Consolas"/>
                <w:color w:val="000000"/>
                <w:sz w:val="19"/>
              </w:rPr>
              <w:t>14 seats to buy</w:t>
            </w:r>
          </w:p>
        </w:tc>
      </w:tr>
      <w:tr>
        <w:trPr>
          <w:cantSplit/>
        </w:trPr>
        <w:tc>
          <w:tcPr>
            <w:tcW w:type="dxa" w:w="4320"/>
            <w:vAlign w:val="center"/>
            <w:shd w:fill="FFFFFF"/>
            <w:tcMar>
              <w:top w:w="80" w:type="dxa"/>
              <w:bottom w:w="80" w:type="dxa"/>
              <w:left w:w="90" w:type="dxa"/>
              <w:right w:w="90" w:type="dxa"/>
            </w:tcMar>
          </w:tcPr>
          <w:p>
            <w:pPr>
              <w:spacing w:after="0" w:line="250" w:lineRule="auto"/>
            </w:pPr>
            <w:r>
              <w:rPr>
                <w:color w:val="000000"/>
                <w:sz w:val="20"/>
              </w:rPr>
              <w:t>“This page demonstrates evidence-based negotiation”</w:t>
            </w:r>
          </w:p>
        </w:tc>
        <w:tc>
          <w:tcPr>
            <w:tcW w:type="dxa" w:w="5760"/>
            <w:vAlign w:val="center"/>
            <w:shd w:fill="FFFFFF"/>
            <w:tcMar>
              <w:top w:w="80" w:type="dxa"/>
              <w:bottom w:w="80" w:type="dxa"/>
              <w:left w:w="90" w:type="dxa"/>
              <w:right w:w="90" w:type="dxa"/>
            </w:tcMar>
          </w:tcPr>
          <w:p>
            <w:pPr>
              <w:spacing w:after="0" w:line="250" w:lineRule="auto"/>
            </w:pPr>
            <w:r>
              <w:rPr>
                <w:color w:val="000000"/>
                <w:sz w:val="20"/>
              </w:rPr>
              <w:t xml:space="preserve">Quote lines and </w:t>
            </w:r>
            <w:r>
              <w:rPr>
                <w:rFonts w:ascii="Consolas" w:hAnsi="Consolas"/>
                <w:color w:val="000000"/>
                <w:sz w:val="19"/>
              </w:rPr>
              <w:t>Prepare BAFO</w:t>
            </w:r>
          </w:p>
        </w:tc>
      </w:tr>
      <w:tr>
        <w:trPr>
          <w:cantSplit/>
        </w:trPr>
        <w:tc>
          <w:tcPr>
            <w:tcW w:type="dxa" w:w="4320"/>
            <w:vAlign w:val="center"/>
            <w:shd w:fill="F3F6F8"/>
            <w:tcMar>
              <w:top w:w="80" w:type="dxa"/>
              <w:bottom w:w="80" w:type="dxa"/>
              <w:left w:w="90" w:type="dxa"/>
              <w:right w:w="90" w:type="dxa"/>
            </w:tcMar>
          </w:tcPr>
          <w:p>
            <w:pPr>
              <w:spacing w:after="0" w:line="250" w:lineRule="auto"/>
            </w:pPr>
            <w:r>
              <w:rPr>
                <w:color w:val="000000"/>
                <w:sz w:val="20"/>
              </w:rPr>
              <w:t>“AI selected the perfect supplier”</w:t>
            </w:r>
          </w:p>
        </w:tc>
        <w:tc>
          <w:tcPr>
            <w:tcW w:type="dxa" w:w="5760"/>
            <w:vAlign w:val="center"/>
            <w:shd w:fill="F3F6F8"/>
            <w:tcMar>
              <w:top w:w="80" w:type="dxa"/>
              <w:bottom w:w="80" w:type="dxa"/>
              <w:left w:w="90" w:type="dxa"/>
              <w:right w:w="90" w:type="dxa"/>
            </w:tcMar>
          </w:tcPr>
          <w:p>
            <w:pPr>
              <w:spacing w:after="0" w:line="250" w:lineRule="auto"/>
            </w:pPr>
            <w:r>
              <w:rPr>
                <w:color w:val="000000"/>
                <w:sz w:val="20"/>
              </w:rPr>
              <w:t>Supplier, matched scope, capacity and approval status</w:t>
            </w:r>
          </w:p>
        </w:tc>
      </w:tr>
      <w:tr>
        <w:trPr>
          <w:cantSplit/>
        </w:trPr>
        <w:tc>
          <w:tcPr>
            <w:tcW w:type="dxa" w:w="4320"/>
            <w:vAlign w:val="center"/>
            <w:shd w:fill="FFFFFF"/>
            <w:tcMar>
              <w:top w:w="80" w:type="dxa"/>
              <w:bottom w:w="80" w:type="dxa"/>
              <w:left w:w="90" w:type="dxa"/>
              <w:right w:w="90" w:type="dxa"/>
            </w:tcMar>
          </w:tcPr>
          <w:p>
            <w:pPr>
              <w:spacing w:after="0" w:line="250" w:lineRule="auto"/>
            </w:pPr>
            <w:r>
              <w:rPr>
                <w:color w:val="000000"/>
                <w:sz w:val="20"/>
              </w:rPr>
              <w:t>“Experience autonomous guardrailed contracting”</w:t>
            </w:r>
          </w:p>
        </w:tc>
        <w:tc>
          <w:tcPr>
            <w:tcW w:type="dxa" w:w="5760"/>
            <w:vAlign w:val="center"/>
            <w:shd w:fill="FFFFFF"/>
            <w:tcMar>
              <w:top w:w="80" w:type="dxa"/>
              <w:bottom w:w="80" w:type="dxa"/>
              <w:left w:w="90" w:type="dxa"/>
              <w:right w:w="90" w:type="dxa"/>
            </w:tcMar>
          </w:tcPr>
          <w:p>
            <w:pPr>
              <w:spacing w:after="0" w:line="250" w:lineRule="auto"/>
            </w:pPr>
            <w:r>
              <w:rPr>
                <w:color w:val="000000"/>
                <w:sz w:val="20"/>
              </w:rPr>
              <w:t>Clause rows, bands and Legal task</w:t>
            </w:r>
          </w:p>
        </w:tc>
      </w:tr>
      <w:tr>
        <w:trPr>
          <w:cantSplit/>
        </w:trPr>
        <w:tc>
          <w:tcPr>
            <w:tcW w:type="dxa" w:w="4320"/>
            <w:vAlign w:val="center"/>
            <w:shd w:fill="F3F6F8"/>
            <w:tcMar>
              <w:top w:w="80" w:type="dxa"/>
              <w:bottom w:w="80" w:type="dxa"/>
              <w:left w:w="90" w:type="dxa"/>
              <w:right w:w="90" w:type="dxa"/>
            </w:tcMar>
          </w:tcPr>
          <w:p>
            <w:pPr>
              <w:spacing w:after="0" w:line="250" w:lineRule="auto"/>
            </w:pPr>
            <w:r>
              <w:rPr>
                <w:color w:val="000000"/>
                <w:sz w:val="20"/>
              </w:rPr>
              <w:t>“Powerful agents guarantee savings”</w:t>
            </w:r>
          </w:p>
        </w:tc>
        <w:tc>
          <w:tcPr>
            <w:tcW w:type="dxa" w:w="5760"/>
            <w:vAlign w:val="center"/>
            <w:shd w:fill="F3F6F8"/>
            <w:tcMar>
              <w:top w:w="80" w:type="dxa"/>
              <w:bottom w:w="80" w:type="dxa"/>
              <w:left w:w="90" w:type="dxa"/>
              <w:right w:w="90" w:type="dxa"/>
            </w:tcMar>
          </w:tcPr>
          <w:p>
            <w:pPr>
              <w:spacing w:after="0" w:line="250" w:lineRule="auto"/>
            </w:pPr>
            <w:r>
              <w:rPr>
                <w:color w:val="000000"/>
                <w:sz w:val="20"/>
              </w:rPr>
              <w:t>Amount, value state and supporting evidence</w:t>
            </w:r>
          </w:p>
        </w:tc>
      </w:tr>
      <w:tr>
        <w:trPr>
          <w:cantSplit/>
        </w:trPr>
        <w:tc>
          <w:tcPr>
            <w:tcW w:type="dxa" w:w="4320"/>
            <w:vAlign w:val="center"/>
            <w:shd w:fill="FFFFFF"/>
            <w:tcMar>
              <w:top w:w="80" w:type="dxa"/>
              <w:bottom w:w="80" w:type="dxa"/>
              <w:left w:w="90" w:type="dxa"/>
              <w:right w:w="90" w:type="dxa"/>
            </w:tcMar>
          </w:tcPr>
          <w:p>
            <w:pPr>
              <w:spacing w:after="0" w:line="250" w:lineRule="auto"/>
            </w:pPr>
            <w:r>
              <w:rPr>
                <w:color w:val="000000"/>
                <w:sz w:val="20"/>
              </w:rPr>
              <w:t>“Fully touchless and paid” after human review</w:t>
            </w:r>
          </w:p>
        </w:tc>
        <w:tc>
          <w:tcPr>
            <w:tcW w:type="dxa" w:w="5760"/>
            <w:vAlign w:val="center"/>
            <w:shd w:fill="FFFFFF"/>
            <w:tcMar>
              <w:top w:w="80" w:type="dxa"/>
              <w:bottom w:w="80" w:type="dxa"/>
              <w:left w:w="90" w:type="dxa"/>
              <w:right w:w="90" w:type="dxa"/>
            </w:tcMar>
          </w:tcPr>
          <w:p>
            <w:pPr>
              <w:spacing w:after="0" w:line="250" w:lineRule="auto"/>
            </w:pPr>
            <w:r>
              <w:rPr>
                <w:color w:val="000000"/>
                <w:sz w:val="20"/>
              </w:rPr>
              <w:t>Actual approval history and payment status</w:t>
            </w:r>
          </w:p>
        </w:tc>
      </w:tr>
    </w:tbl>
    <w:p>
      <w:pPr>
        <w:spacing w:after="20"/>
      </w:pPr>
    </w:p>
    <w:p>
      <w:r>
        <w:rPr>
          <w:color w:val="000000"/>
        </w:rPr>
        <w:t xml:space="preserve">Agent names and specific activities such as </w:t>
      </w:r>
      <w:r>
        <w:rPr>
          <w:rFonts w:ascii="Consolas" w:hAnsi="Consolas"/>
          <w:color w:val="000000"/>
          <w:sz w:val="20"/>
        </w:rPr>
        <w:t>Reading quote</w:t>
      </w:r>
      <w:r>
        <w:rPr>
          <w:color w:val="000000"/>
        </w:rPr>
        <w:t xml:space="preserve"> are appropriate. Text must reflect current records. Human approvals remain explicit. Do not repeat “AI recommends” on every card. A neutral demo-environment label is sufficient; do not conceal simulation behind claims of live execution.</w:t>
      </w:r>
    </w:p>
    <w:p>
      <w:r>
        <w:rPr>
          <w:b/>
          <w:color w:val="000000"/>
        </w:rPr>
        <w:t>Acceptance:</w:t>
      </w:r>
      <w:r>
        <w:rPr>
          <w:color w:val="000000"/>
        </w:rPr>
        <w:t xml:space="preserve"> a reviewer can see the object, state, owner and next action without capability prose. There are no unsupported savings, accuracy, compliance or autonomy claims. Customer and legacy names/logos are absent from UI, fixtures, translations, images, emails, exports and download names.</w:t>
      </w:r>
    </w:p>
    <w:p>
      <w:pPr>
        <w:pStyle w:val="Heading1"/>
      </w:pPr>
      <w:r>
        <w:t>15 Canonical automotive data</w:t>
      </w:r>
    </w:p>
    <w:p>
      <w:r>
        <w:rPr>
          <w:color w:val="000000"/>
        </w:rPr>
        <w:t xml:space="preserve">Use one normalized profile with identity </w:t>
      </w:r>
      <w:r>
        <w:rPr>
          <w:b/>
          <w:color w:val="000000"/>
        </w:rPr>
        <w:t>Automotive Procurement</w:t>
      </w:r>
      <w:r>
        <w:rPr>
          <w:color w:val="000000"/>
        </w:rPr>
        <w:t xml:space="preserve">, GBP currency and </w:t>
      </w:r>
      <w:r>
        <w:rPr>
          <w:rFonts w:ascii="Consolas" w:hAnsi="Consolas"/>
          <w:color w:val="000000"/>
          <w:sz w:val="20"/>
        </w:rPr>
        <w:t>en-GB</w:t>
      </w:r>
      <w:r>
        <w:rPr>
          <w:color w:val="000000"/>
        </w:rPr>
        <w:t xml:space="preserve"> formatting. Locations and manufacturer models below are real. Internal IDs, operational assignments, suppliers, prices, agreements and screening outcomes are demo data. Replace references across all representations, not independent JSX strings.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800"/>
        <w:gridCol w:w="3888"/>
        <w:gridCol w:w="2736"/>
      </w:tblGrid>
      <w:tr>
        <w:trPr>
          <w:cantSplit/>
          <w:tblHeader/>
        </w:trPr>
        <w:tc>
          <w:tcPr>
            <w:tcW w:type="dxa" w:w="1656"/>
            <w:vAlign w:val="center"/>
            <w:shd w:fill="18354B"/>
            <w:tcMar>
              <w:top w:w="80" w:type="dxa"/>
              <w:bottom w:w="80" w:type="dxa"/>
              <w:left w:w="90" w:type="dxa"/>
              <w:right w:w="90" w:type="dxa"/>
            </w:tcMar>
          </w:tcPr>
          <w:p>
            <w:pPr>
              <w:keepNext/>
              <w:spacing w:after="0" w:line="250" w:lineRule="auto"/>
            </w:pPr>
            <w:r>
              <w:rPr>
                <w:b/>
                <w:color w:val="FFFFFF"/>
                <w:sz w:val="20"/>
              </w:rPr>
              <w:t>Site ID</w:t>
            </w:r>
          </w:p>
        </w:tc>
        <w:tc>
          <w:tcPr>
            <w:tcW w:type="dxa" w:w="1800"/>
            <w:vAlign w:val="center"/>
            <w:shd w:fill="18354B"/>
            <w:tcMar>
              <w:top w:w="80" w:type="dxa"/>
              <w:bottom w:w="80" w:type="dxa"/>
              <w:left w:w="90" w:type="dxa"/>
              <w:right w:w="90" w:type="dxa"/>
            </w:tcMar>
          </w:tcPr>
          <w:p>
            <w:pPr>
              <w:keepNext/>
              <w:spacing w:after="0" w:line="250" w:lineRule="auto"/>
            </w:pPr>
            <w:r>
              <w:rPr>
                <w:b/>
                <w:color w:val="FFFFFF"/>
                <w:sz w:val="20"/>
              </w:rPr>
              <w:t>Display name</w:t>
            </w:r>
          </w:p>
        </w:tc>
        <w:tc>
          <w:tcPr>
            <w:tcW w:type="dxa" w:w="3888"/>
            <w:vAlign w:val="center"/>
            <w:shd w:fill="18354B"/>
            <w:tcMar>
              <w:top w:w="80" w:type="dxa"/>
              <w:bottom w:w="80" w:type="dxa"/>
              <w:left w:w="90" w:type="dxa"/>
              <w:right w:w="90" w:type="dxa"/>
            </w:tcMar>
          </w:tcPr>
          <w:p>
            <w:pPr>
              <w:keepNext/>
              <w:spacing w:after="0" w:line="250" w:lineRule="auto"/>
            </w:pPr>
            <w:r>
              <w:rPr>
                <w:b/>
                <w:color w:val="FFFFFF"/>
                <w:sz w:val="20"/>
              </w:rPr>
              <w:t>Demo function</w:t>
            </w:r>
          </w:p>
        </w:tc>
        <w:tc>
          <w:tcPr>
            <w:tcW w:type="dxa" w:w="2736"/>
            <w:vAlign w:val="center"/>
            <w:shd w:fill="18354B"/>
            <w:tcMar>
              <w:top w:w="80" w:type="dxa"/>
              <w:bottom w:w="80" w:type="dxa"/>
              <w:left w:w="90" w:type="dxa"/>
              <w:right w:w="90" w:type="dxa"/>
            </w:tcMar>
          </w:tcPr>
          <w:p>
            <w:pPr>
              <w:keepNext/>
              <w:spacing w:after="0" w:line="250" w:lineRule="auto"/>
            </w:pPr>
            <w:r>
              <w:rPr>
                <w:b/>
                <w:color w:val="FFFFFF"/>
                <w:sz w:val="20"/>
              </w:rPr>
              <w:t>Cost centre</w:t>
            </w:r>
          </w:p>
        </w:tc>
      </w:tr>
      <w:tr>
        <w:trPr>
          <w:cantSplit/>
        </w:trPr>
        <w:tc>
          <w:tcPr>
            <w:tcW w:type="dxa" w:w="1656"/>
            <w:vAlign w:val="center"/>
            <w:shd w:fill="FFFFFF"/>
            <w:tcMar>
              <w:top w:w="80" w:type="dxa"/>
              <w:bottom w:w="80" w:type="dxa"/>
              <w:left w:w="90" w:type="dxa"/>
              <w:right w:w="90" w:type="dxa"/>
            </w:tcMar>
          </w:tcPr>
          <w:p>
            <w:pPr>
              <w:spacing w:after="0" w:line="250" w:lineRule="auto"/>
            </w:pPr>
            <w:r>
              <w:rPr>
                <w:color w:val="000000"/>
                <w:sz w:val="20"/>
              </w:rPr>
              <w:t>UK-SOL-01</w:t>
            </w:r>
          </w:p>
        </w:tc>
        <w:tc>
          <w:tcPr>
            <w:tcW w:type="dxa" w:w="1800"/>
            <w:vAlign w:val="center"/>
            <w:shd w:fill="FFFFFF"/>
            <w:tcMar>
              <w:top w:w="80" w:type="dxa"/>
              <w:bottom w:w="80" w:type="dxa"/>
              <w:left w:w="90" w:type="dxa"/>
              <w:right w:w="90" w:type="dxa"/>
            </w:tcMar>
          </w:tcPr>
          <w:p>
            <w:pPr>
              <w:spacing w:after="0" w:line="250" w:lineRule="auto"/>
            </w:pPr>
            <w:r>
              <w:rPr>
                <w:color w:val="000000"/>
                <w:sz w:val="20"/>
              </w:rPr>
              <w:t>Solihull</w:t>
            </w:r>
          </w:p>
        </w:tc>
        <w:tc>
          <w:tcPr>
            <w:tcW w:type="dxa" w:w="3888"/>
            <w:vAlign w:val="center"/>
            <w:shd w:fill="FFFFFF"/>
            <w:tcMar>
              <w:top w:w="80" w:type="dxa"/>
              <w:bottom w:w="80" w:type="dxa"/>
              <w:left w:w="90" w:type="dxa"/>
              <w:right w:w="90" w:type="dxa"/>
            </w:tcMar>
          </w:tcPr>
          <w:p>
            <w:pPr>
              <w:spacing w:after="0" w:line="250" w:lineRule="auto"/>
            </w:pPr>
            <w:r>
              <w:rPr>
                <w:color w:val="000000"/>
                <w:sz w:val="20"/>
              </w:rPr>
              <w:t>Vehicle operations and maintenance</w:t>
            </w:r>
          </w:p>
        </w:tc>
        <w:tc>
          <w:tcPr>
            <w:tcW w:type="dxa" w:w="2736"/>
            <w:vAlign w:val="center"/>
            <w:shd w:fill="FFFFFF"/>
            <w:tcMar>
              <w:top w:w="80" w:type="dxa"/>
              <w:bottom w:w="80" w:type="dxa"/>
              <w:left w:w="90" w:type="dxa"/>
              <w:right w:w="90" w:type="dxa"/>
            </w:tcMar>
          </w:tcPr>
          <w:p>
            <w:pPr>
              <w:spacing w:after="0" w:line="250" w:lineRule="auto"/>
            </w:pPr>
            <w:r>
              <w:rPr>
                <w:color w:val="000000"/>
                <w:sz w:val="20"/>
              </w:rPr>
              <w:t>CC-SOL-MAINT</w:t>
            </w:r>
          </w:p>
        </w:tc>
      </w:tr>
      <w:tr>
        <w:trPr>
          <w:cantSplit/>
        </w:trPr>
        <w:tc>
          <w:tcPr>
            <w:tcW w:type="dxa" w:w="1656"/>
            <w:vAlign w:val="center"/>
            <w:shd w:fill="F3F6F8"/>
            <w:tcMar>
              <w:top w:w="80" w:type="dxa"/>
              <w:bottom w:w="80" w:type="dxa"/>
              <w:left w:w="90" w:type="dxa"/>
              <w:right w:w="90" w:type="dxa"/>
            </w:tcMar>
          </w:tcPr>
          <w:p>
            <w:pPr>
              <w:spacing w:after="0" w:line="250" w:lineRule="auto"/>
            </w:pPr>
            <w:r>
              <w:rPr>
                <w:color w:val="000000"/>
                <w:sz w:val="20"/>
              </w:rPr>
              <w:t>UK-HAL-01</w:t>
            </w:r>
          </w:p>
        </w:tc>
        <w:tc>
          <w:tcPr>
            <w:tcW w:type="dxa" w:w="1800"/>
            <w:vAlign w:val="center"/>
            <w:shd w:fill="F3F6F8"/>
            <w:tcMar>
              <w:top w:w="80" w:type="dxa"/>
              <w:bottom w:w="80" w:type="dxa"/>
              <w:left w:w="90" w:type="dxa"/>
              <w:right w:w="90" w:type="dxa"/>
            </w:tcMar>
          </w:tcPr>
          <w:p>
            <w:pPr>
              <w:spacing w:after="0" w:line="250" w:lineRule="auto"/>
            </w:pPr>
            <w:r>
              <w:rPr>
                <w:color w:val="000000"/>
                <w:sz w:val="20"/>
              </w:rPr>
              <w:t>Halewood</w:t>
            </w:r>
          </w:p>
        </w:tc>
        <w:tc>
          <w:tcPr>
            <w:tcW w:type="dxa" w:w="3888"/>
            <w:vAlign w:val="center"/>
            <w:shd w:fill="F3F6F8"/>
            <w:tcMar>
              <w:top w:w="80" w:type="dxa"/>
              <w:bottom w:w="80" w:type="dxa"/>
              <w:left w:w="90" w:type="dxa"/>
              <w:right w:w="90" w:type="dxa"/>
            </w:tcMar>
          </w:tcPr>
          <w:p>
            <w:pPr>
              <w:spacing w:after="0" w:line="250" w:lineRule="auto"/>
            </w:pPr>
            <w:r>
              <w:rPr>
                <w:color w:val="000000"/>
                <w:sz w:val="20"/>
              </w:rPr>
              <w:t>Assembly support and stores</w:t>
            </w:r>
          </w:p>
        </w:tc>
        <w:tc>
          <w:tcPr>
            <w:tcW w:type="dxa" w:w="2736"/>
            <w:vAlign w:val="center"/>
            <w:shd w:fill="F3F6F8"/>
            <w:tcMar>
              <w:top w:w="80" w:type="dxa"/>
              <w:bottom w:w="80" w:type="dxa"/>
              <w:left w:w="90" w:type="dxa"/>
              <w:right w:w="90" w:type="dxa"/>
            </w:tcMar>
          </w:tcPr>
          <w:p>
            <w:pPr>
              <w:spacing w:after="0" w:line="250" w:lineRule="auto"/>
            </w:pPr>
            <w:r>
              <w:rPr>
                <w:color w:val="000000"/>
                <w:sz w:val="20"/>
              </w:rPr>
              <w:t>CC-HAL-MAINT</w:t>
            </w:r>
          </w:p>
        </w:tc>
      </w:tr>
      <w:tr>
        <w:trPr>
          <w:cantSplit/>
        </w:trPr>
        <w:tc>
          <w:tcPr>
            <w:tcW w:type="dxa" w:w="1656"/>
            <w:vAlign w:val="center"/>
            <w:shd w:fill="FFFFFF"/>
            <w:tcMar>
              <w:top w:w="80" w:type="dxa"/>
              <w:bottom w:w="80" w:type="dxa"/>
              <w:left w:w="90" w:type="dxa"/>
              <w:right w:w="90" w:type="dxa"/>
            </w:tcMar>
          </w:tcPr>
          <w:p>
            <w:pPr>
              <w:spacing w:after="0" w:line="250" w:lineRule="auto"/>
            </w:pPr>
            <w:r>
              <w:rPr>
                <w:color w:val="000000"/>
                <w:sz w:val="20"/>
              </w:rPr>
              <w:t>UK-WOL-01</w:t>
            </w:r>
          </w:p>
        </w:tc>
        <w:tc>
          <w:tcPr>
            <w:tcW w:type="dxa" w:w="1800"/>
            <w:vAlign w:val="center"/>
            <w:shd w:fill="FFFFFF"/>
            <w:tcMar>
              <w:top w:w="80" w:type="dxa"/>
              <w:bottom w:w="80" w:type="dxa"/>
              <w:left w:w="90" w:type="dxa"/>
              <w:right w:w="90" w:type="dxa"/>
            </w:tcMar>
          </w:tcPr>
          <w:p>
            <w:pPr>
              <w:spacing w:after="0" w:line="250" w:lineRule="auto"/>
            </w:pPr>
            <w:r>
              <w:rPr>
                <w:color w:val="000000"/>
                <w:sz w:val="20"/>
              </w:rPr>
              <w:t>Wolverhampton</w:t>
            </w:r>
          </w:p>
        </w:tc>
        <w:tc>
          <w:tcPr>
            <w:tcW w:type="dxa" w:w="3888"/>
            <w:vAlign w:val="center"/>
            <w:shd w:fill="FFFFFF"/>
            <w:tcMar>
              <w:top w:w="80" w:type="dxa"/>
              <w:bottom w:w="80" w:type="dxa"/>
              <w:left w:w="90" w:type="dxa"/>
              <w:right w:w="90" w:type="dxa"/>
            </w:tcMar>
          </w:tcPr>
          <w:p>
            <w:pPr>
              <w:spacing w:after="0" w:line="250" w:lineRule="auto"/>
            </w:pPr>
            <w:r>
              <w:rPr>
                <w:color w:val="000000"/>
                <w:sz w:val="20"/>
              </w:rPr>
              <w:t>Propulsion operations support</w:t>
            </w:r>
          </w:p>
        </w:tc>
        <w:tc>
          <w:tcPr>
            <w:tcW w:type="dxa" w:w="2736"/>
            <w:vAlign w:val="center"/>
            <w:shd w:fill="FFFFFF"/>
            <w:tcMar>
              <w:top w:w="80" w:type="dxa"/>
              <w:bottom w:w="80" w:type="dxa"/>
              <w:left w:w="90" w:type="dxa"/>
              <w:right w:w="90" w:type="dxa"/>
            </w:tcMar>
          </w:tcPr>
          <w:p>
            <w:pPr>
              <w:spacing w:after="0" w:line="250" w:lineRule="auto"/>
            </w:pPr>
            <w:r>
              <w:rPr>
                <w:color w:val="000000"/>
                <w:sz w:val="20"/>
              </w:rPr>
              <w:t>CC-WOL-ENG</w:t>
            </w:r>
          </w:p>
        </w:tc>
      </w:tr>
      <w:tr>
        <w:trPr>
          <w:cantSplit/>
        </w:trPr>
        <w:tc>
          <w:tcPr>
            <w:tcW w:type="dxa" w:w="1656"/>
            <w:vAlign w:val="center"/>
            <w:shd w:fill="F3F6F8"/>
            <w:tcMar>
              <w:top w:w="80" w:type="dxa"/>
              <w:bottom w:w="80" w:type="dxa"/>
              <w:left w:w="90" w:type="dxa"/>
              <w:right w:w="90" w:type="dxa"/>
            </w:tcMar>
          </w:tcPr>
          <w:p>
            <w:pPr>
              <w:spacing w:after="0" w:line="250" w:lineRule="auto"/>
            </w:pPr>
            <w:r>
              <w:rPr>
                <w:color w:val="000000"/>
                <w:sz w:val="20"/>
              </w:rPr>
              <w:t>UK-GAY-01</w:t>
            </w:r>
          </w:p>
        </w:tc>
        <w:tc>
          <w:tcPr>
            <w:tcW w:type="dxa" w:w="1800"/>
            <w:vAlign w:val="center"/>
            <w:shd w:fill="F3F6F8"/>
            <w:tcMar>
              <w:top w:w="80" w:type="dxa"/>
              <w:bottom w:w="80" w:type="dxa"/>
              <w:left w:w="90" w:type="dxa"/>
              <w:right w:w="90" w:type="dxa"/>
            </w:tcMar>
          </w:tcPr>
          <w:p>
            <w:pPr>
              <w:spacing w:after="0" w:line="250" w:lineRule="auto"/>
            </w:pPr>
            <w:r>
              <w:rPr>
                <w:color w:val="000000"/>
                <w:sz w:val="20"/>
              </w:rPr>
              <w:t>Gaydon</w:t>
            </w:r>
          </w:p>
        </w:tc>
        <w:tc>
          <w:tcPr>
            <w:tcW w:type="dxa" w:w="3888"/>
            <w:vAlign w:val="center"/>
            <w:shd w:fill="F3F6F8"/>
            <w:tcMar>
              <w:top w:w="80" w:type="dxa"/>
              <w:bottom w:w="80" w:type="dxa"/>
              <w:left w:w="90" w:type="dxa"/>
              <w:right w:w="90" w:type="dxa"/>
            </w:tcMar>
          </w:tcPr>
          <w:p>
            <w:pPr>
              <w:spacing w:after="0" w:line="250" w:lineRule="auto"/>
            </w:pPr>
            <w:r>
              <w:rPr>
                <w:color w:val="000000"/>
                <w:sz w:val="20"/>
              </w:rPr>
              <w:t>Engineering and shared functions</w:t>
            </w:r>
          </w:p>
        </w:tc>
        <w:tc>
          <w:tcPr>
            <w:tcW w:type="dxa" w:w="2736"/>
            <w:vAlign w:val="center"/>
            <w:shd w:fill="F3F6F8"/>
            <w:tcMar>
              <w:top w:w="80" w:type="dxa"/>
              <w:bottom w:w="80" w:type="dxa"/>
              <w:left w:w="90" w:type="dxa"/>
              <w:right w:w="90" w:type="dxa"/>
            </w:tcMar>
          </w:tcPr>
          <w:p>
            <w:pPr>
              <w:spacing w:after="0" w:line="250" w:lineRule="auto"/>
            </w:pPr>
            <w:r>
              <w:rPr>
                <w:color w:val="000000"/>
                <w:sz w:val="20"/>
              </w:rPr>
              <w:t>CC-GAY-IT</w:t>
            </w:r>
          </w:p>
        </w:tc>
      </w:tr>
    </w:tbl>
    <w:p>
      <w:pPr>
        <w:spacing w:after="20"/>
      </w:pPr>
    </w:p>
    <w:p>
      <w:r>
        <w:rPr>
          <w:color w:val="000000"/>
        </w:rPr>
        <w:t xml:space="preserve">All primary sites are in the United Kingdom. Use illustrative buying organisation </w:t>
      </w:r>
      <w:r>
        <w:rPr>
          <w:rFonts w:ascii="Consolas" w:hAnsi="Consolas"/>
          <w:color w:val="000000"/>
          <w:sz w:val="20"/>
        </w:rPr>
        <w:t>AP-UK</w:t>
      </w:r>
      <w:r>
        <w:rPr>
          <w:color w:val="000000"/>
        </w:rPr>
        <w:t xml:space="preserve">, groups </w:t>
      </w:r>
      <w:r>
        <w:rPr>
          <w:rFonts w:ascii="Consolas" w:hAnsi="Consolas"/>
          <w:color w:val="000000"/>
          <w:sz w:val="20"/>
        </w:rPr>
        <w:t>MRO</w:t>
      </w:r>
      <w:r>
        <w:rPr>
          <w:color w:val="000000"/>
        </w:rPr>
        <w:t xml:space="preserve">, </w:t>
      </w:r>
      <w:r>
        <w:rPr>
          <w:rFonts w:ascii="Consolas" w:hAnsi="Consolas"/>
          <w:color w:val="000000"/>
          <w:sz w:val="20"/>
        </w:rPr>
        <w:t>SERVICES</w:t>
      </w:r>
      <w:r>
        <w:rPr>
          <w:color w:val="000000"/>
        </w:rPr>
        <w:t xml:space="preserve">, </w:t>
      </w:r>
      <w:r>
        <w:rPr>
          <w:rFonts w:ascii="Consolas" w:hAnsi="Consolas"/>
          <w:color w:val="000000"/>
          <w:sz w:val="20"/>
        </w:rPr>
        <w:t>IT</w:t>
      </w:r>
      <w:r>
        <w:rPr>
          <w:color w:val="000000"/>
        </w:rPr>
        <w:t xml:space="preserve">, </w:t>
      </w:r>
      <w:r>
        <w:rPr>
          <w:rFonts w:ascii="Consolas" w:hAnsi="Consolas"/>
          <w:color w:val="000000"/>
          <w:sz w:val="20"/>
        </w:rPr>
        <w:t>FACILITIES</w:t>
      </w:r>
      <w:r>
        <w:rPr>
          <w:color w:val="000000"/>
        </w:rPr>
        <w:t xml:space="preserve"> and GL codes </w:t>
      </w:r>
      <w:r>
        <w:rPr>
          <w:rFonts w:ascii="Consolas" w:hAnsi="Consolas"/>
          <w:color w:val="000000"/>
          <w:sz w:val="20"/>
        </w:rPr>
        <w:t>GL-MRO</w:t>
      </w:r>
      <w:r>
        <w:rPr>
          <w:color w:val="000000"/>
        </w:rPr>
        <w:t xml:space="preserve">, </w:t>
      </w:r>
      <w:r>
        <w:rPr>
          <w:rFonts w:ascii="Consolas" w:hAnsi="Consolas"/>
          <w:color w:val="000000"/>
          <w:sz w:val="20"/>
        </w:rPr>
        <w:t>GL-ENG-SVC</w:t>
      </w:r>
      <w:r>
        <w:rPr>
          <w:color w:val="000000"/>
        </w:rPr>
        <w:t xml:space="preserve">, </w:t>
      </w:r>
      <w:r>
        <w:rPr>
          <w:rFonts w:ascii="Consolas" w:hAnsi="Consolas"/>
          <w:color w:val="000000"/>
          <w:sz w:val="20"/>
        </w:rPr>
        <w:t>GL-SOFTWARE</w:t>
      </w:r>
      <w:r>
        <w:rPr>
          <w:color w:val="000000"/>
        </w:rPr>
        <w:t xml:space="preserve">, </w:t>
      </w:r>
      <w:r>
        <w:rPr>
          <w:rFonts w:ascii="Consolas" w:hAnsi="Consolas"/>
          <w:color w:val="000000"/>
          <w:sz w:val="20"/>
        </w:rPr>
        <w:t>GL-FACILITIES</w:t>
      </w:r>
      <w:r>
        <w:rPr>
          <w:color w:val="000000"/>
        </w:rPr>
        <w:t xml:space="preserve">. Current </w:t>
      </w:r>
      <w:r>
        <w:rPr>
          <w:rFonts w:ascii="Consolas" w:hAnsi="Consolas"/>
          <w:color w:val="000000"/>
          <w:sz w:val="20"/>
        </w:rPr>
        <w:t>siteByCountry</w:t>
      </w:r>
      <w:r>
        <w:rPr>
          <w:color w:val="000000"/>
        </w:rPr>
        <w:t xml:space="preserve"> assumes one site per country. Replace with </w:t>
      </w:r>
      <w:r>
        <w:rPr>
          <w:rFonts w:ascii="Consolas" w:hAnsi="Consolas"/>
          <w:color w:val="000000"/>
          <w:sz w:val="20"/>
        </w:rPr>
        <w:t>siteById</w:t>
      </w:r>
      <w:r>
        <w:rPr>
          <w:color w:val="000000"/>
        </w:rPr>
        <w:t xml:space="preserve"> and country-to-sites arrays so all UK locations remain distinct. Language does not determine country.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088"/>
        <w:gridCol w:w="3024"/>
        <w:gridCol w:w="3168"/>
      </w:tblGrid>
      <w:tr>
        <w:trPr>
          <w:cantSplit/>
          <w:tblHeader/>
        </w:trPr>
        <w:tc>
          <w:tcPr>
            <w:tcW w:type="dxa" w:w="1800"/>
            <w:vAlign w:val="center"/>
            <w:shd w:fill="18354B"/>
            <w:tcMar>
              <w:top w:w="80" w:type="dxa"/>
              <w:bottom w:w="80" w:type="dxa"/>
              <w:left w:w="90" w:type="dxa"/>
              <w:right w:w="90" w:type="dxa"/>
            </w:tcMar>
          </w:tcPr>
          <w:p>
            <w:pPr>
              <w:keepNext/>
              <w:spacing w:after="0" w:line="250" w:lineRule="auto"/>
            </w:pPr>
            <w:r>
              <w:rPr>
                <w:b/>
                <w:color w:val="FFFFFF"/>
                <w:sz w:val="20"/>
              </w:rPr>
              <w:t>Internal code</w:t>
            </w:r>
          </w:p>
        </w:tc>
        <w:tc>
          <w:tcPr>
            <w:tcW w:type="dxa" w:w="2088"/>
            <w:vAlign w:val="center"/>
            <w:shd w:fill="18354B"/>
            <w:tcMar>
              <w:top w:w="80" w:type="dxa"/>
              <w:bottom w:w="80" w:type="dxa"/>
              <w:left w:w="90" w:type="dxa"/>
              <w:right w:w="90" w:type="dxa"/>
            </w:tcMar>
          </w:tcPr>
          <w:p>
            <w:pPr>
              <w:keepNext/>
              <w:spacing w:after="0" w:line="250" w:lineRule="auto"/>
            </w:pPr>
            <w:r>
              <w:rPr>
                <w:b/>
                <w:color w:val="FFFFFF"/>
                <w:sz w:val="20"/>
              </w:rPr>
              <w:t>Product or service</w:t>
            </w:r>
          </w:p>
        </w:tc>
        <w:tc>
          <w:tcPr>
            <w:tcW w:type="dxa" w:w="3024"/>
            <w:vAlign w:val="center"/>
            <w:shd w:fill="18354B"/>
            <w:tcMar>
              <w:top w:w="80" w:type="dxa"/>
              <w:bottom w:w="80" w:type="dxa"/>
              <w:left w:w="90" w:type="dxa"/>
              <w:right w:w="90" w:type="dxa"/>
            </w:tcMar>
          </w:tcPr>
          <w:p>
            <w:pPr>
              <w:keepNext/>
              <w:spacing w:after="0" w:line="250" w:lineRule="auto"/>
            </w:pPr>
            <w:r>
              <w:rPr>
                <w:b/>
                <w:color w:val="FFFFFF"/>
                <w:sz w:val="20"/>
              </w:rPr>
              <w:t>UoM</w:t>
            </w:r>
          </w:p>
        </w:tc>
        <w:tc>
          <w:tcPr>
            <w:tcW w:type="dxa" w:w="3168"/>
            <w:vAlign w:val="center"/>
            <w:shd w:fill="18354B"/>
            <w:tcMar>
              <w:top w:w="80" w:type="dxa"/>
              <w:bottom w:w="80" w:type="dxa"/>
              <w:left w:w="90" w:type="dxa"/>
              <w:right w:w="90" w:type="dxa"/>
            </w:tcMar>
          </w:tcPr>
          <w:p>
            <w:pPr>
              <w:keepNext/>
              <w:spacing w:after="0" w:line="250" w:lineRule="auto"/>
            </w:pPr>
            <w:r>
              <w:rPr>
                <w:b/>
                <w:color w:val="FFFFFF"/>
                <w:sz w:val="20"/>
              </w:rPr>
              <w:t>Story</w:t>
            </w:r>
          </w:p>
        </w:tc>
      </w:tr>
      <w:tr>
        <w:trPr>
          <w:cantSplit/>
        </w:trPr>
        <w:tc>
          <w:tcPr>
            <w:tcW w:type="dxa" w:w="1800"/>
            <w:vAlign w:val="center"/>
            <w:shd w:fill="FFFFFF"/>
            <w:tcMar>
              <w:top w:w="80" w:type="dxa"/>
              <w:bottom w:w="80" w:type="dxa"/>
              <w:left w:w="90" w:type="dxa"/>
              <w:right w:w="90" w:type="dxa"/>
            </w:tcMar>
          </w:tcPr>
          <w:p>
            <w:pPr>
              <w:spacing w:after="0" w:line="250" w:lineRule="auto"/>
            </w:pPr>
            <w:r>
              <w:rPr>
                <w:color w:val="000000"/>
                <w:sz w:val="20"/>
              </w:rPr>
              <w:t>MAT-BRG-SKF-6205</w:t>
            </w:r>
          </w:p>
        </w:tc>
        <w:tc>
          <w:tcPr>
            <w:tcW w:type="dxa" w:w="2088"/>
            <w:vAlign w:val="center"/>
            <w:shd w:fill="FFFFFF"/>
            <w:tcMar>
              <w:top w:w="80" w:type="dxa"/>
              <w:bottom w:w="80" w:type="dxa"/>
              <w:left w:w="90" w:type="dxa"/>
              <w:right w:w="90" w:type="dxa"/>
            </w:tcMar>
          </w:tcPr>
          <w:p>
            <w:pPr>
              <w:spacing w:after="0" w:line="250" w:lineRule="auto"/>
            </w:pPr>
            <w:r>
              <w:rPr>
                <w:color w:val="000000"/>
                <w:sz w:val="20"/>
              </w:rPr>
              <w:t>SKF 6205 open bearing</w:t>
            </w:r>
          </w:p>
        </w:tc>
        <w:tc>
          <w:tcPr>
            <w:tcW w:type="dxa" w:w="3024"/>
            <w:vAlign w:val="center"/>
            <w:shd w:fill="FFFFFF"/>
            <w:tcMar>
              <w:top w:w="80" w:type="dxa"/>
              <w:bottom w:w="80" w:type="dxa"/>
              <w:left w:w="90" w:type="dxa"/>
              <w:right w:w="90" w:type="dxa"/>
            </w:tcMar>
          </w:tcPr>
          <w:p>
            <w:pPr>
              <w:spacing w:after="0" w:line="250" w:lineRule="auto"/>
            </w:pPr>
            <w:r>
              <w:rPr>
                <w:color w:val="000000"/>
                <w:sz w:val="20"/>
              </w:rPr>
              <w:t>EA</w:t>
            </w:r>
          </w:p>
        </w:tc>
        <w:tc>
          <w:tcPr>
            <w:tcW w:type="dxa" w:w="3168"/>
            <w:vAlign w:val="center"/>
            <w:shd w:fill="FFFFFF"/>
            <w:tcMar>
              <w:top w:w="80" w:type="dxa"/>
              <w:bottom w:w="80" w:type="dxa"/>
              <w:left w:w="90" w:type="dxa"/>
              <w:right w:w="90" w:type="dxa"/>
            </w:tcMar>
          </w:tcPr>
          <w:p>
            <w:pPr>
              <w:spacing w:after="0" w:line="250" w:lineRule="auto"/>
            </w:pPr>
            <w:r>
              <w:rPr>
                <w:color w:val="000000"/>
                <w:sz w:val="20"/>
              </w:rPr>
              <w:t>ST05 and supporting catalogue</w:t>
            </w:r>
          </w:p>
        </w:tc>
      </w:tr>
      <w:tr>
        <w:trPr>
          <w:cantSplit/>
        </w:trPr>
        <w:tc>
          <w:tcPr>
            <w:tcW w:type="dxa" w:w="1800"/>
            <w:vAlign w:val="center"/>
            <w:shd w:fill="F3F6F8"/>
            <w:tcMar>
              <w:top w:w="80" w:type="dxa"/>
              <w:bottom w:w="80" w:type="dxa"/>
              <w:left w:w="90" w:type="dxa"/>
              <w:right w:w="90" w:type="dxa"/>
            </w:tcMar>
          </w:tcPr>
          <w:p>
            <w:pPr>
              <w:spacing w:after="0" w:line="250" w:lineRule="auto"/>
            </w:pPr>
            <w:r>
              <w:rPr>
                <w:color w:val="000000"/>
                <w:sz w:val="20"/>
              </w:rPr>
              <w:t>MAT-BRG-FAG-6205C</w:t>
            </w:r>
          </w:p>
        </w:tc>
        <w:tc>
          <w:tcPr>
            <w:tcW w:type="dxa" w:w="2088"/>
            <w:vAlign w:val="center"/>
            <w:shd w:fill="F3F6F8"/>
            <w:tcMar>
              <w:top w:w="80" w:type="dxa"/>
              <w:bottom w:w="80" w:type="dxa"/>
              <w:left w:w="90" w:type="dxa"/>
              <w:right w:w="90" w:type="dxa"/>
            </w:tcMar>
          </w:tcPr>
          <w:p>
            <w:pPr>
              <w:spacing w:after="0" w:line="250" w:lineRule="auto"/>
            </w:pPr>
            <w:r>
              <w:rPr>
                <w:color w:val="000000"/>
                <w:sz w:val="20"/>
              </w:rPr>
              <w:t>FAG 6205-C candidate bearing</w:t>
            </w:r>
          </w:p>
        </w:tc>
        <w:tc>
          <w:tcPr>
            <w:tcW w:type="dxa" w:w="3024"/>
            <w:vAlign w:val="center"/>
            <w:shd w:fill="F3F6F8"/>
            <w:tcMar>
              <w:top w:w="80" w:type="dxa"/>
              <w:bottom w:w="80" w:type="dxa"/>
              <w:left w:w="90" w:type="dxa"/>
              <w:right w:w="90" w:type="dxa"/>
            </w:tcMar>
          </w:tcPr>
          <w:p>
            <w:pPr>
              <w:spacing w:after="0" w:line="250" w:lineRule="auto"/>
            </w:pPr>
            <w:r>
              <w:rPr>
                <w:color w:val="000000"/>
                <w:sz w:val="20"/>
              </w:rPr>
              <w:t>EA</w:t>
            </w:r>
          </w:p>
        </w:tc>
        <w:tc>
          <w:tcPr>
            <w:tcW w:type="dxa" w:w="3168"/>
            <w:vAlign w:val="center"/>
            <w:shd w:fill="F3F6F8"/>
            <w:tcMar>
              <w:top w:w="80" w:type="dxa"/>
              <w:bottom w:w="80" w:type="dxa"/>
              <w:left w:w="90" w:type="dxa"/>
              <w:right w:w="90" w:type="dxa"/>
            </w:tcMar>
          </w:tcPr>
          <w:p>
            <w:pPr>
              <w:spacing w:after="0" w:line="250" w:lineRule="auto"/>
            </w:pPr>
            <w:r>
              <w:rPr>
                <w:color w:val="000000"/>
                <w:sz w:val="20"/>
              </w:rPr>
              <w:t>ST05, subject to Technical Owner approval</w:t>
            </w:r>
          </w:p>
        </w:tc>
      </w:tr>
      <w:tr>
        <w:trPr>
          <w:cantSplit/>
        </w:trPr>
        <w:tc>
          <w:tcPr>
            <w:tcW w:type="dxa" w:w="1800"/>
            <w:vAlign w:val="center"/>
            <w:shd w:fill="FFFFFF"/>
            <w:tcMar>
              <w:top w:w="80" w:type="dxa"/>
              <w:bottom w:w="80" w:type="dxa"/>
              <w:left w:w="90" w:type="dxa"/>
              <w:right w:w="90" w:type="dxa"/>
            </w:tcMar>
          </w:tcPr>
          <w:p>
            <w:pPr>
              <w:spacing w:after="0" w:line="250" w:lineRule="auto"/>
            </w:pPr>
            <w:r>
              <w:rPr>
                <w:color w:val="000000"/>
                <w:sz w:val="20"/>
              </w:rPr>
              <w:t>SW-EVIEW-STD-ANNUAL</w:t>
            </w:r>
          </w:p>
        </w:tc>
        <w:tc>
          <w:tcPr>
            <w:tcW w:type="dxa" w:w="2088"/>
            <w:vAlign w:val="center"/>
            <w:shd w:fill="FFFFFF"/>
            <w:tcMar>
              <w:top w:w="80" w:type="dxa"/>
              <w:bottom w:w="80" w:type="dxa"/>
              <w:left w:w="90" w:type="dxa"/>
              <w:right w:w="90" w:type="dxa"/>
            </w:tcMar>
          </w:tcPr>
          <w:p>
            <w:pPr>
              <w:spacing w:after="0" w:line="250" w:lineRule="auto"/>
            </w:pPr>
            <w:r>
              <w:rPr>
                <w:color w:val="000000"/>
                <w:sz w:val="20"/>
              </w:rPr>
              <w:t>Fictional Engineering Viewer Enterprise</w:t>
            </w:r>
          </w:p>
        </w:tc>
        <w:tc>
          <w:tcPr>
            <w:tcW w:type="dxa" w:w="3024"/>
            <w:vAlign w:val="center"/>
            <w:shd w:fill="FFFFFF"/>
            <w:tcMar>
              <w:top w:w="80" w:type="dxa"/>
              <w:bottom w:w="80" w:type="dxa"/>
              <w:left w:w="90" w:type="dxa"/>
              <w:right w:w="90" w:type="dxa"/>
            </w:tcMar>
          </w:tcPr>
          <w:p>
            <w:pPr>
              <w:spacing w:after="0" w:line="250" w:lineRule="auto"/>
            </w:pPr>
            <w:r>
              <w:rPr>
                <w:color w:val="000000"/>
                <w:sz w:val="20"/>
              </w:rPr>
              <w:t>SEAT_YEAR</w:t>
            </w:r>
          </w:p>
        </w:tc>
        <w:tc>
          <w:tcPr>
            <w:tcW w:type="dxa" w:w="3168"/>
            <w:vAlign w:val="center"/>
            <w:shd w:fill="FFFFFF"/>
            <w:tcMar>
              <w:top w:w="80" w:type="dxa"/>
              <w:bottom w:w="80" w:type="dxa"/>
              <w:left w:w="90" w:type="dxa"/>
              <w:right w:w="90" w:type="dxa"/>
            </w:tcMar>
          </w:tcPr>
          <w:p>
            <w:pPr>
              <w:spacing w:after="0" w:line="250" w:lineRule="auto"/>
            </w:pPr>
            <w:r>
              <w:rPr>
                <w:color w:val="000000"/>
                <w:sz w:val="20"/>
              </w:rPr>
              <w:t>ST01</w:t>
            </w:r>
          </w:p>
        </w:tc>
      </w:tr>
      <w:tr>
        <w:trPr>
          <w:cantSplit/>
        </w:trPr>
        <w:tc>
          <w:tcPr>
            <w:tcW w:type="dxa" w:w="1800"/>
            <w:vAlign w:val="center"/>
            <w:shd w:fill="F3F6F8"/>
            <w:tcMar>
              <w:top w:w="80" w:type="dxa"/>
              <w:bottom w:w="80" w:type="dxa"/>
              <w:left w:w="90" w:type="dxa"/>
              <w:right w:w="90" w:type="dxa"/>
            </w:tcMar>
          </w:tcPr>
          <w:p>
            <w:pPr>
              <w:spacing w:after="0" w:line="250" w:lineRule="auto"/>
            </w:pPr>
            <w:r>
              <w:rPr>
                <w:color w:val="000000"/>
                <w:sz w:val="20"/>
              </w:rPr>
              <w:t>SVC-PM-SOL-01</w:t>
            </w:r>
          </w:p>
        </w:tc>
        <w:tc>
          <w:tcPr>
            <w:tcW w:type="dxa" w:w="2088"/>
            <w:vAlign w:val="center"/>
            <w:shd w:fill="F3F6F8"/>
            <w:tcMar>
              <w:top w:w="80" w:type="dxa"/>
              <w:bottom w:w="80" w:type="dxa"/>
              <w:left w:w="90" w:type="dxa"/>
              <w:right w:w="90" w:type="dxa"/>
            </w:tcMar>
          </w:tcPr>
          <w:p>
            <w:pPr>
              <w:spacing w:after="0" w:line="250" w:lineRule="auto"/>
            </w:pPr>
            <w:r>
              <w:rPr>
                <w:color w:val="000000"/>
                <w:sz w:val="20"/>
              </w:rPr>
              <w:t>Planned maintenance with inspection</w:t>
            </w:r>
          </w:p>
        </w:tc>
        <w:tc>
          <w:tcPr>
            <w:tcW w:type="dxa" w:w="3024"/>
            <w:vAlign w:val="center"/>
            <w:shd w:fill="F3F6F8"/>
            <w:tcMar>
              <w:top w:w="80" w:type="dxa"/>
              <w:bottom w:w="80" w:type="dxa"/>
              <w:left w:w="90" w:type="dxa"/>
              <w:right w:w="90" w:type="dxa"/>
            </w:tcMar>
          </w:tcPr>
          <w:p>
            <w:pPr>
              <w:spacing w:after="0" w:line="250" w:lineRule="auto"/>
            </w:pPr>
            <w:r>
              <w:rPr>
                <w:color w:val="000000"/>
                <w:sz w:val="20"/>
              </w:rPr>
              <w:t>LOT</w:t>
            </w:r>
          </w:p>
        </w:tc>
        <w:tc>
          <w:tcPr>
            <w:tcW w:type="dxa" w:w="3168"/>
            <w:vAlign w:val="center"/>
            <w:shd w:fill="F3F6F8"/>
            <w:tcMar>
              <w:top w:w="80" w:type="dxa"/>
              <w:bottom w:w="80" w:type="dxa"/>
              <w:left w:w="90" w:type="dxa"/>
              <w:right w:w="90" w:type="dxa"/>
            </w:tcMar>
          </w:tcPr>
          <w:p>
            <w:pPr>
              <w:spacing w:after="0" w:line="250" w:lineRule="auto"/>
            </w:pPr>
            <w:r>
              <w:rPr>
                <w:color w:val="000000"/>
                <w:sz w:val="20"/>
              </w:rPr>
              <w:t>ST02/ST04</w:t>
            </w:r>
          </w:p>
        </w:tc>
      </w:tr>
      <w:tr>
        <w:trPr>
          <w:cantSplit/>
        </w:trPr>
        <w:tc>
          <w:tcPr>
            <w:tcW w:type="dxa" w:w="1800"/>
            <w:vAlign w:val="center"/>
            <w:shd w:fill="FFFFFF"/>
            <w:tcMar>
              <w:top w:w="80" w:type="dxa"/>
              <w:bottom w:w="80" w:type="dxa"/>
              <w:left w:w="90" w:type="dxa"/>
              <w:right w:w="90" w:type="dxa"/>
            </w:tcMar>
          </w:tcPr>
          <w:p>
            <w:pPr>
              <w:spacing w:after="0" w:line="250" w:lineRule="auto"/>
            </w:pPr>
            <w:r>
              <w:rPr>
                <w:color w:val="000000"/>
                <w:sz w:val="20"/>
              </w:rPr>
              <w:t>SVC-CAL-WOL-02</w:t>
            </w:r>
          </w:p>
        </w:tc>
        <w:tc>
          <w:tcPr>
            <w:tcW w:type="dxa" w:w="2088"/>
            <w:vAlign w:val="center"/>
            <w:shd w:fill="FFFFFF"/>
            <w:tcMar>
              <w:top w:w="80" w:type="dxa"/>
              <w:bottom w:w="80" w:type="dxa"/>
              <w:left w:w="90" w:type="dxa"/>
              <w:right w:w="90" w:type="dxa"/>
            </w:tcMar>
          </w:tcPr>
          <w:p>
            <w:pPr>
              <w:spacing w:after="0" w:line="250" w:lineRule="auto"/>
            </w:pPr>
            <w:r>
              <w:rPr>
                <w:color w:val="000000"/>
                <w:sz w:val="20"/>
              </w:rPr>
              <w:t>Calibration of two robotic cells</w:t>
            </w:r>
          </w:p>
        </w:tc>
        <w:tc>
          <w:tcPr>
            <w:tcW w:type="dxa" w:w="3024"/>
            <w:vAlign w:val="center"/>
            <w:shd w:fill="FFFFFF"/>
            <w:tcMar>
              <w:top w:w="80" w:type="dxa"/>
              <w:bottom w:w="80" w:type="dxa"/>
              <w:left w:w="90" w:type="dxa"/>
              <w:right w:w="90" w:type="dxa"/>
            </w:tcMar>
          </w:tcPr>
          <w:p>
            <w:pPr>
              <w:spacing w:after="0" w:line="250" w:lineRule="auto"/>
            </w:pPr>
            <w:r>
              <w:rPr>
                <w:color w:val="000000"/>
                <w:sz w:val="20"/>
              </w:rPr>
              <w:t>LOT</w:t>
            </w:r>
          </w:p>
        </w:tc>
        <w:tc>
          <w:tcPr>
            <w:tcW w:type="dxa" w:w="3168"/>
            <w:vAlign w:val="center"/>
            <w:shd w:fill="FFFFFF"/>
            <w:tcMar>
              <w:top w:w="80" w:type="dxa"/>
              <w:bottom w:w="80" w:type="dxa"/>
              <w:left w:w="90" w:type="dxa"/>
              <w:right w:w="90" w:type="dxa"/>
            </w:tcMar>
          </w:tcPr>
          <w:p>
            <w:pPr>
              <w:spacing w:after="0" w:line="250" w:lineRule="auto"/>
            </w:pPr>
            <w:r>
              <w:rPr>
                <w:color w:val="000000"/>
                <w:sz w:val="20"/>
              </w:rPr>
              <w:t>ST03</w:t>
            </w:r>
          </w:p>
        </w:tc>
      </w:tr>
      <w:tr>
        <w:trPr>
          <w:cantSplit/>
        </w:trPr>
        <w:tc>
          <w:tcPr>
            <w:tcW w:type="dxa" w:w="1800"/>
            <w:vAlign w:val="center"/>
            <w:shd w:fill="F3F6F8"/>
            <w:tcMar>
              <w:top w:w="80" w:type="dxa"/>
              <w:bottom w:w="80" w:type="dxa"/>
              <w:left w:w="90" w:type="dxa"/>
              <w:right w:w="90" w:type="dxa"/>
            </w:tcMar>
          </w:tcPr>
          <w:p>
            <w:pPr>
              <w:spacing w:after="0" w:line="250" w:lineRule="auto"/>
            </w:pPr>
            <w:r>
              <w:rPr>
                <w:color w:val="000000"/>
                <w:sz w:val="20"/>
              </w:rPr>
              <w:t>MAT-PPE-3M-6055</w:t>
            </w:r>
          </w:p>
        </w:tc>
        <w:tc>
          <w:tcPr>
            <w:tcW w:type="dxa" w:w="2088"/>
            <w:vAlign w:val="center"/>
            <w:shd w:fill="F3F6F8"/>
            <w:tcMar>
              <w:top w:w="80" w:type="dxa"/>
              <w:bottom w:w="80" w:type="dxa"/>
              <w:left w:w="90" w:type="dxa"/>
              <w:right w:w="90" w:type="dxa"/>
            </w:tcMar>
          </w:tcPr>
          <w:p>
            <w:pPr>
              <w:spacing w:after="0" w:line="250" w:lineRule="auto"/>
            </w:pPr>
            <w:r>
              <w:rPr>
                <w:color w:val="000000"/>
                <w:sz w:val="20"/>
              </w:rPr>
              <w:t>3M 6055 A2 gas/vapour filter</w:t>
            </w:r>
          </w:p>
        </w:tc>
        <w:tc>
          <w:tcPr>
            <w:tcW w:type="dxa" w:w="3024"/>
            <w:vAlign w:val="center"/>
            <w:shd w:fill="F3F6F8"/>
            <w:tcMar>
              <w:top w:w="80" w:type="dxa"/>
              <w:bottom w:w="80" w:type="dxa"/>
              <w:left w:w="90" w:type="dxa"/>
              <w:right w:w="90" w:type="dxa"/>
            </w:tcMar>
          </w:tcPr>
          <w:p>
            <w:pPr>
              <w:spacing w:after="0" w:line="250" w:lineRule="auto"/>
            </w:pPr>
            <w:r>
              <w:rPr>
                <w:color w:val="000000"/>
                <w:sz w:val="20"/>
              </w:rPr>
              <w:t>PAIR</w:t>
            </w:r>
          </w:p>
        </w:tc>
        <w:tc>
          <w:tcPr>
            <w:tcW w:type="dxa" w:w="3168"/>
            <w:vAlign w:val="center"/>
            <w:shd w:fill="F3F6F8"/>
            <w:tcMar>
              <w:top w:w="80" w:type="dxa"/>
              <w:bottom w:w="80" w:type="dxa"/>
              <w:left w:w="90" w:type="dxa"/>
              <w:right w:w="90" w:type="dxa"/>
            </w:tcMar>
          </w:tcPr>
          <w:p>
            <w:pPr>
              <w:spacing w:after="0" w:line="250" w:lineRule="auto"/>
            </w:pPr>
            <w:r>
              <w:rPr>
                <w:color w:val="000000"/>
                <w:sz w:val="20"/>
              </w:rPr>
              <w:t>Optional qualified catalogue fixture</w:t>
            </w:r>
          </w:p>
        </w:tc>
      </w:tr>
    </w:tbl>
    <w:p>
      <w:pPr>
        <w:spacing w:after="20"/>
      </w:pPr>
    </w:p>
    <w:p>
      <w:r>
        <w:rPr>
          <w:color w:val="000000"/>
        </w:rPr>
        <w:t>For the optional 3M item, store pair versus four-pair-pack conversion explicitly. The model alone does not establish safety suitability. The primary five stories do not depend on respiratory-protection selection. Real product identity is distinct from fictional equipment suitability and approved supplier relationships.</w:t>
      </w:r>
    </w:p>
    <w:p>
      <w:r>
        <w:rPr>
          <w:color w:val="000000"/>
        </w:rPr>
        <w:t xml:space="preserve">Use fictional suppliers </w:t>
      </w:r>
      <w:r>
        <w:rPr>
          <w:rFonts w:ascii="Consolas" w:hAnsi="Consolas"/>
          <w:color w:val="000000"/>
          <w:sz w:val="20"/>
        </w:rPr>
        <w:t>Midlands Industrial Supply</w:t>
      </w:r>
      <w:r>
        <w:rPr>
          <w:color w:val="000000"/>
        </w:rPr>
        <w:t xml:space="preserve">, </w:t>
      </w:r>
      <w:r>
        <w:rPr>
          <w:rFonts w:ascii="Consolas" w:hAnsi="Consolas"/>
          <w:color w:val="000000"/>
          <w:sz w:val="20"/>
        </w:rPr>
        <w:t>Precision Maintenance Partners</w:t>
      </w:r>
      <w:r>
        <w:rPr>
          <w:color w:val="000000"/>
        </w:rPr>
        <w:t xml:space="preserve">, </w:t>
      </w:r>
      <w:r>
        <w:rPr>
          <w:rFonts w:ascii="Consolas" w:hAnsi="Consolas"/>
          <w:color w:val="000000"/>
          <w:sz w:val="20"/>
        </w:rPr>
        <w:t>West Midlands Calibration</w:t>
      </w:r>
      <w:r>
        <w:rPr>
          <w:color w:val="000000"/>
        </w:rPr>
        <w:t xml:space="preserve">, </w:t>
      </w:r>
      <w:r>
        <w:rPr>
          <w:rFonts w:ascii="Consolas" w:hAnsi="Consolas"/>
          <w:color w:val="000000"/>
          <w:sz w:val="20"/>
        </w:rPr>
        <w:t>Northern Engineering Services</w:t>
      </w:r>
      <w:r>
        <w:rPr>
          <w:color w:val="000000"/>
        </w:rPr>
        <w:t xml:space="preserve"> and </w:t>
      </w:r>
      <w:r>
        <w:rPr>
          <w:rFonts w:ascii="Consolas" w:hAnsi="Consolas"/>
          <w:color w:val="000000"/>
          <w:sz w:val="20"/>
        </w:rPr>
        <w:t>Engineering Software Services</w:t>
      </w:r>
      <w:r>
        <w:rPr>
          <w:color w:val="000000"/>
        </w:rPr>
        <w:t xml:space="preserve">, IDs </w:t>
      </w:r>
      <w:r>
        <w:rPr>
          <w:rFonts w:ascii="Consolas" w:hAnsi="Consolas"/>
          <w:color w:val="000000"/>
          <w:sz w:val="20"/>
        </w:rPr>
        <w:t>SUP-AP-001</w:t>
      </w:r>
      <w:r>
        <w:rPr>
          <w:color w:val="000000"/>
        </w:rPr>
        <w:t xml:space="preserve"> through </w:t>
      </w:r>
      <w:r>
        <w:rPr>
          <w:rFonts w:ascii="Consolas" w:hAnsi="Consolas"/>
          <w:color w:val="000000"/>
          <w:sz w:val="20"/>
        </w:rPr>
        <w:t>SUP-AP-005</w:t>
      </w:r>
      <w:r>
        <w:rPr>
          <w:color w:val="000000"/>
        </w:rPr>
        <w:t xml:space="preserve">. Use pending ID </w:t>
      </w:r>
      <w:r>
        <w:rPr>
          <w:rFonts w:ascii="Consolas" w:hAnsi="Consolas"/>
          <w:color w:val="000000"/>
          <w:sz w:val="20"/>
        </w:rPr>
        <w:t>SUP-AP-PENDING-01</w:t>
      </w:r>
      <w:r>
        <w:rPr>
          <w:color w:val="000000"/>
        </w:rPr>
        <w:t xml:space="preserve"> before activation. Bank data are masked. Emails use </w:t>
      </w:r>
      <w:r>
        <w:rPr>
          <w:rFonts w:ascii="Consolas" w:hAnsi="Consolas"/>
          <w:color w:val="000000"/>
          <w:sz w:val="20"/>
        </w:rPr>
        <w:t>.example</w:t>
      </w:r>
      <w:r>
        <w:rPr>
          <w:color w:val="000000"/>
        </w:rPr>
        <w:t>. Do not invent real vendors' risk clearance or account data.</w:t>
      </w:r>
    </w:p>
    <w:p>
      <w:r>
        <w:rPr>
          <w:color w:val="000000"/>
        </w:rPr>
        <w:t>Initialize the demo to 7 October 2026, 09:00 Europe/London. Events store ISO UTC; display is timezone-aware. The mock clock advances hours/days for quotes, approvals, acceptance, invoices and SLA branches. No June/July legacy dates survive in primary stories.</w:t>
      </w:r>
    </w:p>
    <w:p>
      <w:r>
        <w:rPr>
          <w:color w:val="000000"/>
        </w:rPr>
        <w:t>Seed five cases and their work packages, historical spend, entitlement snapshots, benchmarks, panels and technical records. Secondary fixtures include missing supplier ID, two-bid event, stale SAM data, bank mismatch, sanctions, Red clause, invoice leakage and connector failure. Chart totals come from those records, not the legacy network totals.</w:t>
      </w:r>
    </w:p>
    <w:p>
      <w:pPr>
        <w:pStyle w:val="Heading1"/>
      </w:pPr>
      <w:r>
        <w:t>16 Financial measures and dashboard definitions</w:t>
      </w:r>
    </w:p>
    <w:p>
      <w:r>
        <w:rPr>
          <w:color w:val="000000"/>
        </w:rPr>
        <w:t>Store money as integer minor units in GBP. Use one formatter and one set of selectors for cards, documents, charts and source comparisons. Round monetary results to pence. Format percentages only for display. Baseline and outcome must use comparable quantity, period, UoM, scope and commercial inclusions.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744"/>
      </w:tblGrid>
      <w:tr>
        <w:trPr>
          <w:cantSplit/>
          <w:tblHeader/>
        </w:trPr>
        <w:tc>
          <w:tcPr>
            <w:tcW w:type="dxa" w:w="2376"/>
            <w:vAlign w:val="center"/>
            <w:shd w:fill="18354B"/>
            <w:tcMar>
              <w:top w:w="80" w:type="dxa"/>
              <w:bottom w:w="80" w:type="dxa"/>
              <w:left w:w="90" w:type="dxa"/>
              <w:right w:w="90" w:type="dxa"/>
            </w:tcMar>
          </w:tcPr>
          <w:p>
            <w:pPr>
              <w:keepNext/>
              <w:spacing w:after="0" w:line="250" w:lineRule="auto"/>
            </w:pPr>
            <w:r>
              <w:rPr>
                <w:b/>
                <w:color w:val="FFFFFF"/>
                <w:sz w:val="20"/>
              </w:rPr>
              <w:t>Measure</w:t>
            </w:r>
          </w:p>
        </w:tc>
        <w:tc>
          <w:tcPr>
            <w:tcW w:type="dxa" w:w="3960"/>
            <w:vAlign w:val="center"/>
            <w:shd w:fill="18354B"/>
            <w:tcMar>
              <w:top w:w="80" w:type="dxa"/>
              <w:bottom w:w="80" w:type="dxa"/>
              <w:left w:w="90" w:type="dxa"/>
              <w:right w:w="90" w:type="dxa"/>
            </w:tcMar>
          </w:tcPr>
          <w:p>
            <w:pPr>
              <w:keepNext/>
              <w:spacing w:after="0" w:line="250" w:lineRule="auto"/>
            </w:pPr>
            <w:r>
              <w:rPr>
                <w:b/>
                <w:color w:val="FFFFFF"/>
                <w:sz w:val="20"/>
              </w:rPr>
              <w:t>Definition</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Gate</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Requested value</w:t>
            </w:r>
          </w:p>
        </w:tc>
        <w:tc>
          <w:tcPr>
            <w:tcW w:type="dxa" w:w="3960"/>
            <w:vAlign w:val="center"/>
            <w:shd w:fill="FFFFFF"/>
            <w:tcMar>
              <w:top w:w="80" w:type="dxa"/>
              <w:bottom w:w="80" w:type="dxa"/>
              <w:left w:w="90" w:type="dxa"/>
              <w:right w:w="90" w:type="dxa"/>
            </w:tcMar>
          </w:tcPr>
          <w:p>
            <w:pPr>
              <w:spacing w:after="0" w:line="250" w:lineRule="auto"/>
            </w:pPr>
            <w:r>
              <w:rPr>
                <w:color w:val="000000"/>
                <w:sz w:val="20"/>
              </w:rPr>
              <w:t>Requested quantity × comparable unit price, plus included costs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Valid quantity/UoM</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Expected sourcing savings</w:t>
            </w:r>
          </w:p>
        </w:tc>
        <w:tc>
          <w:tcPr>
            <w:tcW w:type="dxa" w:w="3960"/>
            <w:vAlign w:val="center"/>
            <w:shd w:fill="F3F6F8"/>
            <w:tcMar>
              <w:top w:w="80" w:type="dxa"/>
              <w:bottom w:w="80" w:type="dxa"/>
              <w:left w:w="90" w:type="dxa"/>
              <w:right w:w="90" w:type="dxa"/>
            </w:tcMar>
          </w:tcPr>
          <w:p>
            <w:pPr>
              <w:spacing w:after="0" w:line="250" w:lineRule="auto"/>
            </w:pPr>
            <w:r>
              <w:rPr>
                <w:color w:val="000000"/>
                <w:sz w:val="20"/>
              </w:rPr>
              <w:t>Approved baseline cost minus awarded comparable cost</w:t>
            </w:r>
          </w:p>
        </w:tc>
        <w:tc>
          <w:tcPr>
            <w:tcW w:type="dxa" w:w="3744"/>
            <w:vAlign w:val="center"/>
            <w:shd w:fill="F3F6F8"/>
            <w:tcMar>
              <w:top w:w="80" w:type="dxa"/>
              <w:bottom w:w="80" w:type="dxa"/>
              <w:left w:w="90" w:type="dxa"/>
              <w:right w:w="90" w:type="dxa"/>
            </w:tcMar>
          </w:tcPr>
          <w:p>
            <w:pPr>
              <w:spacing w:after="0" w:line="250" w:lineRule="auto"/>
            </w:pPr>
            <w:r>
              <w:rPr>
                <w:color w:val="000000"/>
                <w:sz w:val="20"/>
              </w:rPr>
              <w:t>Valid baseline and award</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Invoice-evidenced savings</w:t>
            </w:r>
          </w:p>
        </w:tc>
        <w:tc>
          <w:tcPr>
            <w:tcW w:type="dxa" w:w="3960"/>
            <w:vAlign w:val="center"/>
            <w:shd w:fill="FFFFFF"/>
            <w:tcMar>
              <w:top w:w="80" w:type="dxa"/>
              <w:bottom w:w="80" w:type="dxa"/>
              <w:left w:w="90" w:type="dxa"/>
              <w:right w:w="90" w:type="dxa"/>
            </w:tcMar>
          </w:tcPr>
          <w:p>
            <w:pPr>
              <w:spacing w:after="0" w:line="250" w:lineRule="auto"/>
            </w:pPr>
            <w:r>
              <w:rPr>
                <w:color w:val="000000"/>
                <w:sz w:val="20"/>
              </w:rPr>
              <w:t>Baseline for accepted/invoiced scope minus net invoice after credits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Invoice and scope evidence</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Finance-validated sourcing savings</w:t>
            </w:r>
          </w:p>
        </w:tc>
        <w:tc>
          <w:tcPr>
            <w:tcW w:type="dxa" w:w="3960"/>
            <w:vAlign w:val="center"/>
            <w:shd w:fill="F3F6F8"/>
            <w:tcMar>
              <w:top w:w="80" w:type="dxa"/>
              <w:bottom w:w="80" w:type="dxa"/>
              <w:left w:w="90" w:type="dxa"/>
              <w:right w:w="90" w:type="dxa"/>
            </w:tcMar>
          </w:tcPr>
          <w:p>
            <w:pPr>
              <w:spacing w:after="0" w:line="250" w:lineRule="auto"/>
            </w:pPr>
            <w:r>
              <w:rPr>
                <w:color w:val="000000"/>
                <w:sz w:val="20"/>
              </w:rPr>
              <w:t>Signed supported invoice savings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HC08 satisfied</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Net licence avoidance</w:t>
            </w:r>
          </w:p>
        </w:tc>
        <w:tc>
          <w:tcPr>
            <w:tcW w:type="dxa" w:w="3960"/>
            <w:vAlign w:val="center"/>
            <w:shd w:fill="FFFFFF"/>
            <w:tcMar>
              <w:top w:w="80" w:type="dxa"/>
              <w:bottom w:w="80" w:type="dxa"/>
              <w:left w:w="90" w:type="dxa"/>
              <w:right w:w="90" w:type="dxa"/>
            </w:tcMar>
          </w:tcPr>
          <w:p>
            <w:pPr>
              <w:spacing w:after="0" w:line="250" w:lineRule="auto"/>
            </w:pPr>
            <w:r>
              <w:rPr>
                <w:color w:val="000000"/>
                <w:sz w:val="20"/>
              </w:rPr>
              <w:t>Avoided seats × comparable contracted price minus administration/transfer costs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Entitlement, assignment, costs and Finance decision</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Leakage</w:t>
            </w:r>
          </w:p>
        </w:tc>
        <w:tc>
          <w:tcPr>
            <w:tcW w:type="dxa" w:w="3960"/>
            <w:vAlign w:val="center"/>
            <w:shd w:fill="F3F6F8"/>
            <w:tcMar>
              <w:top w:w="80" w:type="dxa"/>
              <w:bottom w:w="80" w:type="dxa"/>
              <w:left w:w="90" w:type="dxa"/>
              <w:right w:w="90" w:type="dxa"/>
            </w:tcMar>
          </w:tcPr>
          <w:p>
            <w:pPr>
              <w:spacing w:after="0" w:line="250" w:lineRule="auto"/>
            </w:pPr>
            <w:r>
              <w:rPr>
                <w:color w:val="000000"/>
                <w:sz w:val="20"/>
              </w:rPr>
              <w:t>Excess price, quantity or omitted credit versus authorised payable amount</w:t>
            </w:r>
          </w:p>
        </w:tc>
        <w:tc>
          <w:tcPr>
            <w:tcW w:type="dxa" w:w="3744"/>
            <w:vAlign w:val="center"/>
            <w:shd w:fill="F3F6F8"/>
            <w:tcMar>
              <w:top w:w="80" w:type="dxa"/>
              <w:bottom w:w="80" w:type="dxa"/>
              <w:left w:w="90" w:type="dxa"/>
              <w:right w:w="90" w:type="dxa"/>
            </w:tcMar>
          </w:tcPr>
          <w:p>
            <w:pPr>
              <w:spacing w:after="0" w:line="250" w:lineRule="auto"/>
            </w:pPr>
            <w:r>
              <w:rPr>
                <w:color w:val="000000"/>
                <w:sz w:val="20"/>
              </w:rPr>
              <w:t>Match exception</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Productivity benefit</w:t>
            </w:r>
          </w:p>
        </w:tc>
        <w:tc>
          <w:tcPr>
            <w:tcW w:type="dxa" w:w="3960"/>
            <w:vAlign w:val="center"/>
            <w:shd w:fill="FFFFFF"/>
            <w:tcMar>
              <w:top w:w="80" w:type="dxa"/>
              <w:bottom w:w="80" w:type="dxa"/>
              <w:left w:w="90" w:type="dxa"/>
              <w:right w:w="90" w:type="dxa"/>
            </w:tcMar>
          </w:tcPr>
          <w:p>
            <w:pPr>
              <w:spacing w:after="0" w:line="250" w:lineRule="auto"/>
            </w:pPr>
            <w:r>
              <w:rPr>
                <w:color w:val="000000"/>
                <w:sz w:val="20"/>
              </w:rPr>
              <w:t>Approved effort/cost model for work avoided</w:t>
            </w:r>
          </w:p>
        </w:tc>
        <w:tc>
          <w:tcPr>
            <w:tcW w:type="dxa" w:w="3744"/>
            <w:vAlign w:val="center"/>
            <w:shd w:fill="FFFFFF"/>
            <w:tcMar>
              <w:top w:w="80" w:type="dxa"/>
              <w:bottom w:w="80" w:type="dxa"/>
              <w:left w:w="90" w:type="dxa"/>
              <w:right w:w="90" w:type="dxa"/>
            </w:tcMar>
          </w:tcPr>
          <w:p>
            <w:pPr>
              <w:spacing w:after="0" w:line="250" w:lineRule="auto"/>
            </w:pPr>
            <w:r>
              <w:rPr>
                <w:color w:val="000000"/>
                <w:sz w:val="20"/>
              </w:rPr>
              <w:t>Separate noncash metric</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Cycle time</w:t>
            </w:r>
          </w:p>
        </w:tc>
        <w:tc>
          <w:tcPr>
            <w:tcW w:type="dxa" w:w="3960"/>
            <w:vAlign w:val="center"/>
            <w:shd w:fill="F3F6F8"/>
            <w:tcMar>
              <w:top w:w="80" w:type="dxa"/>
              <w:bottom w:w="80" w:type="dxa"/>
              <w:left w:w="90" w:type="dxa"/>
              <w:right w:w="90" w:type="dxa"/>
            </w:tcMar>
          </w:tcPr>
          <w:p>
            <w:pPr>
              <w:spacing w:after="0" w:line="250" w:lineRule="auto"/>
            </w:pPr>
            <w:r>
              <w:rPr>
                <w:color w:val="000000"/>
                <w:sz w:val="20"/>
              </w:rPr>
              <w:t>Terminal event time minus appropriate process start</w:t>
            </w:r>
          </w:p>
        </w:tc>
        <w:tc>
          <w:tcPr>
            <w:tcW w:type="dxa" w:w="3744"/>
            <w:vAlign w:val="center"/>
            <w:shd w:fill="F3F6F8"/>
            <w:tcMar>
              <w:top w:w="80" w:type="dxa"/>
              <w:bottom w:w="80" w:type="dxa"/>
              <w:left w:w="90" w:type="dxa"/>
              <w:right w:w="90" w:type="dxa"/>
            </w:tcMar>
          </w:tcPr>
          <w:p>
            <w:pPr>
              <w:spacing w:after="0" w:line="250" w:lineRule="auto"/>
            </w:pPr>
            <w:r>
              <w:rPr>
                <w:color w:val="000000"/>
                <w:sz w:val="20"/>
              </w:rPr>
              <w:t>Simulated timestamps</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No buyer touch</w:t>
            </w:r>
          </w:p>
        </w:tc>
        <w:tc>
          <w:tcPr>
            <w:tcW w:type="dxa" w:w="3960"/>
            <w:vAlign w:val="center"/>
            <w:shd w:fill="FFFFFF"/>
            <w:tcMar>
              <w:top w:w="80" w:type="dxa"/>
              <w:bottom w:w="80" w:type="dxa"/>
              <w:left w:w="90" w:type="dxa"/>
              <w:right w:w="90" w:type="dxa"/>
            </w:tcMar>
          </w:tcPr>
          <w:p>
            <w:pPr>
              <w:spacing w:after="0" w:line="250" w:lineRule="auto"/>
            </w:pPr>
            <w:r>
              <w:rPr>
                <w:color w:val="000000"/>
                <w:sz w:val="20"/>
              </w:rPr>
              <w:t>Completed cases with no substantive buyer review/override divided by eligible completed cases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Human-action ledger</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Fully touchless</w:t>
            </w:r>
          </w:p>
        </w:tc>
        <w:tc>
          <w:tcPr>
            <w:tcW w:type="dxa" w:w="3960"/>
            <w:vAlign w:val="center"/>
            <w:shd w:fill="F3F6F8"/>
            <w:tcMar>
              <w:top w:w="80" w:type="dxa"/>
              <w:bottom w:w="80" w:type="dxa"/>
              <w:left w:w="90" w:type="dxa"/>
              <w:right w:w="90" w:type="dxa"/>
            </w:tcMar>
          </w:tcPr>
          <w:p>
            <w:pPr>
              <w:spacing w:after="0" w:line="250" w:lineRule="auto"/>
            </w:pPr>
            <w:r>
              <w:rPr>
                <w:color w:val="000000"/>
                <w:sz w:val="20"/>
              </w:rPr>
              <w:t>Cases with no substantive human decision at any role divided by eligible completed cases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Distinct from no buyer touch</w:t>
            </w:r>
          </w:p>
        </w:tc>
      </w:tr>
    </w:tbl>
    <w:p>
      <w:pPr>
        <w:spacing w:after="20"/>
      </w:pPr>
    </w:p>
    <w:p>
      <w:r>
        <w:rPr>
          <w:color w:val="000000"/>
        </w:rPr>
        <w:t>Requester submission and viewing evidence are not buyer touches. Analyst corrections, mixed-route confirmation and commercial approval are touches. A Finance savings signature does not retroactively change a PR-to-PO buyer-touch metric, but the end-to-end case is not fully touchless. Count each case once, with the metric period and denominator visible. Do not infer touchlessness merely from an empty exceptions array, as the old selector does.</w:t>
      </w:r>
    </w:p>
    <w:p>
      <w:r>
        <w:rPr>
          <w:color w:val="000000"/>
        </w:rPr>
        <w:t xml:space="preserve">For the five primary successful paths, invoice-validated sourcing savings are ST02 £4,000 + ST03 £2,400 + ST05 £400 = </w:t>
      </w:r>
      <w:r>
        <w:rPr>
          <w:b/>
          <w:color w:val="000000"/>
        </w:rPr>
        <w:t>£6,800</w:t>
      </w:r>
      <w:r>
        <w:rPr>
          <w:color w:val="000000"/>
        </w:rPr>
        <w:t xml:space="preserve">. ST04 contributes no additional cash saving. ST01 contributes </w:t>
      </w:r>
      <w:r>
        <w:rPr>
          <w:b/>
          <w:color w:val="000000"/>
        </w:rPr>
        <w:t>£700 validated cost avoidance</w:t>
      </w:r>
      <w:r>
        <w:rPr>
          <w:color w:val="000000"/>
        </w:rPr>
        <w:t>, in a separate category. ST03's £600 onboarding effort is excluded from cash savings by default. These are fixture check totals after the relevant events and signatures, not values to hardcode in cards.</w:t>
      </w:r>
    </w:p>
    <w:p>
      <w:r>
        <w:rPr>
          <w:color w:val="000000"/>
        </w:rPr>
        <w:t>For a leakage variant in ST02, an initial £47,000 invoice leaves £1,000 leakage. A supported £1,000 credit gives net £46,000 and the same £4,000 sourcing saving. Do not add recovered leakage to the £4,000 again. Partial invoices validate only their supported quantities, never the full PO before delivery. Credits allocate to invoice lines and cannot be reused across two claims.</w:t>
      </w:r>
    </w:p>
    <w:p>
      <w:pPr>
        <w:pStyle w:val="Heading2"/>
      </w:pPr>
      <w:r>
        <w:t>16 1 Operating model targets versus demo actuals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880"/>
        <w:gridCol w:w="2880"/>
      </w:tblGrid>
      <w:tr>
        <w:trPr>
          <w:cantSplit/>
          <w:tblHeader/>
        </w:trPr>
        <w:tc>
          <w:tcPr>
            <w:tcW w:type="dxa" w:w="4320"/>
            <w:vAlign w:val="center"/>
            <w:shd w:fill="18354B"/>
            <w:tcMar>
              <w:top w:w="80" w:type="dxa"/>
              <w:bottom w:w="80" w:type="dxa"/>
              <w:left w:w="90" w:type="dxa"/>
              <w:right w:w="90" w:type="dxa"/>
            </w:tcMar>
          </w:tcPr>
          <w:p>
            <w:pPr>
              <w:keepNext/>
              <w:spacing w:after="0" w:line="250" w:lineRule="auto"/>
            </w:pPr>
            <w:r>
              <w:rPr>
                <w:b/>
                <w:color w:val="FFFFFF"/>
                <w:sz w:val="20"/>
              </w:rPr>
              <w:t>Metric</w:t>
            </w:r>
          </w:p>
        </w:tc>
        <w:tc>
          <w:tcPr>
            <w:tcW w:type="dxa" w:w="2880"/>
            <w:vAlign w:val="center"/>
            <w:shd w:fill="18354B"/>
            <w:tcMar>
              <w:top w:w="80" w:type="dxa"/>
              <w:bottom w:w="80" w:type="dxa"/>
              <w:left w:w="90" w:type="dxa"/>
              <w:right w:w="90" w:type="dxa"/>
            </w:tcMar>
          </w:tcPr>
          <w:p>
            <w:pPr>
              <w:keepNext/>
              <w:spacing w:after="0" w:line="250" w:lineRule="auto"/>
            </w:pPr>
            <w:r>
              <w:rPr>
                <w:b/>
                <w:color w:val="FFFFFF"/>
                <w:sz w:val="20"/>
              </w:rPr>
              <w:t>Deck baseline</w:t>
            </w:r>
          </w:p>
        </w:tc>
        <w:tc>
          <w:tcPr>
            <w:tcW w:type="dxa" w:w="2880"/>
            <w:vAlign w:val="center"/>
            <w:shd w:fill="18354B"/>
            <w:tcMar>
              <w:top w:w="80" w:type="dxa"/>
              <w:bottom w:w="80" w:type="dxa"/>
              <w:left w:w="90" w:type="dxa"/>
              <w:right w:w="90" w:type="dxa"/>
            </w:tcMar>
          </w:tcPr>
          <w:p>
            <w:pPr>
              <w:keepNext/>
              <w:spacing w:after="0" w:line="250" w:lineRule="auto"/>
            </w:pPr>
            <w:r>
              <w:rPr>
                <w:b/>
                <w:color w:val="FFFFFF"/>
                <w:sz w:val="20"/>
              </w:rPr>
              <w:t>Deck target</w:t>
            </w:r>
          </w:p>
        </w:tc>
      </w:tr>
      <w:tr>
        <w:trPr>
          <w:cantSplit/>
        </w:trPr>
        <w:tc>
          <w:tcPr>
            <w:tcW w:type="dxa" w:w="4320"/>
            <w:vAlign w:val="center"/>
            <w:shd w:fill="FFFFFF"/>
            <w:tcMar>
              <w:top w:w="80" w:type="dxa"/>
              <w:bottom w:w="80" w:type="dxa"/>
              <w:left w:w="90" w:type="dxa"/>
              <w:right w:w="90" w:type="dxa"/>
            </w:tcMar>
          </w:tcPr>
          <w:p>
            <w:pPr>
              <w:spacing w:after="0" w:line="250" w:lineRule="auto"/>
            </w:pPr>
            <w:r>
              <w:rPr>
                <w:color w:val="000000"/>
                <w:sz w:val="20"/>
              </w:rPr>
              <w:t>Requests with no buyer touch</w:t>
            </w:r>
          </w:p>
        </w:tc>
        <w:tc>
          <w:tcPr>
            <w:tcW w:type="dxa" w:w="2880"/>
            <w:vAlign w:val="center"/>
            <w:shd w:fill="FFFFFF"/>
            <w:tcMar>
              <w:top w:w="80" w:type="dxa"/>
              <w:bottom w:w="80" w:type="dxa"/>
              <w:left w:w="90" w:type="dxa"/>
              <w:right w:w="90" w:type="dxa"/>
            </w:tcMar>
          </w:tcPr>
          <w:p>
            <w:pPr>
              <w:spacing w:after="0" w:line="250" w:lineRule="auto"/>
            </w:pPr>
            <w:r>
              <w:rPr>
                <w:color w:val="000000"/>
                <w:sz w:val="20"/>
              </w:rPr>
              <w:t>Unspecified</w:t>
            </w:r>
          </w:p>
        </w:tc>
        <w:tc>
          <w:tcPr>
            <w:tcW w:type="dxa" w:w="2880"/>
            <w:vAlign w:val="center"/>
            <w:shd w:fill="FFFFFF"/>
            <w:tcMar>
              <w:top w:w="80" w:type="dxa"/>
              <w:bottom w:w="80" w:type="dxa"/>
              <w:left w:w="90" w:type="dxa"/>
              <w:right w:w="90" w:type="dxa"/>
            </w:tcMar>
          </w:tcPr>
          <w:p>
            <w:pPr>
              <w:spacing w:after="0" w:line="250" w:lineRule="auto"/>
            </w:pPr>
            <w:r>
              <w:rPr>
                <w:color w:val="000000"/>
                <w:sz w:val="20"/>
              </w:rPr>
              <w:t>Approximately 68%</w:t>
            </w:r>
          </w:p>
        </w:tc>
      </w:tr>
      <w:tr>
        <w:trPr>
          <w:cantSplit/>
        </w:trPr>
        <w:tc>
          <w:tcPr>
            <w:tcW w:type="dxa" w:w="4320"/>
            <w:vAlign w:val="center"/>
            <w:shd w:fill="F3F6F8"/>
            <w:tcMar>
              <w:top w:w="80" w:type="dxa"/>
              <w:bottom w:w="80" w:type="dxa"/>
              <w:left w:w="90" w:type="dxa"/>
              <w:right w:w="90" w:type="dxa"/>
            </w:tcMar>
          </w:tcPr>
          <w:p>
            <w:pPr>
              <w:spacing w:after="0" w:line="250" w:lineRule="auto"/>
            </w:pPr>
            <w:r>
              <w:rPr>
                <w:color w:val="000000"/>
                <w:sz w:val="20"/>
              </w:rPr>
              <w:t>Spot-buy intake to PO</w:t>
            </w:r>
          </w:p>
        </w:tc>
        <w:tc>
          <w:tcPr>
            <w:tcW w:type="dxa" w:w="2880"/>
            <w:vAlign w:val="center"/>
            <w:shd w:fill="F3F6F8"/>
            <w:tcMar>
              <w:top w:w="80" w:type="dxa"/>
              <w:bottom w:w="80" w:type="dxa"/>
              <w:left w:w="90" w:type="dxa"/>
              <w:right w:w="90" w:type="dxa"/>
            </w:tcMar>
          </w:tcPr>
          <w:p>
            <w:pPr>
              <w:spacing w:after="0" w:line="250" w:lineRule="auto"/>
            </w:pPr>
            <w:r>
              <w:rPr>
                <w:color w:val="000000"/>
                <w:sz w:val="20"/>
              </w:rPr>
              <w:t>Unspecified</w:t>
            </w:r>
          </w:p>
        </w:tc>
        <w:tc>
          <w:tcPr>
            <w:tcW w:type="dxa" w:w="2880"/>
            <w:vAlign w:val="center"/>
            <w:shd w:fill="F3F6F8"/>
            <w:tcMar>
              <w:top w:w="80" w:type="dxa"/>
              <w:bottom w:w="80" w:type="dxa"/>
              <w:left w:w="90" w:type="dxa"/>
              <w:right w:w="90" w:type="dxa"/>
            </w:tcMar>
          </w:tcPr>
          <w:p>
            <w:pPr>
              <w:spacing w:after="0" w:line="250" w:lineRule="auto"/>
            </w:pPr>
            <w:r>
              <w:rPr>
                <w:color w:val="000000"/>
                <w:sz w:val="20"/>
              </w:rPr>
              <w:t>3–5 days</w:t>
            </w:r>
          </w:p>
        </w:tc>
      </w:tr>
      <w:tr>
        <w:trPr>
          <w:cantSplit/>
        </w:trPr>
        <w:tc>
          <w:tcPr>
            <w:tcW w:type="dxa" w:w="4320"/>
            <w:vAlign w:val="center"/>
            <w:shd w:fill="FFFFFF"/>
            <w:tcMar>
              <w:top w:w="80" w:type="dxa"/>
              <w:bottom w:w="80" w:type="dxa"/>
              <w:left w:w="90" w:type="dxa"/>
              <w:right w:w="90" w:type="dxa"/>
            </w:tcMar>
          </w:tcPr>
          <w:p>
            <w:pPr>
              <w:spacing w:after="0" w:line="250" w:lineRule="auto"/>
            </w:pPr>
            <w:r>
              <w:rPr>
                <w:color w:val="000000"/>
                <w:sz w:val="20"/>
              </w:rPr>
              <w:t>PR-to-PO cycle</w:t>
            </w:r>
          </w:p>
        </w:tc>
        <w:tc>
          <w:tcPr>
            <w:tcW w:type="dxa" w:w="2880"/>
            <w:vAlign w:val="center"/>
            <w:shd w:fill="FFFFFF"/>
            <w:tcMar>
              <w:top w:w="80" w:type="dxa"/>
              <w:bottom w:w="80" w:type="dxa"/>
              <w:left w:w="90" w:type="dxa"/>
              <w:right w:w="90" w:type="dxa"/>
            </w:tcMar>
          </w:tcPr>
          <w:p>
            <w:pPr>
              <w:spacing w:after="0" w:line="250" w:lineRule="auto"/>
            </w:pPr>
            <w:r>
              <w:rPr>
                <w:color w:val="000000"/>
                <w:sz w:val="20"/>
              </w:rPr>
              <w:t>More than 24h</w:t>
            </w:r>
          </w:p>
        </w:tc>
        <w:tc>
          <w:tcPr>
            <w:tcW w:type="dxa" w:w="2880"/>
            <w:vAlign w:val="center"/>
            <w:shd w:fill="FFFFFF"/>
            <w:tcMar>
              <w:top w:w="80" w:type="dxa"/>
              <w:bottom w:w="80" w:type="dxa"/>
              <w:left w:w="90" w:type="dxa"/>
              <w:right w:w="90" w:type="dxa"/>
            </w:tcMar>
          </w:tcPr>
          <w:p>
            <w:pPr>
              <w:spacing w:after="0" w:line="250" w:lineRule="auto"/>
            </w:pPr>
            <w:r>
              <w:rPr>
                <w:color w:val="000000"/>
                <w:sz w:val="20"/>
              </w:rPr>
              <w:t>Less than 8h</w:t>
            </w:r>
          </w:p>
        </w:tc>
      </w:tr>
      <w:tr>
        <w:trPr>
          <w:cantSplit/>
        </w:trPr>
        <w:tc>
          <w:tcPr>
            <w:tcW w:type="dxa" w:w="4320"/>
            <w:vAlign w:val="center"/>
            <w:shd w:fill="F3F6F8"/>
            <w:tcMar>
              <w:top w:w="80" w:type="dxa"/>
              <w:bottom w:w="80" w:type="dxa"/>
              <w:left w:w="90" w:type="dxa"/>
              <w:right w:w="90" w:type="dxa"/>
            </w:tcMar>
          </w:tcPr>
          <w:p>
            <w:pPr>
              <w:spacing w:after="0" w:line="250" w:lineRule="auto"/>
            </w:pPr>
            <w:r>
              <w:rPr>
                <w:color w:val="000000"/>
                <w:sz w:val="20"/>
              </w:rPr>
              <w:t>Channel compliance</w:t>
            </w:r>
          </w:p>
        </w:tc>
        <w:tc>
          <w:tcPr>
            <w:tcW w:type="dxa" w:w="2880"/>
            <w:vAlign w:val="center"/>
            <w:shd w:fill="F3F6F8"/>
            <w:tcMar>
              <w:top w:w="80" w:type="dxa"/>
              <w:bottom w:w="80" w:type="dxa"/>
              <w:left w:w="90" w:type="dxa"/>
              <w:right w:w="90" w:type="dxa"/>
            </w:tcMar>
          </w:tcPr>
          <w:p>
            <w:pPr>
              <w:spacing w:after="0" w:line="250" w:lineRule="auto"/>
            </w:pPr>
            <w:r>
              <w:rPr>
                <w:color w:val="000000"/>
                <w:sz w:val="20"/>
              </w:rPr>
              <w:t>Below 75%</w:t>
            </w:r>
          </w:p>
        </w:tc>
        <w:tc>
          <w:tcPr>
            <w:tcW w:type="dxa" w:w="2880"/>
            <w:vAlign w:val="center"/>
            <w:shd w:fill="F3F6F8"/>
            <w:tcMar>
              <w:top w:w="80" w:type="dxa"/>
              <w:bottom w:w="80" w:type="dxa"/>
              <w:left w:w="90" w:type="dxa"/>
              <w:right w:w="90" w:type="dxa"/>
            </w:tcMar>
          </w:tcPr>
          <w:p>
            <w:pPr>
              <w:spacing w:after="0" w:line="250" w:lineRule="auto"/>
            </w:pPr>
            <w:r>
              <w:rPr>
                <w:color w:val="000000"/>
                <w:sz w:val="20"/>
              </w:rPr>
              <w:t>Above 90%</w:t>
            </w:r>
          </w:p>
        </w:tc>
      </w:tr>
      <w:tr>
        <w:trPr>
          <w:cantSplit/>
        </w:trPr>
        <w:tc>
          <w:tcPr>
            <w:tcW w:type="dxa" w:w="4320"/>
            <w:vAlign w:val="center"/>
            <w:shd w:fill="FFFFFF"/>
            <w:tcMar>
              <w:top w:w="80" w:type="dxa"/>
              <w:bottom w:w="80" w:type="dxa"/>
              <w:left w:w="90" w:type="dxa"/>
              <w:right w:w="90" w:type="dxa"/>
            </w:tcMar>
          </w:tcPr>
          <w:p>
            <w:pPr>
              <w:spacing w:after="0" w:line="250" w:lineRule="auto"/>
            </w:pPr>
            <w:r>
              <w:rPr>
                <w:color w:val="000000"/>
                <w:sz w:val="20"/>
              </w:rPr>
              <w:t>Tail-spend share</w:t>
            </w:r>
          </w:p>
        </w:tc>
        <w:tc>
          <w:tcPr>
            <w:tcW w:type="dxa" w:w="2880"/>
            <w:vAlign w:val="center"/>
            <w:shd w:fill="FFFFFF"/>
            <w:tcMar>
              <w:top w:w="80" w:type="dxa"/>
              <w:bottom w:w="80" w:type="dxa"/>
              <w:left w:w="90" w:type="dxa"/>
              <w:right w:w="90" w:type="dxa"/>
            </w:tcMar>
          </w:tcPr>
          <w:p>
            <w:pPr>
              <w:spacing w:after="0" w:line="250" w:lineRule="auto"/>
            </w:pPr>
            <w:r>
              <w:rPr>
                <w:color w:val="000000"/>
                <w:sz w:val="20"/>
              </w:rPr>
              <w:t>Above 30%</w:t>
            </w:r>
          </w:p>
        </w:tc>
        <w:tc>
          <w:tcPr>
            <w:tcW w:type="dxa" w:w="2880"/>
            <w:vAlign w:val="center"/>
            <w:shd w:fill="FFFFFF"/>
            <w:tcMar>
              <w:top w:w="80" w:type="dxa"/>
              <w:bottom w:w="80" w:type="dxa"/>
              <w:left w:w="90" w:type="dxa"/>
              <w:right w:w="90" w:type="dxa"/>
            </w:tcMar>
          </w:tcPr>
          <w:p>
            <w:pPr>
              <w:spacing w:after="0" w:line="250" w:lineRule="auto"/>
            </w:pPr>
            <w:r>
              <w:rPr>
                <w:color w:val="000000"/>
                <w:sz w:val="20"/>
              </w:rPr>
              <w:t>Below 15%</w:t>
            </w:r>
          </w:p>
        </w:tc>
      </w:tr>
      <w:tr>
        <w:trPr>
          <w:cantSplit/>
        </w:trPr>
        <w:tc>
          <w:tcPr>
            <w:tcW w:type="dxa" w:w="4320"/>
            <w:vAlign w:val="center"/>
            <w:shd w:fill="F3F6F8"/>
            <w:tcMar>
              <w:top w:w="80" w:type="dxa"/>
              <w:bottom w:w="80" w:type="dxa"/>
              <w:left w:w="90" w:type="dxa"/>
              <w:right w:w="90" w:type="dxa"/>
            </w:tcMar>
          </w:tcPr>
          <w:p>
            <w:pPr>
              <w:spacing w:after="0" w:line="250" w:lineRule="auto"/>
            </w:pPr>
            <w:r>
              <w:rPr>
                <w:color w:val="000000"/>
                <w:sz w:val="20"/>
              </w:rPr>
              <w:t>Requisition to contract</w:t>
            </w:r>
          </w:p>
        </w:tc>
        <w:tc>
          <w:tcPr>
            <w:tcW w:type="dxa" w:w="2880"/>
            <w:vAlign w:val="center"/>
            <w:shd w:fill="F3F6F8"/>
            <w:tcMar>
              <w:top w:w="80" w:type="dxa"/>
              <w:bottom w:w="80" w:type="dxa"/>
              <w:left w:w="90" w:type="dxa"/>
              <w:right w:w="90" w:type="dxa"/>
            </w:tcMar>
          </w:tcPr>
          <w:p>
            <w:pPr>
              <w:spacing w:after="0" w:line="250" w:lineRule="auto"/>
            </w:pPr>
            <w:r>
              <w:rPr>
                <w:color w:val="000000"/>
                <w:sz w:val="20"/>
              </w:rPr>
              <w:t>More than 15 days</w:t>
            </w:r>
          </w:p>
        </w:tc>
        <w:tc>
          <w:tcPr>
            <w:tcW w:type="dxa" w:w="2880"/>
            <w:vAlign w:val="center"/>
            <w:shd w:fill="F3F6F8"/>
            <w:tcMar>
              <w:top w:w="80" w:type="dxa"/>
              <w:bottom w:w="80" w:type="dxa"/>
              <w:left w:w="90" w:type="dxa"/>
              <w:right w:w="90" w:type="dxa"/>
            </w:tcMar>
          </w:tcPr>
          <w:p>
            <w:pPr>
              <w:spacing w:after="0" w:line="250" w:lineRule="auto"/>
            </w:pPr>
            <w:r>
              <w:rPr>
                <w:color w:val="000000"/>
                <w:sz w:val="20"/>
              </w:rPr>
              <w:t>Less than 5 days</w:t>
            </w:r>
          </w:p>
        </w:tc>
      </w:tr>
      <w:tr>
        <w:trPr>
          <w:cantSplit/>
        </w:trPr>
        <w:tc>
          <w:tcPr>
            <w:tcW w:type="dxa" w:w="4320"/>
            <w:vAlign w:val="center"/>
            <w:shd w:fill="FFFFFF"/>
            <w:tcMar>
              <w:top w:w="80" w:type="dxa"/>
              <w:bottom w:w="80" w:type="dxa"/>
              <w:left w:w="90" w:type="dxa"/>
              <w:right w:w="90" w:type="dxa"/>
            </w:tcMar>
          </w:tcPr>
          <w:p>
            <w:pPr>
              <w:spacing w:after="0" w:line="250" w:lineRule="auto"/>
            </w:pPr>
            <w:r>
              <w:rPr>
                <w:color w:val="000000"/>
                <w:sz w:val="20"/>
              </w:rPr>
              <w:t>Risk assessment coverage</w:t>
            </w:r>
          </w:p>
        </w:tc>
        <w:tc>
          <w:tcPr>
            <w:tcW w:type="dxa" w:w="2880"/>
            <w:vAlign w:val="center"/>
            <w:shd w:fill="FFFFFF"/>
            <w:tcMar>
              <w:top w:w="80" w:type="dxa"/>
              <w:bottom w:w="80" w:type="dxa"/>
              <w:left w:w="90" w:type="dxa"/>
              <w:right w:w="90" w:type="dxa"/>
            </w:tcMar>
          </w:tcPr>
          <w:p>
            <w:pPr>
              <w:spacing w:after="0" w:line="250" w:lineRule="auto"/>
            </w:pPr>
            <w:r>
              <w:rPr>
                <w:color w:val="000000"/>
                <w:sz w:val="20"/>
              </w:rPr>
              <w:t>Below 80%</w:t>
            </w:r>
          </w:p>
        </w:tc>
        <w:tc>
          <w:tcPr>
            <w:tcW w:type="dxa" w:w="2880"/>
            <w:vAlign w:val="center"/>
            <w:shd w:fill="FFFFFF"/>
            <w:tcMar>
              <w:top w:w="80" w:type="dxa"/>
              <w:bottom w:w="80" w:type="dxa"/>
              <w:left w:w="90" w:type="dxa"/>
              <w:right w:w="90" w:type="dxa"/>
            </w:tcMar>
          </w:tcPr>
          <w:p>
            <w:pPr>
              <w:spacing w:after="0" w:line="250" w:lineRule="auto"/>
            </w:pPr>
            <w:r>
              <w:rPr>
                <w:color w:val="000000"/>
                <w:sz w:val="20"/>
              </w:rPr>
              <w:t>Above 95%</w:t>
            </w:r>
          </w:p>
        </w:tc>
      </w:tr>
      <w:tr>
        <w:trPr>
          <w:cantSplit/>
        </w:trPr>
        <w:tc>
          <w:tcPr>
            <w:tcW w:type="dxa" w:w="4320"/>
            <w:vAlign w:val="center"/>
            <w:shd w:fill="F3F6F8"/>
            <w:tcMar>
              <w:top w:w="80" w:type="dxa"/>
              <w:bottom w:w="80" w:type="dxa"/>
              <w:left w:w="90" w:type="dxa"/>
              <w:right w:w="90" w:type="dxa"/>
            </w:tcMar>
          </w:tcPr>
          <w:p>
            <w:pPr>
              <w:spacing w:after="0" w:line="250" w:lineRule="auto"/>
            </w:pPr>
            <w:r>
              <w:rPr>
                <w:color w:val="000000"/>
                <w:sz w:val="20"/>
              </w:rPr>
              <w:t>Contract compliance/data accuracy</w:t>
            </w:r>
          </w:p>
        </w:tc>
        <w:tc>
          <w:tcPr>
            <w:tcW w:type="dxa" w:w="2880"/>
            <w:vAlign w:val="center"/>
            <w:shd w:fill="F3F6F8"/>
            <w:tcMar>
              <w:top w:w="80" w:type="dxa"/>
              <w:bottom w:w="80" w:type="dxa"/>
              <w:left w:w="90" w:type="dxa"/>
              <w:right w:w="90" w:type="dxa"/>
            </w:tcMar>
          </w:tcPr>
          <w:p>
            <w:pPr>
              <w:spacing w:after="0" w:line="250" w:lineRule="auto"/>
            </w:pPr>
            <w:r>
              <w:rPr>
                <w:color w:val="000000"/>
                <w:sz w:val="20"/>
              </w:rPr>
              <w:t>Below 55% / below 50%</w:t>
            </w:r>
          </w:p>
        </w:tc>
        <w:tc>
          <w:tcPr>
            <w:tcW w:type="dxa" w:w="2880"/>
            <w:vAlign w:val="center"/>
            <w:shd w:fill="F3F6F8"/>
            <w:tcMar>
              <w:top w:w="80" w:type="dxa"/>
              <w:bottom w:w="80" w:type="dxa"/>
              <w:left w:w="90" w:type="dxa"/>
              <w:right w:w="90" w:type="dxa"/>
            </w:tcMar>
          </w:tcPr>
          <w:p>
            <w:pPr>
              <w:spacing w:after="0" w:line="250" w:lineRule="auto"/>
            </w:pPr>
            <w:r>
              <w:rPr>
                <w:color w:val="000000"/>
                <w:sz w:val="20"/>
              </w:rPr>
              <w:t>Above 95%</w:t>
            </w:r>
          </w:p>
        </w:tc>
      </w:tr>
      <w:tr>
        <w:trPr>
          <w:cantSplit/>
        </w:trPr>
        <w:tc>
          <w:tcPr>
            <w:tcW w:type="dxa" w:w="4320"/>
            <w:vAlign w:val="center"/>
            <w:shd w:fill="FFFFFF"/>
            <w:tcMar>
              <w:top w:w="80" w:type="dxa"/>
              <w:bottom w:w="80" w:type="dxa"/>
              <w:left w:w="90" w:type="dxa"/>
              <w:right w:w="90" w:type="dxa"/>
            </w:tcMar>
          </w:tcPr>
          <w:p>
            <w:pPr>
              <w:spacing w:after="0" w:line="250" w:lineRule="auto"/>
            </w:pPr>
            <w:r>
              <w:rPr>
                <w:color w:val="000000"/>
                <w:sz w:val="20"/>
              </w:rPr>
              <w:t>Savings validated at invoice</w:t>
            </w:r>
          </w:p>
        </w:tc>
        <w:tc>
          <w:tcPr>
            <w:tcW w:type="dxa" w:w="2880"/>
            <w:vAlign w:val="center"/>
            <w:shd w:fill="FFFFFF"/>
            <w:tcMar>
              <w:top w:w="80" w:type="dxa"/>
              <w:bottom w:w="80" w:type="dxa"/>
              <w:left w:w="90" w:type="dxa"/>
              <w:right w:w="90" w:type="dxa"/>
            </w:tcMar>
          </w:tcPr>
          <w:p>
            <w:pPr>
              <w:spacing w:after="0" w:line="250" w:lineRule="auto"/>
            </w:pPr>
            <w:r>
              <w:rPr>
                <w:color w:val="000000"/>
                <w:sz w:val="20"/>
              </w:rPr>
              <w:t>Unspecified</w:t>
            </w:r>
          </w:p>
        </w:tc>
        <w:tc>
          <w:tcPr>
            <w:tcW w:type="dxa" w:w="2880"/>
            <w:vAlign w:val="center"/>
            <w:shd w:fill="FFFFFF"/>
            <w:tcMar>
              <w:top w:w="80" w:type="dxa"/>
              <w:bottom w:w="80" w:type="dxa"/>
              <w:left w:w="90" w:type="dxa"/>
              <w:right w:w="90" w:type="dxa"/>
            </w:tcMar>
          </w:tcPr>
          <w:p>
            <w:pPr>
              <w:spacing w:after="0" w:line="250" w:lineRule="auto"/>
            </w:pPr>
            <w:r>
              <w:rPr>
                <w:color w:val="000000"/>
                <w:sz w:val="20"/>
              </w:rPr>
              <w:t>100%</w:t>
            </w:r>
          </w:p>
        </w:tc>
      </w:tr>
      <w:tr>
        <w:trPr>
          <w:cantSplit/>
        </w:trPr>
        <w:tc>
          <w:tcPr>
            <w:tcW w:type="dxa" w:w="4320"/>
            <w:vAlign w:val="center"/>
            <w:shd w:fill="F3F6F8"/>
            <w:tcMar>
              <w:top w:w="80" w:type="dxa"/>
              <w:bottom w:w="80" w:type="dxa"/>
              <w:left w:w="90" w:type="dxa"/>
              <w:right w:w="90" w:type="dxa"/>
            </w:tcMar>
          </w:tcPr>
          <w:p>
            <w:pPr>
              <w:spacing w:after="0" w:line="250" w:lineRule="auto"/>
            </w:pPr>
            <w:r>
              <w:rPr>
                <w:color w:val="000000"/>
                <w:sz w:val="20"/>
              </w:rPr>
              <w:t>Three-year savings</w:t>
            </w:r>
          </w:p>
        </w:tc>
        <w:tc>
          <w:tcPr>
            <w:tcW w:type="dxa" w:w="2880"/>
            <w:vAlign w:val="center"/>
            <w:shd w:fill="F3F6F8"/>
            <w:tcMar>
              <w:top w:w="80" w:type="dxa"/>
              <w:bottom w:w="80" w:type="dxa"/>
              <w:left w:w="90" w:type="dxa"/>
              <w:right w:w="90" w:type="dxa"/>
            </w:tcMar>
          </w:tcPr>
          <w:p>
            <w:pPr>
              <w:spacing w:after="0" w:line="250" w:lineRule="auto"/>
            </w:pPr>
            <w:r>
              <w:rPr>
                <w:color w:val="000000"/>
                <w:sz w:val="20"/>
              </w:rPr>
              <w:t>Unspecified</w:t>
            </w:r>
          </w:p>
        </w:tc>
        <w:tc>
          <w:tcPr>
            <w:tcW w:type="dxa" w:w="2880"/>
            <w:vAlign w:val="center"/>
            <w:shd w:fill="F3F6F8"/>
            <w:tcMar>
              <w:top w:w="80" w:type="dxa"/>
              <w:bottom w:w="80" w:type="dxa"/>
              <w:left w:w="90" w:type="dxa"/>
              <w:right w:w="90" w:type="dxa"/>
            </w:tcMar>
          </w:tcPr>
          <w:p>
            <w:pPr>
              <w:spacing w:after="0" w:line="250" w:lineRule="auto"/>
            </w:pPr>
            <w:r>
              <w:rPr>
                <w:color w:val="000000"/>
                <w:sz w:val="20"/>
              </w:rPr>
              <w:t>Approximately £150M</w:t>
            </w:r>
          </w:p>
        </w:tc>
      </w:tr>
    </w:tbl>
    <w:p>
      <w:pPr>
        <w:spacing w:after="20"/>
      </w:pPr>
    </w:p>
    <w:p>
      <w:r>
        <w:rPr>
          <w:color w:val="000000"/>
        </w:rPr>
        <w:t>The deck's 33,453 FY25 tail transactions and the 95%/65%/20%/0% automation planning split are source planning data, separate from demo records. They imply about 67.9% touchless volume. Do not force the five stories to produce that rate. The £41M/£52M/£58M annual allocations sum to £151M, while the headline says £150M. Keep the rounded headline as a planning target and omit exact annual allocations from product charts until reconciled. Do not silently change source amounts to make them add up.</w:t>
      </w:r>
    </w:p>
    <w:p>
      <w:r>
        <w:rPr>
          <w:color w:val="000000"/>
        </w:rPr>
        <w:t>Agent health targets are override rate below 5% per pattern, audit accuracy at least 98% on a 5% sample, and at least 95% of HiTL items handled within 48h. Demo calibration is simulated evidence, not measured model accuracy. Small samples show count/denominator and an insufficient-history status where appropriate.</w:t>
      </w:r>
    </w:p>
    <w:p>
      <w:pPr>
        <w:pStyle w:val="Heading2"/>
      </w:pPr>
      <w:r>
        <w:t>16 2 Control Tower and grounded questions</w:t>
      </w:r>
    </w:p>
    <w:p>
      <w:r>
        <w:rPr>
          <w:color w:val="000000"/>
        </w:rPr>
        <w:t>Use filters for period, site, category, organisation/role and value band. Multiple UK sites must remain distinct. Show spend by site/category, buying channel, supplier concentration, opportunity pipeline, expected versus validated value, leakage and owner/SLA workload. Each chart segment drills into its contributing records.</w:t>
      </w:r>
    </w:p>
    <w:p>
      <w:r>
        <w:rPr>
          <w:color w:val="000000"/>
        </w:rPr>
        <w:t xml:space="preserve">Reuse existing dataset-driven Q&amp;A. Support questions such as </w:t>
      </w:r>
      <w:r>
        <w:rPr>
          <w:rFonts w:ascii="Consolas" w:hAnsi="Consolas"/>
          <w:color w:val="000000"/>
          <w:sz w:val="20"/>
        </w:rPr>
        <w:t>Which licences can we reuse?</w:t>
      </w:r>
      <w:r>
        <w:rPr>
          <w:color w:val="000000"/>
        </w:rPr>
        <w:t xml:space="preserve">, </w:t>
      </w:r>
      <w:r>
        <w:rPr>
          <w:rFonts w:ascii="Consolas" w:hAnsi="Consolas"/>
          <w:color w:val="000000"/>
          <w:sz w:val="20"/>
        </w:rPr>
        <w:t>Which bids need review?</w:t>
      </w:r>
      <w:r>
        <w:rPr>
          <w:color w:val="000000"/>
        </w:rPr>
        <w:t xml:space="preserve">, </w:t>
      </w:r>
      <w:r>
        <w:rPr>
          <w:rFonts w:ascii="Consolas" w:hAnsi="Consolas"/>
          <w:color w:val="000000"/>
          <w:sz w:val="20"/>
        </w:rPr>
        <w:t>Can our panel cover this request?</w:t>
      </w:r>
      <w:r>
        <w:rPr>
          <w:color w:val="000000"/>
        </w:rPr>
        <w:t xml:space="preserve">, </w:t>
      </w:r>
      <w:r>
        <w:rPr>
          <w:rFonts w:ascii="Consolas" w:hAnsi="Consolas"/>
          <w:color w:val="000000"/>
          <w:sz w:val="20"/>
        </w:rPr>
        <w:t>Which clauses block the PO?</w:t>
      </w:r>
      <w:r>
        <w:rPr>
          <w:color w:val="000000"/>
        </w:rPr>
        <w:t xml:space="preserve">, and </w:t>
      </w:r>
      <w:r>
        <w:rPr>
          <w:rFonts w:ascii="Consolas" w:hAnsi="Consolas"/>
          <w:color w:val="000000"/>
          <w:sz w:val="20"/>
        </w:rPr>
        <w:t>How much has Finance validated?</w:t>
      </w:r>
      <w:r>
        <w:rPr>
          <w:color w:val="000000"/>
        </w:rPr>
        <w:t>. Answers use the current filtered records with source links and short one-line facts. Unknown questions request a filter/reference or show a supported question choice, never invent a numeric answer.</w:t>
      </w:r>
    </w:p>
    <w:p>
      <w:pPr>
        <w:pStyle w:val="Heading1"/>
      </w:pPr>
      <w:r>
        <w:t>17 Domain state and event contract</w:t>
      </w:r>
    </w:p>
    <w:p>
      <w:r>
        <w:rPr>
          <w:color w:val="000000"/>
        </w:rPr>
        <w:t xml:space="preserve">Separate Story ID, TOM flow, transaction case ID and work-package ID. The old eight </w:t>
      </w:r>
      <w:r>
        <w:rPr>
          <w:rFonts w:ascii="Consolas" w:hAnsi="Consolas"/>
          <w:color w:val="000000"/>
          <w:sz w:val="20"/>
        </w:rPr>
        <w:t>FlowId</w:t>
      </w:r>
      <w:r>
        <w:rPr>
          <w:color w:val="000000"/>
        </w:rPr>
        <w:t xml:space="preserve"> values are scenario aliases only. Use </w:t>
      </w:r>
      <w:r>
        <w:rPr>
          <w:rFonts w:ascii="Consolas" w:hAnsi="Consolas"/>
          <w:color w:val="000000"/>
          <w:sz w:val="20"/>
        </w:rPr>
        <w:t>TomFlow = F0…F5</w:t>
      </w:r>
      <w:r>
        <w:rPr>
          <w:color w:val="000000"/>
        </w:rPr>
        <w:t xml:space="preserve">, </w:t>
      </w:r>
      <w:r>
        <w:rPr>
          <w:rFonts w:ascii="Consolas" w:hAnsi="Consolas"/>
          <w:color w:val="000000"/>
          <w:sz w:val="20"/>
        </w:rPr>
        <w:t>StoryId = ST01…ST05</w:t>
      </w:r>
      <w:r>
        <w:rPr>
          <w:color w:val="000000"/>
        </w:rPr>
        <w:t xml:space="preserve">, and </w:t>
      </w:r>
      <w:r>
        <w:rPr>
          <w:rFonts w:ascii="Consolas" w:hAnsi="Consolas"/>
          <w:color w:val="000000"/>
          <w:sz w:val="20"/>
        </w:rPr>
        <w:t>CaseId</w:t>
      </w:r>
      <w:r>
        <w:rPr>
          <w:color w:val="000000"/>
        </w:rPr>
        <w:t xml:space="preserve"> for each transaction instance. A case can have several related work packages running or waiting simultaneously. Stable step IDs replace numerical indices as decision keys.</w:t>
      </w:r>
    </w:p>
    <w:p>
      <w:pPr>
        <w:pStyle w:val="Heading2"/>
      </w:pPr>
      <w:r>
        <w:t>17 1 Required entity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048"/>
      </w:tblGrid>
      <w:tr>
        <w:trPr>
          <w:cantSplit/>
          <w:tblHeader/>
        </w:trPr>
        <w:tc>
          <w:tcPr>
            <w:tcW w:type="dxa" w:w="4032"/>
            <w:vAlign w:val="center"/>
            <w:shd w:fill="18354B"/>
            <w:tcMar>
              <w:top w:w="80" w:type="dxa"/>
              <w:bottom w:w="80" w:type="dxa"/>
              <w:left w:w="90" w:type="dxa"/>
              <w:right w:w="90" w:type="dxa"/>
            </w:tcMar>
          </w:tcPr>
          <w:p>
            <w:pPr>
              <w:keepNext/>
              <w:spacing w:after="0" w:line="250" w:lineRule="auto"/>
            </w:pPr>
            <w:r>
              <w:rPr>
                <w:b/>
                <w:color w:val="FFFFFF"/>
                <w:sz w:val="20"/>
              </w:rPr>
              <w:t>Entity</w:t>
            </w:r>
          </w:p>
        </w:tc>
        <w:tc>
          <w:tcPr>
            <w:tcW w:type="dxa" w:w="6048"/>
            <w:vAlign w:val="center"/>
            <w:shd w:fill="18354B"/>
            <w:tcMar>
              <w:top w:w="80" w:type="dxa"/>
              <w:bottom w:w="80" w:type="dxa"/>
              <w:left w:w="90" w:type="dxa"/>
              <w:right w:w="90" w:type="dxa"/>
            </w:tcMar>
          </w:tcPr>
          <w:p>
            <w:pPr>
              <w:keepNext/>
              <w:spacing w:after="0" w:line="250" w:lineRule="auto"/>
            </w:pPr>
            <w:r>
              <w:rPr>
                <w:b/>
                <w:color w:val="FFFFFF"/>
                <w:sz w:val="20"/>
              </w:rPr>
              <w:t>Required fields and relationships</w:t>
            </w:r>
          </w:p>
        </w:tc>
      </w:tr>
      <w:tr>
        <w:trPr>
          <w:cantSplit/>
        </w:trPr>
        <w:tc>
          <w:tcPr>
            <w:tcW w:type="dxa" w:w="4032"/>
            <w:vAlign w:val="center"/>
            <w:shd w:fill="FFFFFF"/>
            <w:tcMar>
              <w:top w:w="80" w:type="dxa"/>
              <w:bottom w:w="80" w:type="dxa"/>
              <w:left w:w="90" w:type="dxa"/>
              <w:right w:w="90" w:type="dxa"/>
            </w:tcMar>
          </w:tcPr>
          <w:p>
            <w:pPr>
              <w:spacing w:after="0" w:line="250" w:lineRule="auto"/>
            </w:pPr>
            <w:r>
              <w:rPr>
                <w:color w:val="000000"/>
                <w:sz w:val="20"/>
              </w:rPr>
              <w:t>ClientProfile</w:t>
            </w:r>
          </w:p>
        </w:tc>
        <w:tc>
          <w:tcPr>
            <w:tcW w:type="dxa" w:w="6048"/>
            <w:vAlign w:val="center"/>
            <w:shd w:fill="FFFFFF"/>
            <w:tcMar>
              <w:top w:w="80" w:type="dxa"/>
              <w:bottom w:w="80" w:type="dxa"/>
              <w:left w:w="90" w:type="dxa"/>
              <w:right w:w="90" w:type="dxa"/>
            </w:tcMar>
          </w:tcPr>
          <w:p>
            <w:pPr>
              <w:spacing w:after="0" w:line="250" w:lineRule="auto"/>
            </w:pPr>
            <w:r>
              <w:rPr>
                <w:color w:val="000000"/>
                <w:sz w:val="20"/>
              </w:rPr>
              <w:t>Neutral display identity, currency, locale, clock and allowed sites</w:t>
            </w:r>
          </w:p>
        </w:tc>
      </w:tr>
      <w:tr>
        <w:trPr>
          <w:cantSplit/>
        </w:trPr>
        <w:tc>
          <w:tcPr>
            <w:tcW w:type="dxa" w:w="4032"/>
            <w:vAlign w:val="center"/>
            <w:shd w:fill="F3F6F8"/>
            <w:tcMar>
              <w:top w:w="80" w:type="dxa"/>
              <w:bottom w:w="80" w:type="dxa"/>
              <w:left w:w="90" w:type="dxa"/>
              <w:right w:w="90" w:type="dxa"/>
            </w:tcMar>
          </w:tcPr>
          <w:p>
            <w:pPr>
              <w:spacing w:after="0" w:line="250" w:lineRule="auto"/>
            </w:pPr>
            <w:r>
              <w:rPr>
                <w:color w:val="000000"/>
                <w:sz w:val="20"/>
              </w:rPr>
              <w:t>ProcurementCase</w:t>
            </w:r>
          </w:p>
        </w:tc>
        <w:tc>
          <w:tcPr>
            <w:tcW w:type="dxa" w:w="6048"/>
            <w:vAlign w:val="center"/>
            <w:shd w:fill="F3F6F8"/>
            <w:tcMar>
              <w:top w:w="80" w:type="dxa"/>
              <w:bottom w:w="80" w:type="dxa"/>
              <w:left w:w="90" w:type="dxa"/>
              <w:right w:w="90" w:type="dxa"/>
            </w:tcMar>
          </w:tcPr>
          <w:p>
            <w:pPr>
              <w:spacing w:after="0" w:line="250" w:lineRule="auto"/>
            </w:pPr>
            <w:r>
              <w:rPr>
                <w:color w:val="000000"/>
                <w:sz w:val="20"/>
              </w:rPr>
              <w:t>Case/story IDs, revision, requester, site, status, policy snapshot, work packages and holds</w:t>
            </w:r>
          </w:p>
        </w:tc>
      </w:tr>
      <w:tr>
        <w:trPr>
          <w:cantSplit/>
        </w:trPr>
        <w:tc>
          <w:tcPr>
            <w:tcW w:type="dxa" w:w="4032"/>
            <w:vAlign w:val="center"/>
            <w:shd w:fill="FFFFFF"/>
            <w:tcMar>
              <w:top w:w="80" w:type="dxa"/>
              <w:bottom w:w="80" w:type="dxa"/>
              <w:left w:w="90" w:type="dxa"/>
              <w:right w:w="90" w:type="dxa"/>
            </w:tcMar>
          </w:tcPr>
          <w:p>
            <w:pPr>
              <w:spacing w:after="0" w:line="250" w:lineRule="auto"/>
            </w:pPr>
            <w:r>
              <w:rPr>
                <w:color w:val="000000"/>
                <w:sz w:val="20"/>
              </w:rPr>
              <w:t>Request</w:t>
            </w:r>
          </w:p>
        </w:tc>
        <w:tc>
          <w:tcPr>
            <w:tcW w:type="dxa" w:w="6048"/>
            <w:vAlign w:val="center"/>
            <w:shd w:fill="FFFFFF"/>
            <w:tcMar>
              <w:top w:w="80" w:type="dxa"/>
              <w:bottom w:w="80" w:type="dxa"/>
              <w:left w:w="90" w:type="dxa"/>
              <w:right w:w="90" w:type="dxa"/>
            </w:tcMar>
          </w:tcPr>
          <w:p>
            <w:pPr>
              <w:spacing w:after="0" w:line="250" w:lineRule="auto"/>
            </w:pPr>
            <w:r>
              <w:rPr>
                <w:color w:val="000000"/>
                <w:sz w:val="20"/>
              </w:rPr>
              <w:t>PR ID, original source, lines, quantity/UoM, item/service, scope, dates, account assignment and budget</w:t>
            </w:r>
          </w:p>
        </w:tc>
      </w:tr>
      <w:tr>
        <w:trPr>
          <w:cantSplit/>
        </w:trPr>
        <w:tc>
          <w:tcPr>
            <w:tcW w:type="dxa" w:w="4032"/>
            <w:vAlign w:val="center"/>
            <w:shd w:fill="F3F6F8"/>
            <w:tcMar>
              <w:top w:w="80" w:type="dxa"/>
              <w:bottom w:w="80" w:type="dxa"/>
              <w:left w:w="90" w:type="dxa"/>
              <w:right w:w="90" w:type="dxa"/>
            </w:tcMar>
          </w:tcPr>
          <w:p>
            <w:pPr>
              <w:spacing w:after="0" w:line="250" w:lineRule="auto"/>
            </w:pPr>
            <w:r>
              <w:rPr>
                <w:color w:val="000000"/>
                <w:sz w:val="20"/>
              </w:rPr>
              <w:t>WorkPackage</w:t>
            </w:r>
          </w:p>
        </w:tc>
        <w:tc>
          <w:tcPr>
            <w:tcW w:type="dxa" w:w="6048"/>
            <w:vAlign w:val="center"/>
            <w:shd w:fill="F3F6F8"/>
            <w:tcMar>
              <w:top w:w="80" w:type="dxa"/>
              <w:bottom w:w="80" w:type="dxa"/>
              <w:left w:w="90" w:type="dxa"/>
              <w:right w:w="90" w:type="dxa"/>
            </w:tcMar>
          </w:tcPr>
          <w:p>
            <w:pPr>
              <w:spacing w:after="0" w:line="250" w:lineRule="auto"/>
            </w:pPr>
            <w:r>
              <w:rPr>
                <w:color w:val="000000"/>
                <w:sz w:val="20"/>
              </w:rPr>
              <w:t>ID, TOM flow, stable steps, owner, lane, state, dependencies and next permitted action</w:t>
            </w:r>
          </w:p>
        </w:tc>
      </w:tr>
      <w:tr>
        <w:trPr>
          <w:cantSplit/>
        </w:trPr>
        <w:tc>
          <w:tcPr>
            <w:tcW w:type="dxa" w:w="4032"/>
            <w:vAlign w:val="center"/>
            <w:shd w:fill="FFFFFF"/>
            <w:tcMar>
              <w:top w:w="80" w:type="dxa"/>
              <w:bottom w:w="80" w:type="dxa"/>
              <w:left w:w="90" w:type="dxa"/>
              <w:right w:w="90" w:type="dxa"/>
            </w:tcMar>
          </w:tcPr>
          <w:p>
            <w:pPr>
              <w:spacing w:after="0" w:line="250" w:lineRule="auto"/>
            </w:pPr>
            <w:r>
              <w:rPr>
                <w:color w:val="000000"/>
                <w:sz w:val="20"/>
              </w:rPr>
              <w:t>Opportunity</w:t>
            </w:r>
          </w:p>
        </w:tc>
        <w:tc>
          <w:tcPr>
            <w:tcW w:type="dxa" w:w="6048"/>
            <w:vAlign w:val="center"/>
            <w:shd w:fill="FFFFFF"/>
            <w:tcMar>
              <w:top w:w="80" w:type="dxa"/>
              <w:bottom w:w="80" w:type="dxa"/>
              <w:left w:w="90" w:type="dxa"/>
              <w:right w:w="90" w:type="dxa"/>
            </w:tcMar>
          </w:tcPr>
          <w:p>
            <w:pPr>
              <w:spacing w:after="0" w:line="250" w:lineRule="auto"/>
            </w:pPr>
            <w:r>
              <w:rPr>
                <w:color w:val="000000"/>
                <w:sz w:val="20"/>
              </w:rPr>
              <w:t>Spend snapshot, lever, evidence, scope, category approval, baseline decision and expiry</w:t>
            </w:r>
          </w:p>
        </w:tc>
      </w:tr>
      <w:tr>
        <w:trPr>
          <w:cantSplit/>
        </w:trPr>
        <w:tc>
          <w:tcPr>
            <w:tcW w:type="dxa" w:w="4032"/>
            <w:vAlign w:val="center"/>
            <w:shd w:fill="F3F6F8"/>
            <w:tcMar>
              <w:top w:w="80" w:type="dxa"/>
              <w:bottom w:w="80" w:type="dxa"/>
              <w:left w:w="90" w:type="dxa"/>
              <w:right w:w="90" w:type="dxa"/>
            </w:tcMar>
          </w:tcPr>
          <w:p>
            <w:pPr>
              <w:spacing w:after="0" w:line="250" w:lineRule="auto"/>
            </w:pPr>
            <w:r>
              <w:rPr>
                <w:color w:val="000000"/>
                <w:sz w:val="20"/>
              </w:rPr>
              <w:t>EntitlementPool</w:t>
            </w:r>
          </w:p>
        </w:tc>
        <w:tc>
          <w:tcPr>
            <w:tcW w:type="dxa" w:w="6048"/>
            <w:vAlign w:val="center"/>
            <w:shd w:fill="F3F6F8"/>
            <w:tcMar>
              <w:top w:w="80" w:type="dxa"/>
              <w:bottom w:w="80" w:type="dxa"/>
              <w:left w:w="90" w:type="dxa"/>
              <w:right w:w="90" w:type="dxa"/>
            </w:tcMar>
          </w:tcPr>
          <w:p>
            <w:pPr>
              <w:spacing w:after="0" w:line="250" w:lineRule="auto"/>
            </w:pPr>
            <w:r>
              <w:rPr>
                <w:color w:val="000000"/>
                <w:sz w:val="20"/>
              </w:rPr>
              <w:t>Application/tier, seat IDs, user roles, owner approval, snapshot time and reservations</w:t>
            </w:r>
          </w:p>
        </w:tc>
      </w:tr>
      <w:tr>
        <w:trPr>
          <w:cantSplit/>
        </w:trPr>
        <w:tc>
          <w:tcPr>
            <w:tcW w:type="dxa" w:w="4032"/>
            <w:vAlign w:val="center"/>
            <w:shd w:fill="FFFFFF"/>
            <w:tcMar>
              <w:top w:w="80" w:type="dxa"/>
              <w:bottom w:w="80" w:type="dxa"/>
              <w:left w:w="90" w:type="dxa"/>
              <w:right w:w="90" w:type="dxa"/>
            </w:tcMar>
          </w:tcPr>
          <w:p>
            <w:pPr>
              <w:spacing w:after="0" w:line="250" w:lineRule="auto"/>
            </w:pPr>
            <w:r>
              <w:rPr>
                <w:color w:val="000000"/>
                <w:sz w:val="20"/>
              </w:rPr>
              <w:t>Fulfilment</w:t>
            </w:r>
          </w:p>
        </w:tc>
        <w:tc>
          <w:tcPr>
            <w:tcW w:type="dxa" w:w="6048"/>
            <w:vAlign w:val="center"/>
            <w:shd w:fill="FFFFFF"/>
            <w:tcMar>
              <w:top w:w="80" w:type="dxa"/>
              <w:bottom w:w="80" w:type="dxa"/>
              <w:left w:w="90" w:type="dxa"/>
              <w:right w:w="90" w:type="dxa"/>
            </w:tcMar>
          </w:tcPr>
          <w:p>
            <w:pPr>
              <w:spacing w:after="0" w:line="250" w:lineRule="auto"/>
            </w:pPr>
            <w:r>
              <w:rPr>
                <w:color w:val="000000"/>
                <w:sz w:val="20"/>
              </w:rPr>
              <w:t>Internal reassignment or purchase quantities, actual events and acceptance evidence</w:t>
            </w:r>
          </w:p>
        </w:tc>
      </w:tr>
      <w:tr>
        <w:trPr>
          <w:cantSplit/>
        </w:trPr>
        <w:tc>
          <w:tcPr>
            <w:tcW w:type="dxa" w:w="4032"/>
            <w:vAlign w:val="center"/>
            <w:shd w:fill="F3F6F8"/>
            <w:tcMar>
              <w:top w:w="80" w:type="dxa"/>
              <w:bottom w:w="80" w:type="dxa"/>
              <w:left w:w="90" w:type="dxa"/>
              <w:right w:w="90" w:type="dxa"/>
            </w:tcMar>
          </w:tcPr>
          <w:p>
            <w:pPr>
              <w:spacing w:after="0" w:line="250" w:lineRule="auto"/>
            </w:pPr>
            <w:r>
              <w:rPr>
                <w:color w:val="000000"/>
                <w:sz w:val="20"/>
              </w:rPr>
              <w:t>RFQ and Quote</w:t>
            </w:r>
          </w:p>
        </w:tc>
        <w:tc>
          <w:tcPr>
            <w:tcW w:type="dxa" w:w="6048"/>
            <w:vAlign w:val="center"/>
            <w:shd w:fill="F3F6F8"/>
            <w:tcMar>
              <w:top w:w="80" w:type="dxa"/>
              <w:bottom w:w="80" w:type="dxa"/>
              <w:left w:w="90" w:type="dxa"/>
              <w:right w:w="90" w:type="dxa"/>
            </w:tcMar>
          </w:tcPr>
          <w:p>
            <w:pPr>
              <w:spacing w:after="0" w:line="250" w:lineRule="auto"/>
            </w:pPr>
            <w:r>
              <w:rPr>
                <w:color w:val="000000"/>
                <w:sz w:val="20"/>
              </w:rPr>
              <w:t>Scope version, suppliers, deadlines, bid lines, inclusions, revisions, validity and compliance</w:t>
            </w:r>
          </w:p>
        </w:tc>
      </w:tr>
      <w:tr>
        <w:trPr>
          <w:cantSplit/>
        </w:trPr>
        <w:tc>
          <w:tcPr>
            <w:tcW w:type="dxa" w:w="4032"/>
            <w:vAlign w:val="center"/>
            <w:shd w:fill="FFFFFF"/>
            <w:tcMar>
              <w:top w:w="80" w:type="dxa"/>
              <w:bottom w:w="80" w:type="dxa"/>
              <w:left w:w="90" w:type="dxa"/>
              <w:right w:w="90" w:type="dxa"/>
            </w:tcMar>
          </w:tcPr>
          <w:p>
            <w:pPr>
              <w:spacing w:after="0" w:line="250" w:lineRule="auto"/>
            </w:pPr>
            <w:r>
              <w:rPr>
                <w:color w:val="000000"/>
                <w:sz w:val="20"/>
              </w:rPr>
              <w:t>Award</w:t>
            </w:r>
          </w:p>
        </w:tc>
        <w:tc>
          <w:tcPr>
            <w:tcW w:type="dxa" w:w="6048"/>
            <w:vAlign w:val="center"/>
            <w:shd w:fill="FFFFFF"/>
            <w:tcMar>
              <w:top w:w="80" w:type="dxa"/>
              <w:bottom w:w="80" w:type="dxa"/>
              <w:left w:w="90" w:type="dxa"/>
              <w:right w:w="90" w:type="dxa"/>
            </w:tcMar>
          </w:tcPr>
          <w:p>
            <w:pPr>
              <w:spacing w:after="0" w:line="250" w:lineRule="auto"/>
            </w:pPr>
            <w:r>
              <w:rPr>
                <w:color w:val="000000"/>
                <w:sz w:val="20"/>
              </w:rPr>
              <w:t>Selected quote revision, competition/exception evidence, approval and value-record key</w:t>
            </w:r>
          </w:p>
        </w:tc>
      </w:tr>
      <w:tr>
        <w:trPr>
          <w:cantSplit/>
        </w:trPr>
        <w:tc>
          <w:tcPr>
            <w:tcW w:type="dxa" w:w="4032"/>
            <w:vAlign w:val="center"/>
            <w:shd w:fill="F3F6F8"/>
            <w:tcMar>
              <w:top w:w="80" w:type="dxa"/>
              <w:bottom w:w="80" w:type="dxa"/>
              <w:left w:w="90" w:type="dxa"/>
              <w:right w:w="90" w:type="dxa"/>
            </w:tcMar>
          </w:tcPr>
          <w:p>
            <w:pPr>
              <w:spacing w:after="0" w:line="250" w:lineRule="auto"/>
            </w:pPr>
            <w:r>
              <w:rPr>
                <w:color w:val="000000"/>
                <w:sz w:val="20"/>
              </w:rPr>
              <w:t>Contract</w:t>
            </w:r>
          </w:p>
        </w:tc>
        <w:tc>
          <w:tcPr>
            <w:tcW w:type="dxa" w:w="6048"/>
            <w:vAlign w:val="center"/>
            <w:shd w:fill="F3F6F8"/>
            <w:tcMar>
              <w:top w:w="80" w:type="dxa"/>
              <w:bottom w:w="80" w:type="dxa"/>
              <w:left w:w="90" w:type="dxa"/>
              <w:right w:w="90" w:type="dxa"/>
            </w:tcMar>
          </w:tcPr>
          <w:p>
            <w:pPr>
              <w:spacing w:after="0" w:line="250" w:lineRule="auto"/>
            </w:pPr>
            <w:r>
              <w:rPr>
                <w:color w:val="000000"/>
                <w:sz w:val="20"/>
              </w:rPr>
              <w:t>Library version, clauses/redlines, decisions, signatures, storage and effective dates</w:t>
            </w:r>
          </w:p>
        </w:tc>
      </w:tr>
      <w:tr>
        <w:trPr>
          <w:cantSplit/>
        </w:trPr>
        <w:tc>
          <w:tcPr>
            <w:tcW w:type="dxa" w:w="4032"/>
            <w:vAlign w:val="center"/>
            <w:shd w:fill="FFFFFF"/>
            <w:tcMar>
              <w:top w:w="80" w:type="dxa"/>
              <w:bottom w:w="80" w:type="dxa"/>
              <w:left w:w="90" w:type="dxa"/>
              <w:right w:w="90" w:type="dxa"/>
            </w:tcMar>
          </w:tcPr>
          <w:p>
            <w:pPr>
              <w:spacing w:after="0" w:line="250" w:lineRule="auto"/>
            </w:pPr>
            <w:r>
              <w:rPr>
                <w:color w:val="000000"/>
                <w:sz w:val="20"/>
              </w:rPr>
              <w:t>Supplier</w:t>
            </w:r>
          </w:p>
        </w:tc>
        <w:tc>
          <w:tcPr>
            <w:tcW w:type="dxa" w:w="6048"/>
            <w:vAlign w:val="center"/>
            <w:shd w:fill="FFFFFF"/>
            <w:tcMar>
              <w:top w:w="80" w:type="dxa"/>
              <w:bottom w:w="80" w:type="dxa"/>
              <w:left w:w="90" w:type="dxa"/>
              <w:right w:w="90" w:type="dxa"/>
            </w:tcMar>
          </w:tcPr>
          <w:p>
            <w:pPr>
              <w:spacing w:after="0" w:line="250" w:lineRule="auto"/>
            </w:pPr>
            <w:r>
              <w:rPr>
                <w:color w:val="000000"/>
                <w:sz w:val="20"/>
              </w:rPr>
              <w:t>Identity/group, panel scope, documents, risk state, bank verification and master sync</w:t>
            </w:r>
          </w:p>
        </w:tc>
      </w:tr>
      <w:tr>
        <w:trPr>
          <w:cantSplit/>
        </w:trPr>
        <w:tc>
          <w:tcPr>
            <w:tcW w:type="dxa" w:w="4032"/>
            <w:vAlign w:val="center"/>
            <w:shd w:fill="F3F6F8"/>
            <w:tcMar>
              <w:top w:w="80" w:type="dxa"/>
              <w:bottom w:w="80" w:type="dxa"/>
              <w:left w:w="90" w:type="dxa"/>
              <w:right w:w="90" w:type="dxa"/>
            </w:tcMar>
          </w:tcPr>
          <w:p>
            <w:pPr>
              <w:spacing w:after="0" w:line="250" w:lineRule="auto"/>
            </w:pPr>
            <w:r>
              <w:rPr>
                <w:color w:val="000000"/>
                <w:sz w:val="20"/>
              </w:rPr>
              <w:t>TechnicalEquivalence</w:t>
            </w:r>
          </w:p>
        </w:tc>
        <w:tc>
          <w:tcPr>
            <w:tcW w:type="dxa" w:w="6048"/>
            <w:vAlign w:val="center"/>
            <w:shd w:fill="F3F6F8"/>
            <w:tcMar>
              <w:top w:w="80" w:type="dxa"/>
              <w:bottom w:w="80" w:type="dxa"/>
              <w:left w:w="90" w:type="dxa"/>
              <w:right w:w="90" w:type="dxa"/>
            </w:tcMar>
          </w:tcPr>
          <w:p>
            <w:pPr>
              <w:spacing w:after="0" w:line="250" w:lineRule="auto"/>
            </w:pPr>
            <w:r>
              <w:rPr>
                <w:color w:val="000000"/>
                <w:sz w:val="20"/>
              </w:rPr>
              <w:t>Original/candidate, application, attributes, criticality, source version and technical approval</w:t>
            </w:r>
          </w:p>
        </w:tc>
      </w:tr>
      <w:tr>
        <w:trPr>
          <w:cantSplit/>
        </w:trPr>
        <w:tc>
          <w:tcPr>
            <w:tcW w:type="dxa" w:w="4032"/>
            <w:vAlign w:val="center"/>
            <w:shd w:fill="FFFFFF"/>
            <w:tcMar>
              <w:top w:w="80" w:type="dxa"/>
              <w:bottom w:w="80" w:type="dxa"/>
              <w:left w:w="90" w:type="dxa"/>
              <w:right w:w="90" w:type="dxa"/>
            </w:tcMar>
          </w:tcPr>
          <w:p>
            <w:pPr>
              <w:spacing w:after="0" w:line="250" w:lineRule="auto"/>
            </w:pPr>
            <w:r>
              <w:rPr>
                <w:color w:val="000000"/>
                <w:sz w:val="20"/>
              </w:rPr>
              <w:t>ApprovalTask</w:t>
            </w:r>
          </w:p>
        </w:tc>
        <w:tc>
          <w:tcPr>
            <w:tcW w:type="dxa" w:w="6048"/>
            <w:vAlign w:val="center"/>
            <w:shd w:fill="FFFFFF"/>
            <w:tcMar>
              <w:top w:w="80" w:type="dxa"/>
              <w:bottom w:w="80" w:type="dxa"/>
              <w:left w:w="90" w:type="dxa"/>
              <w:right w:w="90" w:type="dxa"/>
            </w:tcMar>
          </w:tcPr>
          <w:p>
            <w:pPr>
              <w:spacing w:after="0" w:line="250" w:lineRule="auto"/>
            </w:pPr>
            <w:r>
              <w:rPr>
                <w:color w:val="000000"/>
                <w:sz w:val="20"/>
              </w:rPr>
              <w:t>Domain/role, requested decision, case revision, amount, evidence, SLA and outcome</w:t>
            </w:r>
          </w:p>
        </w:tc>
      </w:tr>
      <w:tr>
        <w:trPr>
          <w:cantSplit/>
        </w:trPr>
        <w:tc>
          <w:tcPr>
            <w:tcW w:type="dxa" w:w="4032"/>
            <w:vAlign w:val="center"/>
            <w:shd w:fill="F3F6F8"/>
            <w:tcMar>
              <w:top w:w="80" w:type="dxa"/>
              <w:bottom w:w="80" w:type="dxa"/>
              <w:left w:w="90" w:type="dxa"/>
              <w:right w:w="90" w:type="dxa"/>
            </w:tcMar>
          </w:tcPr>
          <w:p>
            <w:pPr>
              <w:spacing w:after="0" w:line="250" w:lineRule="auto"/>
            </w:pPr>
            <w:r>
              <w:rPr>
                <w:color w:val="000000"/>
                <w:sz w:val="20"/>
              </w:rPr>
              <w:t>PurchaseOrder</w:t>
            </w:r>
          </w:p>
        </w:tc>
        <w:tc>
          <w:tcPr>
            <w:tcW w:type="dxa" w:w="6048"/>
            <w:vAlign w:val="center"/>
            <w:shd w:fill="F3F6F8"/>
            <w:tcMar>
              <w:top w:w="80" w:type="dxa"/>
              <w:bottom w:w="80" w:type="dxa"/>
              <w:left w:w="90" w:type="dxa"/>
              <w:right w:w="90" w:type="dxa"/>
            </w:tcMar>
          </w:tcPr>
          <w:p>
            <w:pPr>
              <w:spacing w:after="0" w:line="250" w:lineRule="auto"/>
            </w:pPr>
            <w:r>
              <w:rPr>
                <w:color w:val="000000"/>
                <w:sz w:val="20"/>
              </w:rPr>
              <w:t>Request/award/contract/supplier references, lines, sites, approval and dispatch state</w:t>
            </w:r>
          </w:p>
        </w:tc>
      </w:tr>
      <w:tr>
        <w:trPr>
          <w:cantSplit/>
        </w:trPr>
        <w:tc>
          <w:tcPr>
            <w:tcW w:type="dxa" w:w="4032"/>
            <w:vAlign w:val="center"/>
            <w:shd w:fill="FFFFFF"/>
            <w:tcMar>
              <w:top w:w="80" w:type="dxa"/>
              <w:bottom w:w="80" w:type="dxa"/>
              <w:left w:w="90" w:type="dxa"/>
              <w:right w:w="90" w:type="dxa"/>
            </w:tcMar>
          </w:tcPr>
          <w:p>
            <w:pPr>
              <w:spacing w:after="0" w:line="250" w:lineRule="auto"/>
            </w:pPr>
            <w:r>
              <w:rPr>
                <w:color w:val="000000"/>
                <w:sz w:val="20"/>
              </w:rPr>
              <w:t>Receipt or Acceptance</w:t>
            </w:r>
          </w:p>
        </w:tc>
        <w:tc>
          <w:tcPr>
            <w:tcW w:type="dxa" w:w="6048"/>
            <w:vAlign w:val="center"/>
            <w:shd w:fill="FFFFFF"/>
            <w:tcMar>
              <w:top w:w="80" w:type="dxa"/>
              <w:bottom w:w="80" w:type="dxa"/>
              <w:left w:w="90" w:type="dxa"/>
              <w:right w:w="90" w:type="dxa"/>
            </w:tcMar>
          </w:tcPr>
          <w:p>
            <w:pPr>
              <w:spacing w:after="0" w:line="250" w:lineRule="auto"/>
            </w:pPr>
            <w:r>
              <w:rPr>
                <w:color w:val="000000"/>
                <w:sz w:val="20"/>
              </w:rPr>
              <w:t>PO line, accepted quantity/scope, time and evidence</w:t>
            </w:r>
          </w:p>
        </w:tc>
      </w:tr>
      <w:tr>
        <w:trPr>
          <w:cantSplit/>
        </w:trPr>
        <w:tc>
          <w:tcPr>
            <w:tcW w:type="dxa" w:w="4032"/>
            <w:vAlign w:val="center"/>
            <w:shd w:fill="F3F6F8"/>
            <w:tcMar>
              <w:top w:w="80" w:type="dxa"/>
              <w:bottom w:w="80" w:type="dxa"/>
              <w:left w:w="90" w:type="dxa"/>
              <w:right w:w="90" w:type="dxa"/>
            </w:tcMar>
          </w:tcPr>
          <w:p>
            <w:pPr>
              <w:spacing w:after="0" w:line="250" w:lineRule="auto"/>
            </w:pPr>
            <w:r>
              <w:rPr>
                <w:color w:val="000000"/>
                <w:sz w:val="20"/>
              </w:rPr>
              <w:t>Invoice and Credit</w:t>
            </w:r>
          </w:p>
        </w:tc>
        <w:tc>
          <w:tcPr>
            <w:tcW w:type="dxa" w:w="6048"/>
            <w:vAlign w:val="center"/>
            <w:shd w:fill="F3F6F8"/>
            <w:tcMar>
              <w:top w:w="80" w:type="dxa"/>
              <w:bottom w:w="80" w:type="dxa"/>
              <w:left w:w="90" w:type="dxa"/>
              <w:right w:w="90" w:type="dxa"/>
            </w:tcMar>
          </w:tcPr>
          <w:p>
            <w:pPr>
              <w:spacing w:after="0" w:line="250" w:lineRule="auto"/>
            </w:pPr>
            <w:r>
              <w:rPr>
                <w:color w:val="000000"/>
                <w:sz w:val="20"/>
              </w:rPr>
              <w:t>PO/line references, quantities/prices, source and applied credits</w:t>
            </w:r>
          </w:p>
        </w:tc>
      </w:tr>
      <w:tr>
        <w:trPr>
          <w:cantSplit/>
        </w:trPr>
        <w:tc>
          <w:tcPr>
            <w:tcW w:type="dxa" w:w="4032"/>
            <w:vAlign w:val="center"/>
            <w:shd w:fill="FFFFFF"/>
            <w:tcMar>
              <w:top w:w="80" w:type="dxa"/>
              <w:bottom w:w="80" w:type="dxa"/>
              <w:left w:w="90" w:type="dxa"/>
              <w:right w:w="90" w:type="dxa"/>
            </w:tcMar>
          </w:tcPr>
          <w:p>
            <w:pPr>
              <w:spacing w:after="0" w:line="250" w:lineRule="auto"/>
            </w:pPr>
            <w:r>
              <w:rPr>
                <w:color w:val="000000"/>
                <w:sz w:val="20"/>
              </w:rPr>
              <w:t>ValueRecord</w:t>
            </w:r>
          </w:p>
        </w:tc>
        <w:tc>
          <w:tcPr>
            <w:tcW w:type="dxa" w:w="6048"/>
            <w:vAlign w:val="center"/>
            <w:shd w:fill="FFFFFF"/>
            <w:tcMar>
              <w:top w:w="80" w:type="dxa"/>
              <w:bottom w:w="80" w:type="dxa"/>
              <w:left w:w="90" w:type="dxa"/>
              <w:right w:w="90" w:type="dxa"/>
            </w:tcMar>
          </w:tcPr>
          <w:p>
            <w:pPr>
              <w:spacing w:after="0" w:line="250" w:lineRule="auto"/>
            </w:pPr>
            <w:r>
              <w:rPr>
                <w:color w:val="000000"/>
                <w:sz w:val="20"/>
              </w:rPr>
              <w:t>Stable award key, baseline, expected/evidenced/signed amounts, value category and evidence</w:t>
            </w:r>
          </w:p>
        </w:tc>
      </w:tr>
      <w:tr>
        <w:trPr>
          <w:cantSplit/>
        </w:trPr>
        <w:tc>
          <w:tcPr>
            <w:tcW w:type="dxa" w:w="4032"/>
            <w:vAlign w:val="center"/>
            <w:shd w:fill="F3F6F8"/>
            <w:tcMar>
              <w:top w:w="80" w:type="dxa"/>
              <w:bottom w:w="80" w:type="dxa"/>
              <w:left w:w="90" w:type="dxa"/>
              <w:right w:w="90" w:type="dxa"/>
            </w:tcMar>
          </w:tcPr>
          <w:p>
            <w:pPr>
              <w:spacing w:after="0" w:line="250" w:lineRule="auto"/>
            </w:pPr>
            <w:r>
              <w:rPr>
                <w:color w:val="000000"/>
                <w:sz w:val="20"/>
              </w:rPr>
              <w:t>Exception</w:t>
            </w:r>
          </w:p>
        </w:tc>
        <w:tc>
          <w:tcPr>
            <w:tcW w:type="dxa" w:w="6048"/>
            <w:vAlign w:val="center"/>
            <w:shd w:fill="F3F6F8"/>
            <w:tcMar>
              <w:top w:w="80" w:type="dxa"/>
              <w:bottom w:w="80" w:type="dxa"/>
              <w:left w:w="90" w:type="dxa"/>
              <w:right w:w="90" w:type="dxa"/>
            </w:tcMar>
          </w:tcPr>
          <w:p>
            <w:pPr>
              <w:spacing w:after="0" w:line="250" w:lineRule="auto"/>
            </w:pPr>
            <w:r>
              <w:rPr>
                <w:color w:val="000000"/>
                <w:sz w:val="20"/>
              </w:rPr>
              <w:t>Reason, blocked action, evidence, owner, escalation, SLA and resolution</w:t>
            </w:r>
          </w:p>
        </w:tc>
      </w:tr>
      <w:tr>
        <w:trPr>
          <w:cantSplit/>
        </w:trPr>
        <w:tc>
          <w:tcPr>
            <w:tcW w:type="dxa" w:w="4032"/>
            <w:vAlign w:val="center"/>
            <w:shd w:fill="FFFFFF"/>
            <w:tcMar>
              <w:top w:w="80" w:type="dxa"/>
              <w:bottom w:w="80" w:type="dxa"/>
              <w:left w:w="90" w:type="dxa"/>
              <w:right w:w="90" w:type="dxa"/>
            </w:tcMar>
          </w:tcPr>
          <w:p>
            <w:pPr>
              <w:spacing w:after="0" w:line="250" w:lineRule="auto"/>
            </w:pPr>
            <w:r>
              <w:rPr>
                <w:color w:val="000000"/>
                <w:sz w:val="20"/>
              </w:rPr>
              <w:t>AuditEvent</w:t>
            </w:r>
          </w:p>
        </w:tc>
        <w:tc>
          <w:tcPr>
            <w:tcW w:type="dxa" w:w="6048"/>
            <w:vAlign w:val="center"/>
            <w:shd w:fill="FFFFFF"/>
            <w:tcMar>
              <w:top w:w="80" w:type="dxa"/>
              <w:bottom w:w="80" w:type="dxa"/>
              <w:left w:w="90" w:type="dxa"/>
              <w:right w:w="90" w:type="dxa"/>
            </w:tcMar>
          </w:tcPr>
          <w:p>
            <w:pPr>
              <w:spacing w:after="0" w:line="250" w:lineRule="auto"/>
            </w:pPr>
            <w:r>
              <w:rPr>
                <w:color w:val="000000"/>
                <w:sz w:val="20"/>
              </w:rPr>
              <w:t>Who/what/when, revision, sources, rule version, recommendation, decision and override reason</w:t>
            </w:r>
          </w:p>
        </w:tc>
      </w:tr>
      <w:tr>
        <w:trPr>
          <w:cantSplit/>
        </w:trPr>
        <w:tc>
          <w:tcPr>
            <w:tcW w:type="dxa" w:w="4032"/>
            <w:vAlign w:val="center"/>
            <w:shd w:fill="F3F6F8"/>
            <w:tcMar>
              <w:top w:w="80" w:type="dxa"/>
              <w:bottom w:w="80" w:type="dxa"/>
              <w:left w:w="90" w:type="dxa"/>
              <w:right w:w="90" w:type="dxa"/>
            </w:tcMar>
          </w:tcPr>
          <w:p>
            <w:pPr>
              <w:spacing w:after="0" w:line="250" w:lineRule="auto"/>
            </w:pPr>
            <w:r>
              <w:rPr>
                <w:color w:val="000000"/>
                <w:sz w:val="20"/>
              </w:rPr>
              <w:t>RuleChange</w:t>
            </w:r>
          </w:p>
        </w:tc>
        <w:tc>
          <w:tcPr>
            <w:tcW w:type="dxa" w:w="6048"/>
            <w:vAlign w:val="center"/>
            <w:shd w:fill="F3F6F8"/>
            <w:tcMar>
              <w:top w:w="80" w:type="dxa"/>
              <w:bottom w:w="80" w:type="dxa"/>
              <w:left w:w="90" w:type="dxa"/>
              <w:right w:w="90" w:type="dxa"/>
            </w:tcMar>
          </w:tcPr>
          <w:p>
            <w:pPr>
              <w:spacing w:after="0" w:line="250" w:lineRule="auto"/>
            </w:pPr>
            <w:r>
              <w:rPr>
                <w:color w:val="000000"/>
                <w:sz w:val="20"/>
              </w:rPr>
              <w:t>Proposed/current versions, council decision, tests, effective date and rollback reference</w:t>
            </w:r>
          </w:p>
        </w:tc>
      </w:tr>
    </w:tbl>
    <w:p>
      <w:pPr>
        <w:spacing w:after="20"/>
      </w:pPr>
    </w:p>
    <w:p>
      <w:pPr>
        <w:pStyle w:val="Heading2"/>
      </w:pPr>
      <w:r>
        <w:t>17 2 Agent handoff envelope</w:t>
      </w:r>
    </w:p>
    <w:p>
      <w:r>
        <w:rPr>
          <w:color w:val="000000"/>
        </w:rPr>
        <w:t xml:space="preserve">Use a serializable envelope for every specialist result. Domain data must not contain </w:t>
      </w:r>
      <w:r>
        <w:rPr>
          <w:rFonts w:ascii="Consolas" w:hAnsi="Consolas"/>
          <w:color w:val="000000"/>
          <w:sz w:val="20"/>
        </w:rPr>
        <w:t>ReactNode</w:t>
      </w:r>
      <w:r>
        <w:rPr>
          <w:color w:val="000000"/>
        </w:rPr>
        <w:t xml:space="preserve">. React document renderers consume canonical records. The following example describes ST01's mixed allocation before analyst confirmation. Values ending in </w:t>
      </w:r>
      <w:r>
        <w:rPr>
          <w:rFonts w:ascii="Consolas" w:hAnsi="Consolas"/>
          <w:color w:val="000000"/>
          <w:sz w:val="20"/>
        </w:rPr>
        <w:t>Minor</w:t>
      </w:r>
      <w:r>
        <w:rPr>
          <w:color w:val="000000"/>
        </w:rPr>
        <w:t xml:space="preserve"> are pence.</w:t>
      </w:r>
    </w:p>
    <w:p>
      <w:pPr>
        <w:keepLines/>
        <w:spacing w:after="120" w:line="220" w:lineRule="exact"/>
      </w:pPr>
      <w:r>
        <w:rPr>
          <w:rFonts w:ascii="Liberation Mono" w:hAnsi="Liberation Mono"/>
          <w:sz w:val="19"/>
        </w:rPr>
        <w:t>{</w:t>
        <w:br/>
        <w:t xml:space="preserve">  "schemaVersion": "1.0",</w:t>
        <w:br/>
        <w:t xml:space="preserve">  "caseId": "CASE-ST01-001",</w:t>
        <w:br/>
        <w:t xml:space="preserve">  "caseRevision": 1,</w:t>
        <w:br/>
        <w:t xml:space="preserve">  "storyId": "ST01",</w:t>
        <w:br/>
        <w:t xml:space="preserve">  "tomFlow": "F1",</w:t>
        <w:br/>
        <w:t xml:space="preserve">  "stepId": "F1.channel.licence-allocation",</w:t>
        <w:br/>
        <w:t xml:space="preserve">  "agentId": "channel-decision",</w:t>
        <w:br/>
        <w:t xml:space="preserve">  "policyVersion": "POL-DEMO-1",</w:t>
        <w:br/>
        <w:t xml:space="preserve">  "inputRefs": ["PR-AP-1001", "SAM-2026-1007"],</w:t>
        <w:br/>
        <w:t xml:space="preserve">  "evidenceRefs": ["OWNER-POOL-APPROVAL-01"],</w:t>
        <w:br/>
        <w:t xml:space="preserve">  "confidence": 0.94,</w:t>
        <w:br/>
        <w:t xml:space="preserve">  "lane": "tcs-review",</w:t>
        <w:br/>
        <w:t xml:space="preserve">  "ruleResults": [</w:t>
        <w:br/>
        <w:t xml:space="preserve">    {"id": "entitlement-fresh", "result": "pass"},</w:t>
        <w:br/>
        <w:t xml:space="preserve">    {"id": "same-tier-owner-pool", "result": "pass"},</w:t>
        <w:br/>
        <w:t xml:space="preserve">    {"id": "mixed-route-review", "result": "hold"}</w:t>
        <w:br/>
        <w:t xml:space="preserve">  ],</w:t>
        <w:br/>
        <w:t xml:space="preserve">  "output": {</w:t>
        <w:br/>
        <w:t xml:space="preserve">    "requestedSeats": 20,</w:t>
        <w:br/>
        <w:t xml:space="preserve">    "reuseSeats": 6,</w:t>
        <w:br/>
        <w:t xml:space="preserve">    "buySeats": 14,</w:t>
        <w:br/>
        <w:t xml:space="preserve">    "buyAmountMinor": 168000,</w:t>
        <w:br/>
        <w:t xml:space="preserve">    "adminCostMinor": 2000,</w:t>
        <w:br/>
        <w:t xml:space="preserve">    "netAvoidanceMinor": 70000</w:t>
        <w:br/>
        <w:t xml:space="preserve">  },</w:t>
        <w:br/>
        <w:t xml:space="preserve">  "nextAction": "confirm-mixed-allocation",</w:t>
        <w:br/>
        <w:t xml:space="preserve">  "requiredRole": "buy-desk-analyst"</w:t>
        <w:br/>
        <w:t>}</w:t>
      </w:r>
    </w:p>
    <w:p/>
    <w:p>
      <w:r>
        <w:rPr>
          <w:color w:val="000000"/>
        </w:rPr>
        <w:t>Validate schema, references, current revision and rule version before accepting a result. Reject unknown IDs, mismatched currency, stale evidence or outcomes from a prior case revision. A hold must include its blocked action and required role. Negative outcomes are explicit results, not missing fields or indefinite loading states.</w:t>
      </w:r>
    </w:p>
    <w:p>
      <w:pPr>
        <w:pStyle w:val="Heading2"/>
      </w:pPr>
      <w:r>
        <w:t>17 3 Event application</w:t>
      </w:r>
    </w:p>
    <w:p>
      <w:r>
        <w:rPr>
          <w:color w:val="000000"/>
        </w:rPr>
        <w:t xml:space="preserve">All business changes pass through a shared command handler/reducer. Essential events include </w:t>
      </w:r>
      <w:r>
        <w:rPr>
          <w:rFonts w:ascii="Consolas" w:hAnsi="Consolas"/>
          <w:color w:val="000000"/>
          <w:sz w:val="20"/>
        </w:rPr>
        <w:t>request.submitted</w:t>
      </w:r>
      <w:r>
        <w:rPr>
          <w:color w:val="000000"/>
        </w:rPr>
        <w:t xml:space="preserve">, </w:t>
      </w:r>
      <w:r>
        <w:rPr>
          <w:rFonts w:ascii="Consolas" w:hAnsi="Consolas"/>
          <w:color w:val="000000"/>
          <w:sz w:val="20"/>
        </w:rPr>
        <w:t>request.revised</w:t>
      </w:r>
      <w:r>
        <w:rPr>
          <w:color w:val="000000"/>
        </w:rPr>
        <w:t xml:space="preserve">, </w:t>
      </w:r>
      <w:r>
        <w:rPr>
          <w:rFonts w:ascii="Consolas" w:hAnsi="Consolas"/>
          <w:color w:val="000000"/>
          <w:sz w:val="20"/>
        </w:rPr>
        <w:t>gate.evaluated</w:t>
      </w:r>
      <w:r>
        <w:rPr>
          <w:color w:val="000000"/>
        </w:rPr>
        <w:t xml:space="preserve">, </w:t>
      </w:r>
      <w:r>
        <w:rPr>
          <w:rFonts w:ascii="Consolas" w:hAnsi="Consolas"/>
          <w:color w:val="000000"/>
          <w:sz w:val="20"/>
        </w:rPr>
        <w:t>approval.decided</w:t>
      </w:r>
      <w:r>
        <w:rPr>
          <w:color w:val="000000"/>
        </w:rPr>
        <w:t xml:space="preserve">, </w:t>
      </w:r>
      <w:r>
        <w:rPr>
          <w:rFonts w:ascii="Consolas" w:hAnsi="Consolas"/>
          <w:color w:val="000000"/>
          <w:sz w:val="20"/>
        </w:rPr>
        <w:t>opportunity.approved</w:t>
      </w:r>
      <w:r>
        <w:rPr>
          <w:color w:val="000000"/>
        </w:rPr>
        <w:t xml:space="preserve">, </w:t>
      </w:r>
      <w:r>
        <w:rPr>
          <w:rFonts w:ascii="Consolas" w:hAnsi="Consolas"/>
          <w:color w:val="000000"/>
          <w:sz w:val="20"/>
        </w:rPr>
        <w:t>licence.reserved</w:t>
      </w:r>
      <w:r>
        <w:rPr>
          <w:color w:val="000000"/>
        </w:rPr>
        <w:t xml:space="preserve">, </w:t>
      </w:r>
      <w:r>
        <w:rPr>
          <w:rFonts w:ascii="Consolas" w:hAnsi="Consolas"/>
          <w:color w:val="000000"/>
          <w:sz w:val="20"/>
        </w:rPr>
        <w:t>licence.reassigned</w:t>
      </w:r>
      <w:r>
        <w:rPr>
          <w:color w:val="000000"/>
        </w:rPr>
        <w:t xml:space="preserve">, </w:t>
      </w:r>
      <w:r>
        <w:rPr>
          <w:rFonts w:ascii="Consolas" w:hAnsi="Consolas"/>
          <w:color w:val="000000"/>
          <w:sz w:val="20"/>
        </w:rPr>
        <w:t>rfq.issued</w:t>
      </w:r>
      <w:r>
        <w:rPr>
          <w:color w:val="000000"/>
        </w:rPr>
        <w:t xml:space="preserve">, </w:t>
      </w:r>
      <w:r>
        <w:rPr>
          <w:rFonts w:ascii="Consolas" w:hAnsi="Consolas"/>
          <w:color w:val="000000"/>
          <w:sz w:val="20"/>
        </w:rPr>
        <w:t>quote.received</w:t>
      </w:r>
      <w:r>
        <w:rPr>
          <w:color w:val="000000"/>
        </w:rPr>
        <w:t xml:space="preserve">, </w:t>
      </w:r>
      <w:r>
        <w:rPr>
          <w:rFonts w:ascii="Consolas" w:hAnsi="Consolas"/>
          <w:color w:val="000000"/>
          <w:sz w:val="20"/>
        </w:rPr>
        <w:t>award.approved</w:t>
      </w:r>
      <w:r>
        <w:rPr>
          <w:color w:val="000000"/>
        </w:rPr>
        <w:t xml:space="preserve">, </w:t>
      </w:r>
      <w:r>
        <w:rPr>
          <w:rFonts w:ascii="Consolas" w:hAnsi="Consolas"/>
          <w:color w:val="000000"/>
          <w:sz w:val="20"/>
        </w:rPr>
        <w:t>contract.signed</w:t>
      </w:r>
      <w:r>
        <w:rPr>
          <w:color w:val="000000"/>
        </w:rPr>
        <w:t xml:space="preserve">, </w:t>
      </w:r>
      <w:r>
        <w:rPr>
          <w:rFonts w:ascii="Consolas" w:hAnsi="Consolas"/>
          <w:color w:val="000000"/>
          <w:sz w:val="20"/>
        </w:rPr>
        <w:t>contract.stored</w:t>
      </w:r>
      <w:r>
        <w:rPr>
          <w:color w:val="000000"/>
        </w:rPr>
        <w:t xml:space="preserve">, </w:t>
      </w:r>
      <w:r>
        <w:rPr>
          <w:rFonts w:ascii="Consolas" w:hAnsi="Consolas"/>
          <w:color w:val="000000"/>
          <w:sz w:val="20"/>
        </w:rPr>
        <w:t>supplier.bankVerified</w:t>
      </w:r>
      <w:r>
        <w:rPr>
          <w:color w:val="000000"/>
        </w:rPr>
        <w:t xml:space="preserve">, </w:t>
      </w:r>
      <w:r>
        <w:rPr>
          <w:rFonts w:ascii="Consolas" w:hAnsi="Consolas"/>
          <w:color w:val="000000"/>
          <w:sz w:val="20"/>
        </w:rPr>
        <w:t>supplier.activated</w:t>
      </w:r>
      <w:r>
        <w:rPr>
          <w:color w:val="000000"/>
        </w:rPr>
        <w:t xml:space="preserve">, </w:t>
      </w:r>
      <w:r>
        <w:rPr>
          <w:rFonts w:ascii="Consolas" w:hAnsi="Consolas"/>
          <w:color w:val="000000"/>
          <w:sz w:val="20"/>
        </w:rPr>
        <w:t>po.dispatched</w:t>
      </w:r>
      <w:r>
        <w:rPr>
          <w:color w:val="000000"/>
        </w:rPr>
        <w:t xml:space="preserve">, </w:t>
      </w:r>
      <w:r>
        <w:rPr>
          <w:rFonts w:ascii="Consolas" w:hAnsi="Consolas"/>
          <w:color w:val="000000"/>
          <w:sz w:val="20"/>
        </w:rPr>
        <w:t>receipt.posted</w:t>
      </w:r>
      <w:r>
        <w:rPr>
          <w:color w:val="000000"/>
        </w:rPr>
        <w:t xml:space="preserve">, </w:t>
      </w:r>
      <w:r>
        <w:rPr>
          <w:rFonts w:ascii="Consolas" w:hAnsi="Consolas"/>
          <w:color w:val="000000"/>
          <w:sz w:val="20"/>
        </w:rPr>
        <w:t>invoice.received</w:t>
      </w:r>
      <w:r>
        <w:rPr>
          <w:color w:val="000000"/>
        </w:rPr>
        <w:t xml:space="preserve">, </w:t>
      </w:r>
      <w:r>
        <w:rPr>
          <w:rFonts w:ascii="Consolas" w:hAnsi="Consolas"/>
          <w:color w:val="000000"/>
          <w:sz w:val="20"/>
        </w:rPr>
        <w:t>credit.applied</w:t>
      </w:r>
      <w:r>
        <w:rPr>
          <w:color w:val="000000"/>
        </w:rPr>
        <w:t xml:space="preserve">, </w:t>
      </w:r>
      <w:r>
        <w:rPr>
          <w:rFonts w:ascii="Consolas" w:hAnsi="Consolas"/>
          <w:color w:val="000000"/>
          <w:sz w:val="20"/>
        </w:rPr>
        <w:t>value.validated</w:t>
      </w:r>
      <w:r>
        <w:rPr>
          <w:color w:val="000000"/>
        </w:rPr>
        <w:t xml:space="preserve">, </w:t>
      </w:r>
      <w:r>
        <w:rPr>
          <w:rFonts w:ascii="Consolas" w:hAnsi="Consolas"/>
          <w:color w:val="000000"/>
          <w:sz w:val="20"/>
        </w:rPr>
        <w:t>agent.paused</w:t>
      </w:r>
      <w:r>
        <w:rPr>
          <w:color w:val="000000"/>
        </w:rPr>
        <w:t xml:space="preserve"> and </w:t>
      </w:r>
      <w:r>
        <w:rPr>
          <w:rFonts w:ascii="Consolas" w:hAnsi="Consolas"/>
          <w:color w:val="000000"/>
          <w:sz w:val="20"/>
        </w:rPr>
        <w:t>ruleChange.applied</w:t>
      </w:r>
      <w:r>
        <w:rPr>
          <w:color w:val="000000"/>
        </w:rPr>
        <w:t>.</w:t>
      </w:r>
    </w:p>
    <w:p>
      <w:r>
        <w:rPr>
          <w:color w:val="000000"/>
        </w:rPr>
        <w:t>Each command contains actor/role, case ID, expected revision and idempotency key. Evaluate gates, then atomically update records and audit. Double click and repeated mock response cannot create a second order, assignment, signature or claim. Use stable keys such as case + work package + action + revision, with unique retry attempt IDs.</w:t>
      </w:r>
    </w:p>
    <w:p>
      <w:r>
        <w:rPr>
          <w:color w:val="000000"/>
        </w:rPr>
        <w:t>Editing quantity or scope invalidates dependent quote/approval/value calculations. Changing supplier invalidates supplier/contract checks. Changing redline text invalidates related clause decisions. Downstream records stay reviewable as superseded versions. View navigation never changes business state.</w:t>
      </w:r>
    </w:p>
    <w:p>
      <w:r>
        <w:rPr>
          <w:color w:val="000000"/>
        </w:rPr>
        <w:t>Persist case progress, drafts, pending tasks, messages and audit above the login seats, alongside the shared store. Retain state across navigation and seat change. For reload resilience, use a versioned localStorage demo snapshot with explicit reset and safe migration. Never store real account data there. A browser refresh during a pending approval restores the hold, not a completed state.</w:t>
      </w:r>
    </w:p>
    <w:p>
      <w:pPr>
        <w:pStyle w:val="Heading1"/>
      </w:pPr>
      <w:r>
        <w:t>18 Component reuse and file implementation map</w:t>
      </w:r>
    </w:p>
    <w:p>
      <w:r>
        <w:rPr>
          <w:color w:val="000000"/>
        </w:rPr>
        <w:t xml:space="preserve">Stay in </w:t>
      </w:r>
      <w:r>
        <w:rPr>
          <w:rFonts w:ascii="Consolas" w:hAnsi="Consolas"/>
          <w:color w:val="000000"/>
          <w:sz w:val="20"/>
        </w:rPr>
        <w:t>src/​mro</w:t>
      </w:r>
      <w:r>
        <w:rPr>
          <w:color w:val="000000"/>
        </w:rPr>
        <w:t xml:space="preserve"> and preserve the current visual tokens. Prefer adapting an existing component before adding a new visual system. New components must use the existing console, card, modal, icon, colour and motion conventions, with UI01–UI04 enforced centrally.</w:t>
      </w:r>
    </w:p>
    <w:p>
      <w:pPr>
        <w:pStyle w:val="Heading2"/>
      </w:pPr>
      <w:r>
        <w:t>18 1 Changes to existing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048"/>
      </w:tblGrid>
      <w:tr>
        <w:trPr>
          <w:cantSplit/>
          <w:tblHeader/>
        </w:trPr>
        <w:tc>
          <w:tcPr>
            <w:tcW w:type="dxa" w:w="4032"/>
            <w:vAlign w:val="center"/>
            <w:shd w:fill="18354B"/>
            <w:tcMar>
              <w:top w:w="80" w:type="dxa"/>
              <w:bottom w:w="80" w:type="dxa"/>
              <w:left w:w="90" w:type="dxa"/>
              <w:right w:w="90" w:type="dxa"/>
            </w:tcMar>
          </w:tcPr>
          <w:p>
            <w:pPr>
              <w:keepNext/>
              <w:spacing w:after="0" w:line="250" w:lineRule="auto"/>
            </w:pPr>
            <w:r>
              <w:rPr>
                <w:b/>
                <w:color w:val="FFFFFF"/>
                <w:sz w:val="20"/>
              </w:rPr>
              <w:t>File or group</w:t>
            </w:r>
          </w:p>
        </w:tc>
        <w:tc>
          <w:tcPr>
            <w:tcW w:type="dxa" w:w="6048"/>
            <w:vAlign w:val="center"/>
            <w:shd w:fill="18354B"/>
            <w:tcMar>
              <w:top w:w="80" w:type="dxa"/>
              <w:bottom w:w="80" w:type="dxa"/>
              <w:left w:w="90" w:type="dxa"/>
              <w:right w:w="90" w:type="dxa"/>
            </w:tcMar>
          </w:tcPr>
          <w:p>
            <w:pPr>
              <w:keepNext/>
              <w:spacing w:after="0" w:line="250" w:lineRule="auto"/>
            </w:pPr>
            <w:r>
              <w:rPr>
                <w:b/>
                <w:color w:val="FFFFFF"/>
                <w:sz w:val="20"/>
              </w:rPr>
              <w:t>Required change</w:t>
            </w:r>
          </w:p>
        </w:tc>
      </w:tr>
      <w:tr>
        <w:trPr>
          <w:cantSplit/>
        </w:trPr>
        <w:tc>
          <w:tcPr>
            <w:tcW w:type="dxa" w:w="4032"/>
            <w:vAlign w:val="center"/>
            <w:shd w:fill="FFFFFF"/>
            <w:tcMar>
              <w:top w:w="80" w:type="dxa"/>
              <w:bottom w:w="80" w:type="dxa"/>
              <w:left w:w="90" w:type="dxa"/>
              <w:right w:w="90" w:type="dxa"/>
            </w:tcMar>
          </w:tcPr>
          <w:p>
            <w:pPr>
              <w:spacing w:after="0" w:line="250" w:lineRule="auto"/>
            </w:pPr>
            <w:r>
              <w:rPr>
                <w:rFonts w:ascii="Consolas" w:hAnsi="Consolas"/>
                <w:color w:val="000000"/>
                <w:sz w:val="19"/>
              </w:rPr>
              <w:t>src/​Root.tsx</w:t>
            </w:r>
          </w:p>
        </w:tc>
        <w:tc>
          <w:tcPr>
            <w:tcW w:type="dxa" w:w="6048"/>
            <w:vAlign w:val="center"/>
            <w:shd w:fill="FFFFFF"/>
            <w:tcMar>
              <w:top w:w="80" w:type="dxa"/>
              <w:bottom w:w="80" w:type="dxa"/>
              <w:left w:w="90" w:type="dxa"/>
              <w:right w:w="90" w:type="dxa"/>
            </w:tcMar>
          </w:tcPr>
          <w:p>
            <w:pPr>
              <w:spacing w:after="0" w:line="250" w:lineRule="auto"/>
            </w:pPr>
            <w:r>
              <w:rPr>
                <w:color w:val="000000"/>
                <w:sz w:val="20"/>
              </w:rPr>
              <w:t>Keep shared domain store above seats; extend role/presenter context</w:t>
            </w:r>
          </w:p>
        </w:tc>
      </w:tr>
      <w:tr>
        <w:trPr>
          <w:cantSplit/>
        </w:trPr>
        <w:tc>
          <w:tcPr>
            <w:tcW w:type="dxa" w:w="4032"/>
            <w:vAlign w:val="center"/>
            <w:shd w:fill="F3F6F8"/>
            <w:tcMar>
              <w:top w:w="80" w:type="dxa"/>
              <w:bottom w:w="80" w:type="dxa"/>
              <w:left w:w="90" w:type="dxa"/>
              <w:right w:w="90" w:type="dxa"/>
            </w:tcMar>
          </w:tcPr>
          <w:p>
            <w:pPr>
              <w:spacing w:after="0" w:line="250" w:lineRule="auto"/>
            </w:pPr>
            <w:r>
              <w:rPr>
                <w:rFonts w:ascii="Consolas" w:hAnsi="Consolas"/>
                <w:color w:val="000000"/>
                <w:sz w:val="19"/>
              </w:rPr>
              <w:t>src/​views/​EntryLogin.tsx</w:t>
            </w:r>
          </w:p>
        </w:tc>
        <w:tc>
          <w:tcPr>
            <w:tcW w:type="dxa" w:w="6048"/>
            <w:vAlign w:val="center"/>
            <w:shd w:fill="F3F6F8"/>
            <w:tcMar>
              <w:top w:w="80" w:type="dxa"/>
              <w:bottom w:w="80" w:type="dxa"/>
              <w:left w:w="90" w:type="dxa"/>
              <w:right w:w="90" w:type="dxa"/>
            </w:tcMar>
          </w:tcPr>
          <w:p>
            <w:pPr>
              <w:spacing w:after="0" w:line="250" w:lineRule="auto"/>
            </w:pPr>
            <w:r>
              <w:rPr>
                <w:color w:val="000000"/>
                <w:sz w:val="20"/>
              </w:rPr>
              <w:t>Neutral identity, buyer/supplier entries, client-neutral images</w:t>
            </w:r>
          </w:p>
        </w:tc>
      </w:tr>
      <w:tr>
        <w:trPr>
          <w:cantSplit/>
        </w:trPr>
        <w:tc>
          <w:tcPr>
            <w:tcW w:type="dxa" w:w="4032"/>
            <w:vAlign w:val="center"/>
            <w:shd w:fill="FFFFFF"/>
            <w:tcMar>
              <w:top w:w="80" w:type="dxa"/>
              <w:bottom w:w="80" w:type="dxa"/>
              <w:left w:w="90" w:type="dxa"/>
              <w:right w:w="90" w:type="dxa"/>
            </w:tcMar>
          </w:tcPr>
          <w:p>
            <w:pPr>
              <w:spacing w:after="0" w:line="250" w:lineRule="auto"/>
            </w:pPr>
            <w:r>
              <w:rPr>
                <w:rFonts w:ascii="Consolas" w:hAnsi="Consolas"/>
                <w:color w:val="000000"/>
                <w:sz w:val="19"/>
              </w:rPr>
              <w:t>src/​mro/​App.tsx</w:t>
            </w:r>
            <w:r>
              <w:rPr>
                <w:color w:val="000000"/>
                <w:sz w:val="20"/>
              </w:rPr>
              <w:t xml:space="preserve">, </w:t>
            </w:r>
            <w:r>
              <w:rPr>
                <w:rFonts w:ascii="Consolas" w:hAnsi="Consolas"/>
                <w:color w:val="000000"/>
                <w:sz w:val="19"/>
              </w:rPr>
              <w:t>state.tsx</w:t>
            </w:r>
          </w:p>
        </w:tc>
        <w:tc>
          <w:tcPr>
            <w:tcW w:type="dxa" w:w="6048"/>
            <w:vAlign w:val="center"/>
            <w:shd w:fill="FFFFFF"/>
            <w:tcMar>
              <w:top w:w="80" w:type="dxa"/>
              <w:bottom w:w="80" w:type="dxa"/>
              <w:left w:w="90" w:type="dxa"/>
              <w:right w:w="90" w:type="dxa"/>
            </w:tcMar>
          </w:tcPr>
          <w:p>
            <w:pPr>
              <w:spacing w:after="0" w:line="250" w:lineRule="auto"/>
            </w:pPr>
            <w:r>
              <w:rPr>
                <w:color w:val="000000"/>
                <w:sz w:val="20"/>
              </w:rPr>
              <w:t>Add workbench views; workspace opens by case/work-package IDs</w:t>
            </w:r>
          </w:p>
        </w:tc>
      </w:tr>
      <w:tr>
        <w:trPr>
          <w:cantSplit/>
        </w:trPr>
        <w:tc>
          <w:tcPr>
            <w:tcW w:type="dxa" w:w="4032"/>
            <w:vAlign w:val="center"/>
            <w:shd w:fill="F3F6F8"/>
            <w:tcMar>
              <w:top w:w="80" w:type="dxa"/>
              <w:bottom w:w="80" w:type="dxa"/>
              <w:left w:w="90" w:type="dxa"/>
              <w:right w:w="90" w:type="dxa"/>
            </w:tcMar>
          </w:tcPr>
          <w:p>
            <w:pPr>
              <w:spacing w:after="0" w:line="250" w:lineRule="auto"/>
            </w:pPr>
            <w:r>
              <w:rPr>
                <w:rFonts w:ascii="Consolas" w:hAnsi="Consolas"/>
                <w:color w:val="000000"/>
                <w:sz w:val="19"/>
              </w:rPr>
              <w:t>data/​procurement.ts</w:t>
            </w:r>
          </w:p>
        </w:tc>
        <w:tc>
          <w:tcPr>
            <w:tcW w:type="dxa" w:w="6048"/>
            <w:vAlign w:val="center"/>
            <w:shd w:fill="F3F6F8"/>
            <w:tcMar>
              <w:top w:w="80" w:type="dxa"/>
              <w:bottom w:w="80" w:type="dxa"/>
              <w:left w:w="90" w:type="dxa"/>
              <w:right w:w="90" w:type="dxa"/>
            </w:tcMar>
          </w:tcPr>
          <w:p>
            <w:pPr>
              <w:spacing w:after="0" w:line="250" w:lineRule="auto"/>
            </w:pPr>
            <w:r>
              <w:rPr>
                <w:color w:val="000000"/>
                <w:sz w:val="20"/>
              </w:rPr>
              <w:t>Replace mixed fixture data; retain useful selectors with typed currency/site data</w:t>
            </w:r>
          </w:p>
        </w:tc>
      </w:tr>
      <w:tr>
        <w:trPr>
          <w:cantSplit/>
        </w:trPr>
        <w:tc>
          <w:tcPr>
            <w:tcW w:type="dxa" w:w="4032"/>
            <w:vAlign w:val="center"/>
            <w:shd w:fill="FFFFFF"/>
            <w:tcMar>
              <w:top w:w="80" w:type="dxa"/>
              <w:bottom w:w="80" w:type="dxa"/>
              <w:left w:w="90" w:type="dxa"/>
              <w:right w:w="90" w:type="dxa"/>
            </w:tcMar>
          </w:tcPr>
          <w:p>
            <w:pPr>
              <w:spacing w:after="0" w:line="250" w:lineRule="auto"/>
            </w:pPr>
            <w:r>
              <w:rPr>
                <w:rFonts w:ascii="Consolas" w:hAnsi="Consolas"/>
                <w:color w:val="000000"/>
                <w:sz w:val="19"/>
              </w:rPr>
              <w:t>data/​store.tsx</w:t>
            </w:r>
          </w:p>
        </w:tc>
        <w:tc>
          <w:tcPr>
            <w:tcW w:type="dxa" w:w="6048"/>
            <w:vAlign w:val="center"/>
            <w:shd w:fill="FFFFFF"/>
            <w:tcMar>
              <w:top w:w="80" w:type="dxa"/>
              <w:bottom w:w="80" w:type="dxa"/>
              <w:left w:w="90" w:type="dxa"/>
              <w:right w:w="90" w:type="dxa"/>
            </w:tcMar>
          </w:tcPr>
          <w:p>
            <w:pPr>
              <w:spacing w:after="0" w:line="250" w:lineRule="auto"/>
            </w:pPr>
            <w:r>
              <w:rPr>
                <w:color w:val="000000"/>
                <w:sz w:val="20"/>
              </w:rPr>
              <w:t>Normalized records, reducer commands, persistent cases and gate enforcement</w:t>
            </w:r>
          </w:p>
        </w:tc>
      </w:tr>
      <w:tr>
        <w:trPr>
          <w:cantSplit/>
        </w:trPr>
        <w:tc>
          <w:tcPr>
            <w:tcW w:type="dxa" w:w="4032"/>
            <w:vAlign w:val="center"/>
            <w:shd w:fill="F3F6F8"/>
            <w:tcMar>
              <w:top w:w="80" w:type="dxa"/>
              <w:bottom w:w="80" w:type="dxa"/>
              <w:left w:w="90" w:type="dxa"/>
              <w:right w:w="90" w:type="dxa"/>
            </w:tcMar>
          </w:tcPr>
          <w:p>
            <w:pPr>
              <w:spacing w:after="0" w:line="250" w:lineRule="auto"/>
            </w:pPr>
            <w:r>
              <w:rPr>
                <w:rFonts w:ascii="Consolas" w:hAnsi="Consolas"/>
                <w:color w:val="000000"/>
                <w:sz w:val="19"/>
              </w:rPr>
              <w:t>data/​intakeChannels.tsx</w:t>
            </w:r>
          </w:p>
        </w:tc>
        <w:tc>
          <w:tcPr>
            <w:tcW w:type="dxa" w:w="6048"/>
            <w:vAlign w:val="center"/>
            <w:shd w:fill="F3F6F8"/>
            <w:tcMar>
              <w:top w:w="80" w:type="dxa"/>
              <w:bottom w:w="80" w:type="dxa"/>
              <w:left w:w="90" w:type="dxa"/>
              <w:right w:w="90" w:type="dxa"/>
            </w:tcMar>
          </w:tcPr>
          <w:p>
            <w:pPr>
              <w:spacing w:after="0" w:line="250" w:lineRule="auto"/>
            </w:pPr>
            <w:r>
              <w:rPr>
                <w:color w:val="000000"/>
                <w:sz w:val="20"/>
              </w:rPr>
              <w:t>Captured messages and draft creators; no replay-only submission</w:t>
            </w:r>
          </w:p>
        </w:tc>
      </w:tr>
      <w:tr>
        <w:trPr>
          <w:cantSplit/>
        </w:trPr>
        <w:tc>
          <w:tcPr>
            <w:tcW w:type="dxa" w:w="4032"/>
            <w:vAlign w:val="center"/>
            <w:shd w:fill="FFFFFF"/>
            <w:tcMar>
              <w:top w:w="80" w:type="dxa"/>
              <w:bottom w:w="80" w:type="dxa"/>
              <w:left w:w="90" w:type="dxa"/>
              <w:right w:w="90" w:type="dxa"/>
            </w:tcMar>
          </w:tcPr>
          <w:p>
            <w:pPr>
              <w:spacing w:after="0" w:line="250" w:lineRule="auto"/>
            </w:pPr>
            <w:r>
              <w:rPr>
                <w:rFonts w:ascii="Consolas" w:hAnsi="Consolas"/>
                <w:color w:val="000000"/>
                <w:sz w:val="19"/>
              </w:rPr>
              <w:t>data/​flowRuns.tsx</w:t>
            </w:r>
            <w:r>
              <w:rPr>
                <w:color w:val="000000"/>
                <w:sz w:val="20"/>
              </w:rPr>
              <w:t xml:space="preserve">, </w:t>
            </w:r>
            <w:r>
              <w:rPr>
                <w:rFonts w:ascii="Consolas" w:hAnsi="Consolas"/>
                <w:color w:val="000000"/>
                <w:sz w:val="19"/>
              </w:rPr>
              <w:t>runSteps.tsx</w:t>
            </w:r>
          </w:p>
        </w:tc>
        <w:tc>
          <w:tcPr>
            <w:tcW w:type="dxa" w:w="6048"/>
            <w:vAlign w:val="center"/>
            <w:shd w:fill="FFFFFF"/>
            <w:tcMar>
              <w:top w:w="80" w:type="dxa"/>
              <w:bottom w:w="80" w:type="dxa"/>
              <w:left w:w="90" w:type="dxa"/>
              <w:right w:w="90" w:type="dxa"/>
            </w:tcMar>
          </w:tcPr>
          <w:p>
            <w:pPr>
              <w:spacing w:after="0" w:line="250" w:lineRule="auto"/>
            </w:pPr>
            <w:r>
              <w:rPr>
                <w:color w:val="000000"/>
                <w:sz w:val="20"/>
              </w:rPr>
              <w:t>Story registry, TOM work packages, stable step IDs and renderer references</w:t>
            </w:r>
          </w:p>
        </w:tc>
      </w:tr>
      <w:tr>
        <w:trPr>
          <w:cantSplit/>
        </w:trPr>
        <w:tc>
          <w:tcPr>
            <w:tcW w:type="dxa" w:w="4032"/>
            <w:vAlign w:val="center"/>
            <w:shd w:fill="F3F6F8"/>
            <w:tcMar>
              <w:top w:w="80" w:type="dxa"/>
              <w:bottom w:w="80" w:type="dxa"/>
              <w:left w:w="90" w:type="dxa"/>
              <w:right w:w="90" w:type="dxa"/>
            </w:tcMar>
          </w:tcPr>
          <w:p>
            <w:pPr>
              <w:spacing w:after="0" w:line="250" w:lineRule="auto"/>
            </w:pPr>
            <w:r>
              <w:rPr>
                <w:rFonts w:ascii="Consolas" w:hAnsi="Consolas"/>
                <w:color w:val="000000"/>
                <w:sz w:val="19"/>
              </w:rPr>
              <w:t>data/​filterBagCase.tsx</w:t>
            </w:r>
          </w:p>
        </w:tc>
        <w:tc>
          <w:tcPr>
            <w:tcW w:type="dxa" w:w="6048"/>
            <w:vAlign w:val="center"/>
            <w:shd w:fill="F3F6F8"/>
            <w:tcMar>
              <w:top w:w="80" w:type="dxa"/>
              <w:bottom w:w="80" w:type="dxa"/>
              <w:left w:w="90" w:type="dxa"/>
              <w:right w:w="90" w:type="dxa"/>
            </w:tcMar>
          </w:tcPr>
          <w:p>
            <w:pPr>
              <w:spacing w:after="0" w:line="250" w:lineRule="auto"/>
            </w:pPr>
            <w:r>
              <w:rPr>
                <w:color w:val="000000"/>
                <w:sz w:val="20"/>
              </w:rPr>
              <w:t>Convert relevant price-break evidence into supporting pooling fixture</w:t>
            </w:r>
          </w:p>
        </w:tc>
      </w:tr>
      <w:tr>
        <w:trPr>
          <w:cantSplit/>
        </w:trPr>
        <w:tc>
          <w:tcPr>
            <w:tcW w:type="dxa" w:w="4032"/>
            <w:vAlign w:val="center"/>
            <w:shd w:fill="FFFFFF"/>
            <w:tcMar>
              <w:top w:w="80" w:type="dxa"/>
              <w:bottom w:w="80" w:type="dxa"/>
              <w:left w:w="90" w:type="dxa"/>
              <w:right w:w="90" w:type="dxa"/>
            </w:tcMar>
          </w:tcPr>
          <w:p>
            <w:pPr>
              <w:spacing w:after="0" w:line="250" w:lineRule="auto"/>
            </w:pPr>
            <w:r>
              <w:rPr>
                <w:rFonts w:ascii="Consolas" w:hAnsi="Consolas"/>
                <w:color w:val="000000"/>
                <w:sz w:val="19"/>
              </w:rPr>
              <w:t>data/​onboardingCase.tsx</w:t>
            </w:r>
            <w:r>
              <w:rPr>
                <w:color w:val="000000"/>
                <w:sz w:val="20"/>
              </w:rPr>
              <w:t xml:space="preserve">, </w:t>
            </w:r>
            <w:r>
              <w:rPr>
                <w:rFonts w:ascii="Consolas" w:hAnsi="Consolas"/>
                <w:color w:val="000000"/>
                <w:sz w:val="19"/>
              </w:rPr>
              <w:t>offContractCase.tsx</w:t>
            </w:r>
          </w:p>
        </w:tc>
        <w:tc>
          <w:tcPr>
            <w:tcW w:type="dxa" w:w="6048"/>
            <w:vAlign w:val="center"/>
            <w:shd w:fill="FFFFFF"/>
            <w:tcMar>
              <w:top w:w="80" w:type="dxa"/>
              <w:bottom w:w="80" w:type="dxa"/>
              <w:left w:w="90" w:type="dxa"/>
              <w:right w:w="90" w:type="dxa"/>
            </w:tcMar>
          </w:tcPr>
          <w:p>
            <w:pPr>
              <w:spacing w:after="0" w:line="250" w:lineRule="auto"/>
            </w:pPr>
            <w:r>
              <w:rPr>
                <w:color w:val="000000"/>
                <w:sz w:val="20"/>
              </w:rPr>
              <w:t>Reuse mechanics, replace facts, enforce three-quote/activation gates</w:t>
            </w:r>
          </w:p>
        </w:tc>
      </w:tr>
      <w:tr>
        <w:trPr>
          <w:cantSplit/>
        </w:trPr>
        <w:tc>
          <w:tcPr>
            <w:tcW w:type="dxa" w:w="4032"/>
            <w:vAlign w:val="center"/>
            <w:shd w:fill="F3F6F8"/>
            <w:tcMar>
              <w:top w:w="80" w:type="dxa"/>
              <w:bottom w:w="80" w:type="dxa"/>
              <w:left w:w="90" w:type="dxa"/>
              <w:right w:w="90" w:type="dxa"/>
            </w:tcMar>
          </w:tcPr>
          <w:p>
            <w:pPr>
              <w:spacing w:after="0" w:line="250" w:lineRule="auto"/>
            </w:pPr>
            <w:r>
              <w:rPr>
                <w:rFonts w:ascii="Consolas" w:hAnsi="Consolas"/>
                <w:color w:val="000000"/>
                <w:sz w:val="19"/>
              </w:rPr>
              <w:t>views/​Workspace.tsx</w:t>
            </w:r>
          </w:p>
        </w:tc>
        <w:tc>
          <w:tcPr>
            <w:tcW w:type="dxa" w:w="6048"/>
            <w:vAlign w:val="center"/>
            <w:shd w:fill="F3F6F8"/>
            <w:tcMar>
              <w:top w:w="80" w:type="dxa"/>
              <w:bottom w:w="80" w:type="dxa"/>
              <w:left w:w="90" w:type="dxa"/>
              <w:right w:w="90" w:type="dxa"/>
            </w:tcMar>
          </w:tcPr>
          <w:p>
            <w:pPr>
              <w:spacing w:after="0" w:line="250" w:lineRule="auto"/>
            </w:pPr>
            <w:r>
              <w:rPr>
                <w:color w:val="000000"/>
                <w:sz w:val="20"/>
              </w:rPr>
              <w:t>Dispatch domain commands; remove unconditional indexed advance/release</w:t>
            </w:r>
          </w:p>
        </w:tc>
      </w:tr>
      <w:tr>
        <w:trPr>
          <w:cantSplit/>
        </w:trPr>
        <w:tc>
          <w:tcPr>
            <w:tcW w:type="dxa" w:w="4032"/>
            <w:vAlign w:val="center"/>
            <w:shd w:fill="FFFFFF"/>
            <w:tcMar>
              <w:top w:w="80" w:type="dxa"/>
              <w:bottom w:w="80" w:type="dxa"/>
              <w:left w:w="90" w:type="dxa"/>
              <w:right w:w="90" w:type="dxa"/>
            </w:tcMar>
          </w:tcPr>
          <w:p>
            <w:pPr>
              <w:spacing w:after="0" w:line="250" w:lineRule="auto"/>
            </w:pPr>
            <w:r>
              <w:rPr>
                <w:rFonts w:ascii="Consolas" w:hAnsi="Consolas"/>
                <w:color w:val="000000"/>
                <w:sz w:val="19"/>
              </w:rPr>
              <w:t>ExtractionWizard.tsx</w:t>
            </w:r>
          </w:p>
        </w:tc>
        <w:tc>
          <w:tcPr>
            <w:tcW w:type="dxa" w:w="6048"/>
            <w:vAlign w:val="center"/>
            <w:shd w:fill="FFFFFF"/>
            <w:tcMar>
              <w:top w:w="80" w:type="dxa"/>
              <w:bottom w:w="80" w:type="dxa"/>
              <w:left w:w="90" w:type="dxa"/>
              <w:right w:w="90" w:type="dxa"/>
            </w:tcMar>
          </w:tcPr>
          <w:p>
            <w:pPr>
              <w:spacing w:after="0" w:line="250" w:lineRule="auto"/>
            </w:pPr>
            <w:r>
              <w:rPr>
                <w:color w:val="000000"/>
                <w:sz w:val="20"/>
              </w:rPr>
              <w:t>Emit edited draft fields, validate and regenerate documents</w:t>
            </w:r>
          </w:p>
        </w:tc>
      </w:tr>
      <w:tr>
        <w:trPr>
          <w:cantSplit/>
        </w:trPr>
        <w:tc>
          <w:tcPr>
            <w:tcW w:type="dxa" w:w="4032"/>
            <w:vAlign w:val="center"/>
            <w:shd w:fill="F3F6F8"/>
            <w:tcMar>
              <w:top w:w="80" w:type="dxa"/>
              <w:bottom w:w="80" w:type="dxa"/>
              <w:left w:w="90" w:type="dxa"/>
              <w:right w:w="90" w:type="dxa"/>
            </w:tcMar>
          </w:tcPr>
          <w:p>
            <w:pPr>
              <w:spacing w:after="0" w:line="250" w:lineRule="auto"/>
            </w:pPr>
            <w:r>
              <w:rPr>
                <w:rFonts w:ascii="Consolas" w:hAnsi="Consolas"/>
                <w:color w:val="000000"/>
                <w:sz w:val="19"/>
              </w:rPr>
              <w:t>AiWorkspacePanel.tsx</w:t>
            </w:r>
          </w:p>
        </w:tc>
        <w:tc>
          <w:tcPr>
            <w:tcW w:type="dxa" w:w="6048"/>
            <w:vAlign w:val="center"/>
            <w:shd w:fill="F3F6F8"/>
            <w:tcMar>
              <w:top w:w="80" w:type="dxa"/>
              <w:bottom w:w="80" w:type="dxa"/>
              <w:left w:w="90" w:type="dxa"/>
              <w:right w:w="90" w:type="dxa"/>
            </w:tcMar>
          </w:tcPr>
          <w:p>
            <w:pPr>
              <w:spacing w:after="0" w:line="250" w:lineRule="auto"/>
            </w:pPr>
            <w:r>
              <w:rPr>
                <w:color w:val="000000"/>
                <w:sz w:val="20"/>
              </w:rPr>
              <w:t>Short evidence rows, computed gate status, no generic bypass</w:t>
            </w:r>
          </w:p>
        </w:tc>
      </w:tr>
      <w:tr>
        <w:trPr>
          <w:cantSplit/>
        </w:trPr>
        <w:tc>
          <w:tcPr>
            <w:tcW w:type="dxa" w:w="4032"/>
            <w:vAlign w:val="center"/>
            <w:shd w:fill="FFFFFF"/>
            <w:tcMar>
              <w:top w:w="80" w:type="dxa"/>
              <w:bottom w:w="80" w:type="dxa"/>
              <w:left w:w="90" w:type="dxa"/>
              <w:right w:w="90" w:type="dxa"/>
            </w:tcMar>
          </w:tcPr>
          <w:p>
            <w:pPr>
              <w:spacing w:after="0" w:line="250" w:lineRule="auto"/>
            </w:pPr>
            <w:r>
              <w:rPr>
                <w:rFonts w:ascii="Consolas" w:hAnsi="Consolas"/>
                <w:color w:val="000000"/>
                <w:sz w:val="19"/>
              </w:rPr>
              <w:t>views/​Cockpit.tsx</w:t>
            </w:r>
            <w:r>
              <w:rPr>
                <w:color w:val="000000"/>
                <w:sz w:val="20"/>
              </w:rPr>
              <w:t xml:space="preserve">, </w:t>
            </w:r>
            <w:r>
              <w:rPr>
                <w:rFonts w:ascii="Consolas" w:hAnsi="Consolas"/>
                <w:color w:val="000000"/>
                <w:sz w:val="19"/>
              </w:rPr>
              <w:t>Requisitions.tsx</w:t>
            </w:r>
            <w:r>
              <w:rPr>
                <w:color w:val="000000"/>
                <w:sz w:val="20"/>
              </w:rPr>
              <w:t xml:space="preserve">, </w:t>
            </w:r>
            <w:r>
              <w:rPr>
                <w:rFonts w:ascii="Consolas" w:hAnsi="Consolas"/>
                <w:color w:val="000000"/>
                <w:sz w:val="19"/>
              </w:rPr>
              <w:t>Exceptions.tsx</w:t>
            </w:r>
          </w:p>
        </w:tc>
        <w:tc>
          <w:tcPr>
            <w:tcW w:type="dxa" w:w="6048"/>
            <w:vAlign w:val="center"/>
            <w:shd w:fill="FFFFFF"/>
            <w:tcMar>
              <w:top w:w="80" w:type="dxa"/>
              <w:bottom w:w="80" w:type="dxa"/>
              <w:left w:w="90" w:type="dxa"/>
              <w:right w:w="90" w:type="dxa"/>
            </w:tcMar>
          </w:tcPr>
          <w:p>
            <w:pPr>
              <w:spacing w:after="0" w:line="250" w:lineRule="auto"/>
            </w:pPr>
            <w:r>
              <w:rPr>
                <w:color w:val="000000"/>
                <w:sz w:val="20"/>
              </w:rPr>
              <w:t>Read shared records and roles; link actual case IDs</w:t>
            </w:r>
          </w:p>
        </w:tc>
      </w:tr>
      <w:tr>
        <w:trPr>
          <w:cantSplit/>
        </w:trPr>
        <w:tc>
          <w:tcPr>
            <w:tcW w:type="dxa" w:w="4032"/>
            <w:vAlign w:val="center"/>
            <w:shd w:fill="F3F6F8"/>
            <w:tcMar>
              <w:top w:w="80" w:type="dxa"/>
              <w:bottom w:w="80" w:type="dxa"/>
              <w:left w:w="90" w:type="dxa"/>
              <w:right w:w="90" w:type="dxa"/>
            </w:tcMar>
          </w:tcPr>
          <w:p>
            <w:pPr>
              <w:spacing w:after="0" w:line="250" w:lineRule="auto"/>
            </w:pPr>
            <w:r>
              <w:rPr>
                <w:rFonts w:ascii="Consolas" w:hAnsi="Consolas"/>
                <w:color w:val="000000"/>
                <w:sz w:val="19"/>
              </w:rPr>
              <w:t>views/​InvoiceMatching.tsx</w:t>
            </w:r>
          </w:p>
        </w:tc>
        <w:tc>
          <w:tcPr>
            <w:tcW w:type="dxa" w:w="6048"/>
            <w:vAlign w:val="center"/>
            <w:shd w:fill="F3F6F8"/>
            <w:tcMar>
              <w:top w:w="80" w:type="dxa"/>
              <w:bottom w:w="80" w:type="dxa"/>
              <w:left w:w="90" w:type="dxa"/>
              <w:right w:w="90" w:type="dxa"/>
            </w:tcMar>
          </w:tcPr>
          <w:p>
            <w:pPr>
              <w:spacing w:after="0" w:line="250" w:lineRule="auto"/>
            </w:pPr>
            <w:r>
              <w:rPr>
                <w:color w:val="000000"/>
                <w:sz w:val="20"/>
              </w:rPr>
              <w:t>Acceptance/receipt evidence, credits, match state and linked ValueRecord</w:t>
            </w:r>
          </w:p>
        </w:tc>
      </w:tr>
      <w:tr>
        <w:trPr>
          <w:cantSplit/>
        </w:trPr>
        <w:tc>
          <w:tcPr>
            <w:tcW w:type="dxa" w:w="4032"/>
            <w:vAlign w:val="center"/>
            <w:shd w:fill="FFFFFF"/>
            <w:tcMar>
              <w:top w:w="80" w:type="dxa"/>
              <w:bottom w:w="80" w:type="dxa"/>
              <w:left w:w="90" w:type="dxa"/>
              <w:right w:w="90" w:type="dxa"/>
            </w:tcMar>
          </w:tcPr>
          <w:p>
            <w:pPr>
              <w:spacing w:after="0" w:line="250" w:lineRule="auto"/>
            </w:pPr>
            <w:r>
              <w:rPr>
                <w:rFonts w:ascii="Consolas" w:hAnsi="Consolas"/>
                <w:color w:val="000000"/>
                <w:sz w:val="19"/>
              </w:rPr>
              <w:t>views/​SupplierPortal.tsx</w:t>
            </w:r>
            <w:r>
              <w:rPr>
                <w:color w:val="000000"/>
                <w:sz w:val="20"/>
              </w:rPr>
              <w:t xml:space="preserve">, </w:t>
            </w:r>
            <w:r>
              <w:rPr>
                <w:rFonts w:ascii="Consolas" w:hAnsi="Consolas"/>
                <w:color w:val="000000"/>
                <w:sz w:val="19"/>
              </w:rPr>
              <w:t>ServiceDesk.tsx</w:t>
            </w:r>
          </w:p>
        </w:tc>
        <w:tc>
          <w:tcPr>
            <w:tcW w:type="dxa" w:w="6048"/>
            <w:vAlign w:val="center"/>
            <w:shd w:fill="FFFFFF"/>
            <w:tcMar>
              <w:top w:w="80" w:type="dxa"/>
              <w:bottom w:w="80" w:type="dxa"/>
              <w:left w:w="90" w:type="dxa"/>
              <w:right w:w="90" w:type="dxa"/>
            </w:tcMar>
          </w:tcPr>
          <w:p>
            <w:pPr>
              <w:spacing w:after="0" w:line="250" w:lineRule="auto"/>
            </w:pPr>
            <w:r>
              <w:rPr>
                <w:color w:val="000000"/>
                <w:sz w:val="20"/>
              </w:rPr>
              <w:t>Supplier scoping and authorised commercial responses</w:t>
            </w:r>
          </w:p>
        </w:tc>
      </w:tr>
      <w:tr>
        <w:trPr>
          <w:cantSplit/>
        </w:trPr>
        <w:tc>
          <w:tcPr>
            <w:tcW w:type="dxa" w:w="4032"/>
            <w:vAlign w:val="center"/>
            <w:shd w:fill="F3F6F8"/>
            <w:tcMar>
              <w:top w:w="80" w:type="dxa"/>
              <w:bottom w:w="80" w:type="dxa"/>
              <w:left w:w="90" w:type="dxa"/>
              <w:right w:w="90" w:type="dxa"/>
            </w:tcMar>
          </w:tcPr>
          <w:p>
            <w:pPr>
              <w:spacing w:after="0" w:line="250" w:lineRule="auto"/>
            </w:pPr>
            <w:r>
              <w:rPr>
                <w:rFonts w:ascii="Consolas" w:hAnsi="Consolas"/>
                <w:color w:val="000000"/>
                <w:sz w:val="19"/>
              </w:rPr>
              <w:t>views/​ControlTower.tsx</w:t>
            </w:r>
            <w:r>
              <w:rPr>
                <w:color w:val="000000"/>
                <w:sz w:val="20"/>
              </w:rPr>
              <w:t xml:space="preserve">, </w:t>
            </w:r>
            <w:r>
              <w:rPr>
                <w:rFonts w:ascii="Consolas" w:hAnsi="Consolas"/>
                <w:color w:val="000000"/>
                <w:sz w:val="19"/>
              </w:rPr>
              <w:t>data/​spend.ts</w:t>
            </w:r>
          </w:p>
        </w:tc>
        <w:tc>
          <w:tcPr>
            <w:tcW w:type="dxa" w:w="6048"/>
            <w:vAlign w:val="center"/>
            <w:shd w:fill="F3F6F8"/>
            <w:tcMar>
              <w:top w:w="80" w:type="dxa"/>
              <w:bottom w:w="80" w:type="dxa"/>
              <w:left w:w="90" w:type="dxa"/>
              <w:right w:w="90" w:type="dxa"/>
            </w:tcMar>
          </w:tcPr>
          <w:p>
            <w:pPr>
              <w:spacing w:after="0" w:line="250" w:lineRule="auto"/>
            </w:pPr>
            <w:r>
              <w:rPr>
                <w:color w:val="000000"/>
                <w:sz w:val="20"/>
              </w:rPr>
              <w:t>Multi-site country mapping, GBP, opportunities and signed value</w:t>
            </w:r>
          </w:p>
        </w:tc>
      </w:tr>
      <w:tr>
        <w:trPr>
          <w:cantSplit/>
        </w:trPr>
        <w:tc>
          <w:tcPr>
            <w:tcW w:type="dxa" w:w="4032"/>
            <w:vAlign w:val="center"/>
            <w:shd w:fill="FFFFFF"/>
            <w:tcMar>
              <w:top w:w="80" w:type="dxa"/>
              <w:bottom w:w="80" w:type="dxa"/>
              <w:left w:w="90" w:type="dxa"/>
              <w:right w:w="90" w:type="dxa"/>
            </w:tcMar>
          </w:tcPr>
          <w:p>
            <w:pPr>
              <w:spacing w:after="0" w:line="250" w:lineRule="auto"/>
            </w:pPr>
            <w:r>
              <w:rPr>
                <w:rFonts w:ascii="Consolas" w:hAnsi="Consolas"/>
                <w:color w:val="000000"/>
                <w:sz w:val="19"/>
              </w:rPr>
              <w:t>data/​agents.ts</w:t>
            </w:r>
            <w:r>
              <w:rPr>
                <w:color w:val="000000"/>
                <w:sz w:val="20"/>
              </w:rPr>
              <w:t xml:space="preserve">, </w:t>
            </w:r>
            <w:r>
              <w:rPr>
                <w:rFonts w:ascii="Consolas" w:hAnsi="Consolas"/>
                <w:color w:val="000000"/>
                <w:sz w:val="19"/>
              </w:rPr>
              <w:t>views/​AgentProfile.tsx</w:t>
            </w:r>
          </w:p>
        </w:tc>
        <w:tc>
          <w:tcPr>
            <w:tcW w:type="dxa" w:w="6048"/>
            <w:vAlign w:val="center"/>
            <w:shd w:fill="FFFFFF"/>
            <w:tcMar>
              <w:top w:w="80" w:type="dxa"/>
              <w:bottom w:w="80" w:type="dxa"/>
              <w:left w:w="90" w:type="dxa"/>
              <w:right w:w="90" w:type="dxa"/>
            </w:tcMar>
          </w:tcPr>
          <w:p>
            <w:pPr>
              <w:spacing w:after="0" w:line="250" w:lineRule="auto"/>
            </w:pPr>
            <w:r>
              <w:rPr>
                <w:color w:val="000000"/>
                <w:sz w:val="20"/>
              </w:rPr>
              <w:t>Updated roster, runtime health and correct lead work package</w:t>
            </w:r>
          </w:p>
        </w:tc>
      </w:tr>
      <w:tr>
        <w:trPr>
          <w:cantSplit/>
        </w:trPr>
        <w:tc>
          <w:tcPr>
            <w:tcW w:type="dxa" w:w="4032"/>
            <w:vAlign w:val="center"/>
            <w:shd w:fill="F3F6F8"/>
            <w:tcMar>
              <w:top w:w="80" w:type="dxa"/>
              <w:bottom w:w="80" w:type="dxa"/>
              <w:left w:w="90" w:type="dxa"/>
              <w:right w:w="90" w:type="dxa"/>
            </w:tcMar>
          </w:tcPr>
          <w:p>
            <w:pPr>
              <w:spacing w:after="0" w:line="250" w:lineRule="auto"/>
            </w:pPr>
            <w:r>
              <w:rPr>
                <w:rFonts w:ascii="Consolas" w:hAnsi="Consolas"/>
                <w:color w:val="000000"/>
                <w:sz w:val="19"/>
              </w:rPr>
              <w:t>lib/​i18n.tsx</w:t>
            </w:r>
            <w:r>
              <w:rPr>
                <w:color w:val="000000"/>
                <w:sz w:val="20"/>
              </w:rPr>
              <w:t xml:space="preserve">, </w:t>
            </w:r>
            <w:r>
              <w:rPr>
                <w:rFonts w:ascii="Consolas" w:hAnsi="Consolas"/>
                <w:color w:val="000000"/>
                <w:sz w:val="19"/>
              </w:rPr>
              <w:t>retranslate.ts</w:t>
            </w:r>
            <w:r>
              <w:rPr>
                <w:color w:val="000000"/>
                <w:sz w:val="20"/>
              </w:rPr>
              <w:t xml:space="preserve">, </w:t>
            </w:r>
            <w:r>
              <w:rPr>
                <w:rFonts w:ascii="Consolas" w:hAnsi="Consolas"/>
                <w:color w:val="000000"/>
                <w:sz w:val="19"/>
              </w:rPr>
              <w:t>prDoc.ts</w:t>
            </w:r>
          </w:p>
        </w:tc>
        <w:tc>
          <w:tcPr>
            <w:tcW w:type="dxa" w:w="6048"/>
            <w:vAlign w:val="center"/>
            <w:shd w:fill="F3F6F8"/>
            <w:tcMar>
              <w:top w:w="80" w:type="dxa"/>
              <w:bottom w:w="80" w:type="dxa"/>
              <w:left w:w="90" w:type="dxa"/>
              <w:right w:w="90" w:type="dxa"/>
            </w:tcMar>
          </w:tcPr>
          <w:p>
            <w:pPr>
              <w:spacing w:after="0" w:line="250" w:lineRule="auto"/>
            </w:pPr>
            <w:r>
              <w:rPr>
                <w:color w:val="000000"/>
                <w:sz w:val="20"/>
              </w:rPr>
              <w:t>New keys and identity scrub across all document languages</w:t>
            </w:r>
          </w:p>
        </w:tc>
      </w:tr>
      <w:tr>
        <w:trPr>
          <w:cantSplit/>
        </w:trPr>
        <w:tc>
          <w:tcPr>
            <w:tcW w:type="dxa" w:w="4032"/>
            <w:vAlign w:val="center"/>
            <w:shd w:fill="FFFFFF"/>
            <w:tcMar>
              <w:top w:w="80" w:type="dxa"/>
              <w:bottom w:w="80" w:type="dxa"/>
              <w:left w:w="90" w:type="dxa"/>
              <w:right w:w="90" w:type="dxa"/>
            </w:tcMar>
          </w:tcPr>
          <w:p>
            <w:pPr>
              <w:spacing w:after="0" w:line="250" w:lineRule="auto"/>
            </w:pPr>
            <w:r>
              <w:rPr>
                <w:rFonts w:ascii="Consolas" w:hAnsi="Consolas"/>
                <w:color w:val="000000"/>
                <w:sz w:val="19"/>
              </w:rPr>
              <w:t>lib/​exportDoc.ts</w:t>
            </w:r>
          </w:p>
        </w:tc>
        <w:tc>
          <w:tcPr>
            <w:tcW w:type="dxa" w:w="6048"/>
            <w:vAlign w:val="center"/>
            <w:shd w:fill="FFFFFF"/>
            <w:tcMar>
              <w:top w:w="80" w:type="dxa"/>
              <w:bottom w:w="80" w:type="dxa"/>
              <w:left w:w="90" w:type="dxa"/>
              <w:right w:w="90" w:type="dxa"/>
            </w:tcMar>
          </w:tcPr>
          <w:p>
            <w:pPr>
              <w:spacing w:after="0" w:line="250" w:lineRule="auto"/>
            </w:pPr>
            <w:r>
              <w:rPr>
                <w:color w:val="000000"/>
                <w:sz w:val="20"/>
              </w:rPr>
              <w:t>Export current canonical document state with neutral names</w:t>
            </w:r>
          </w:p>
        </w:tc>
      </w:tr>
      <w:tr>
        <w:trPr>
          <w:cantSplit/>
        </w:trPr>
        <w:tc>
          <w:tcPr>
            <w:tcW w:type="dxa" w:w="4032"/>
            <w:vAlign w:val="center"/>
            <w:shd w:fill="F3F6F8"/>
            <w:tcMar>
              <w:top w:w="80" w:type="dxa"/>
              <w:bottom w:w="80" w:type="dxa"/>
              <w:left w:w="90" w:type="dxa"/>
              <w:right w:w="90" w:type="dxa"/>
            </w:tcMar>
          </w:tcPr>
          <w:p>
            <w:pPr>
              <w:spacing w:after="0" w:line="250" w:lineRule="auto"/>
            </w:pPr>
            <w:r>
              <w:rPr>
                <w:rFonts w:ascii="Consolas" w:hAnsi="Consolas"/>
                <w:color w:val="000000"/>
                <w:sz w:val="19"/>
              </w:rPr>
              <w:t>DEMO-SCRIPT.md</w:t>
            </w:r>
            <w:r>
              <w:rPr>
                <w:color w:val="000000"/>
                <w:sz w:val="20"/>
              </w:rPr>
              <w:t xml:space="preserve">, </w:t>
            </w:r>
            <w:r>
              <w:rPr>
                <w:rFonts w:ascii="Consolas" w:hAnsi="Consolas"/>
                <w:color w:val="000000"/>
                <w:sz w:val="19"/>
              </w:rPr>
              <w:t>docs/​PRD.md</w:t>
            </w:r>
          </w:p>
        </w:tc>
        <w:tc>
          <w:tcPr>
            <w:tcW w:type="dxa" w:w="6048"/>
            <w:vAlign w:val="center"/>
            <w:shd w:fill="F3F6F8"/>
            <w:tcMar>
              <w:top w:w="80" w:type="dxa"/>
              <w:bottom w:w="80" w:type="dxa"/>
              <w:left w:w="90" w:type="dxa"/>
              <w:right w:w="90" w:type="dxa"/>
            </w:tcMar>
          </w:tcPr>
          <w:p>
            <w:pPr>
              <w:spacing w:after="0" w:line="250" w:lineRule="auto"/>
            </w:pPr>
            <w:r>
              <w:rPr>
                <w:color w:val="000000"/>
                <w:sz w:val="20"/>
              </w:rPr>
              <w:t>Replace old stories and reconcile documentation after build</w:t>
            </w:r>
          </w:p>
        </w:tc>
      </w:tr>
    </w:tbl>
    <w:p>
      <w:pPr>
        <w:spacing w:after="20"/>
      </w:pPr>
    </w:p>
    <w:p>
      <w:pPr>
        <w:pStyle w:val="Heading2"/>
      </w:pPr>
      <w:r>
        <w:t>18 2 New shared components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744"/>
      </w:tblGrid>
      <w:tr>
        <w:trPr>
          <w:cantSplit/>
          <w:tblHeader/>
        </w:trPr>
        <w:tc>
          <w:tcPr>
            <w:tcW w:type="dxa" w:w="2376"/>
            <w:vAlign w:val="center"/>
            <w:shd w:fill="18354B"/>
            <w:tcMar>
              <w:top w:w="80" w:type="dxa"/>
              <w:bottom w:w="80" w:type="dxa"/>
              <w:left w:w="90" w:type="dxa"/>
              <w:right w:w="90" w:type="dxa"/>
            </w:tcMar>
          </w:tcPr>
          <w:p>
            <w:pPr>
              <w:keepNext/>
              <w:spacing w:after="0" w:line="250" w:lineRule="auto"/>
            </w:pPr>
            <w:r>
              <w:rPr>
                <w:b/>
                <w:color w:val="FFFFFF"/>
                <w:sz w:val="20"/>
              </w:rPr>
              <w:t>Component</w:t>
            </w:r>
          </w:p>
        </w:tc>
        <w:tc>
          <w:tcPr>
            <w:tcW w:type="dxa" w:w="3960"/>
            <w:vAlign w:val="center"/>
            <w:shd w:fill="18354B"/>
            <w:tcMar>
              <w:top w:w="80" w:type="dxa"/>
              <w:bottom w:w="80" w:type="dxa"/>
              <w:left w:w="90" w:type="dxa"/>
              <w:right w:w="90" w:type="dxa"/>
            </w:tcMar>
          </w:tcPr>
          <w:p>
            <w:pPr>
              <w:keepNext/>
              <w:spacing w:after="0" w:line="250" w:lineRule="auto"/>
            </w:pPr>
            <w:r>
              <w:rPr>
                <w:b/>
                <w:color w:val="FFFFFF"/>
                <w:sz w:val="20"/>
              </w:rPr>
              <w:t>Existing pattern to inherit</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Function</w:t>
            </w:r>
          </w:p>
        </w:tc>
      </w:tr>
      <w:tr>
        <w:trPr>
          <w:cantSplit/>
        </w:trPr>
        <w:tc>
          <w:tcPr>
            <w:tcW w:type="dxa" w:w="2376"/>
            <w:vAlign w:val="center"/>
            <w:shd w:fill="FFFFFF"/>
            <w:tcMar>
              <w:top w:w="80" w:type="dxa"/>
              <w:bottom w:w="80" w:type="dxa"/>
              <w:left w:w="90" w:type="dxa"/>
              <w:right w:w="90" w:type="dxa"/>
            </w:tcMar>
          </w:tcPr>
          <w:p>
            <w:pPr>
              <w:spacing w:after="0" w:line="250" w:lineRule="auto"/>
            </w:pPr>
            <w:r>
              <w:rPr>
                <w:rFonts w:ascii="Consolas" w:hAnsi="Consolas"/>
                <w:color w:val="000000"/>
                <w:sz w:val="19"/>
              </w:rPr>
              <w:t>EqualHeightCardRow</w:t>
            </w:r>
          </w:p>
        </w:tc>
        <w:tc>
          <w:tcPr>
            <w:tcW w:type="dxa" w:w="3960"/>
            <w:vAlign w:val="center"/>
            <w:shd w:fill="FFFFFF"/>
            <w:tcMar>
              <w:top w:w="80" w:type="dxa"/>
              <w:bottom w:w="80" w:type="dxa"/>
              <w:left w:w="90" w:type="dxa"/>
              <w:right w:w="90" w:type="dxa"/>
            </w:tcMar>
          </w:tcPr>
          <w:p>
            <w:pPr>
              <w:spacing w:after="0" w:line="250" w:lineRule="auto"/>
            </w:pPr>
            <w:r>
              <w:rPr>
                <w:color w:val="000000"/>
                <w:sz w:val="20"/>
              </w:rPr>
              <w:t xml:space="preserve">Existing grid and </w:t>
            </w:r>
            <w:r>
              <w:rPr>
                <w:rFonts w:ascii="Consolas" w:hAnsi="Consolas"/>
                <w:color w:val="000000"/>
                <w:sz w:val="19"/>
              </w:rPr>
              <w:t>Panel</w:t>
            </w:r>
          </w:p>
        </w:tc>
        <w:tc>
          <w:tcPr>
            <w:tcW w:type="dxa" w:w="3744"/>
            <w:vAlign w:val="center"/>
            <w:shd w:fill="FFFFFF"/>
            <w:tcMar>
              <w:top w:w="80" w:type="dxa"/>
              <w:bottom w:w="80" w:type="dxa"/>
              <w:left w:w="90" w:type="dxa"/>
              <w:right w:w="90" w:type="dxa"/>
            </w:tcMar>
          </w:tcPr>
          <w:p>
            <w:pPr>
              <w:spacing w:after="0" w:line="250" w:lineRule="auto"/>
            </w:pPr>
            <w:r>
              <w:rPr>
                <w:color w:val="000000"/>
                <w:sz w:val="20"/>
              </w:rPr>
              <w:t>UI01 alignment and responsive row layout</w:t>
            </w:r>
          </w:p>
        </w:tc>
      </w:tr>
      <w:tr>
        <w:trPr>
          <w:cantSplit/>
        </w:trPr>
        <w:tc>
          <w:tcPr>
            <w:tcW w:type="dxa" w:w="2376"/>
            <w:vAlign w:val="center"/>
            <w:shd w:fill="F3F6F8"/>
            <w:tcMar>
              <w:top w:w="80" w:type="dxa"/>
              <w:bottom w:w="80" w:type="dxa"/>
              <w:left w:w="90" w:type="dxa"/>
              <w:right w:w="90" w:type="dxa"/>
            </w:tcMar>
          </w:tcPr>
          <w:p>
            <w:pPr>
              <w:spacing w:after="0" w:line="250" w:lineRule="auto"/>
            </w:pPr>
            <w:r>
              <w:rPr>
                <w:rFonts w:ascii="Consolas" w:hAnsi="Consolas"/>
                <w:color w:val="000000"/>
                <w:sz w:val="19"/>
              </w:rPr>
              <w:t>OneLineText</w:t>
            </w:r>
          </w:p>
        </w:tc>
        <w:tc>
          <w:tcPr>
            <w:tcW w:type="dxa" w:w="3960"/>
            <w:vAlign w:val="center"/>
            <w:shd w:fill="F3F6F8"/>
            <w:tcMar>
              <w:top w:w="80" w:type="dxa"/>
              <w:bottom w:w="80" w:type="dxa"/>
              <w:left w:w="90" w:type="dxa"/>
              <w:right w:w="90" w:type="dxa"/>
            </w:tcMar>
          </w:tcPr>
          <w:p>
            <w:pPr>
              <w:spacing w:after="0" w:line="250" w:lineRule="auto"/>
            </w:pPr>
            <w:r>
              <w:rPr>
                <w:color w:val="000000"/>
                <w:sz w:val="20"/>
              </w:rPr>
              <w:t>Current text/token styles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UI02 fit, secondary truncation and full reader</w:t>
            </w:r>
          </w:p>
        </w:tc>
      </w:tr>
      <w:tr>
        <w:trPr>
          <w:cantSplit/>
        </w:trPr>
        <w:tc>
          <w:tcPr>
            <w:tcW w:type="dxa" w:w="2376"/>
            <w:vAlign w:val="center"/>
            <w:shd w:fill="FFFFFF"/>
            <w:tcMar>
              <w:top w:w="80" w:type="dxa"/>
              <w:bottom w:w="80" w:type="dxa"/>
              <w:left w:w="90" w:type="dxa"/>
              <w:right w:w="90" w:type="dxa"/>
            </w:tcMar>
          </w:tcPr>
          <w:p>
            <w:pPr>
              <w:spacing w:after="0" w:line="250" w:lineRule="auto"/>
            </w:pPr>
            <w:r>
              <w:rPr>
                <w:rFonts w:ascii="Consolas" w:hAnsi="Consolas"/>
                <w:color w:val="000000"/>
                <w:sz w:val="19"/>
              </w:rPr>
              <w:t>ActionButton</w:t>
            </w:r>
          </w:p>
        </w:tc>
        <w:tc>
          <w:tcPr>
            <w:tcW w:type="dxa" w:w="3960"/>
            <w:vAlign w:val="center"/>
            <w:shd w:fill="FFFFFF"/>
            <w:tcMar>
              <w:top w:w="80" w:type="dxa"/>
              <w:bottom w:w="80" w:type="dxa"/>
              <w:left w:w="90" w:type="dxa"/>
              <w:right w:w="90" w:type="dxa"/>
            </w:tcMar>
          </w:tcPr>
          <w:p>
            <w:pPr>
              <w:spacing w:after="0" w:line="250" w:lineRule="auto"/>
            </w:pPr>
            <w:r>
              <w:rPr>
                <w:color w:val="000000"/>
                <w:sz w:val="20"/>
              </w:rPr>
              <w:t>Existing PillButton and motion</w:t>
            </w:r>
          </w:p>
        </w:tc>
        <w:tc>
          <w:tcPr>
            <w:tcW w:type="dxa" w:w="3744"/>
            <w:vAlign w:val="center"/>
            <w:shd w:fill="FFFFFF"/>
            <w:tcMar>
              <w:top w:w="80" w:type="dxa"/>
              <w:bottom w:w="80" w:type="dxa"/>
              <w:left w:w="90" w:type="dxa"/>
              <w:right w:w="90" w:type="dxa"/>
            </w:tcMar>
          </w:tcPr>
          <w:p>
            <w:pPr>
              <w:spacing w:after="0" w:line="250" w:lineRule="auto"/>
            </w:pPr>
            <w:r>
              <w:rPr>
                <w:color w:val="000000"/>
                <w:sz w:val="20"/>
              </w:rPr>
              <w:t>Shared press/hover/loading/result feedback</w:t>
            </w:r>
          </w:p>
        </w:tc>
      </w:tr>
      <w:tr>
        <w:trPr>
          <w:cantSplit/>
        </w:trPr>
        <w:tc>
          <w:tcPr>
            <w:tcW w:type="dxa" w:w="2376"/>
            <w:vAlign w:val="center"/>
            <w:shd w:fill="F3F6F8"/>
            <w:tcMar>
              <w:top w:w="80" w:type="dxa"/>
              <w:bottom w:w="80" w:type="dxa"/>
              <w:left w:w="90" w:type="dxa"/>
              <w:right w:w="90" w:type="dxa"/>
            </w:tcMar>
          </w:tcPr>
          <w:p>
            <w:pPr>
              <w:spacing w:after="0" w:line="250" w:lineRule="auto"/>
            </w:pPr>
            <w:r>
              <w:rPr>
                <w:rFonts w:ascii="Consolas" w:hAnsi="Consolas"/>
                <w:color w:val="000000"/>
                <w:sz w:val="19"/>
              </w:rPr>
              <w:t>GateSummary</w:t>
            </w:r>
          </w:p>
        </w:tc>
        <w:tc>
          <w:tcPr>
            <w:tcW w:type="dxa" w:w="3960"/>
            <w:vAlign w:val="center"/>
            <w:shd w:fill="F3F6F8"/>
            <w:tcMar>
              <w:top w:w="80" w:type="dxa"/>
              <w:bottom w:w="80" w:type="dxa"/>
              <w:left w:w="90" w:type="dxa"/>
              <w:right w:w="90" w:type="dxa"/>
            </w:tcMar>
          </w:tcPr>
          <w:p>
            <w:pPr>
              <w:spacing w:after="0" w:line="250" w:lineRule="auto"/>
            </w:pPr>
            <w:r>
              <w:rPr>
                <w:color w:val="000000"/>
                <w:sz w:val="20"/>
              </w:rPr>
              <w:t xml:space="preserve">Existing </w:t>
            </w:r>
            <w:r>
              <w:rPr>
                <w:rFonts w:ascii="Consolas" w:hAnsi="Consolas"/>
                <w:color w:val="000000"/>
                <w:sz w:val="19"/>
              </w:rPr>
              <w:t>Scorecard</w:t>
            </w:r>
            <w:r>
              <w:rPr>
                <w:color w:val="000000"/>
                <w:sz w:val="20"/>
              </w:rPr>
              <w:t xml:space="preserve">, </w:t>
            </w:r>
            <w:r>
              <w:rPr>
                <w:rFonts w:ascii="Consolas" w:hAnsi="Consolas"/>
                <w:color w:val="000000"/>
                <w:sz w:val="19"/>
              </w:rPr>
              <w:t>AutonomyChip</w:t>
            </w:r>
          </w:p>
        </w:tc>
        <w:tc>
          <w:tcPr>
            <w:tcW w:type="dxa" w:w="3744"/>
            <w:vAlign w:val="center"/>
            <w:shd w:fill="F3F6F8"/>
            <w:tcMar>
              <w:top w:w="80" w:type="dxa"/>
              <w:bottom w:w="80" w:type="dxa"/>
              <w:left w:w="90" w:type="dxa"/>
              <w:right w:w="90" w:type="dxa"/>
            </w:tcMar>
          </w:tcPr>
          <w:p>
            <w:pPr>
              <w:spacing w:after="0" w:line="250" w:lineRule="auto"/>
            </w:pPr>
            <w:r>
              <w:rPr>
                <w:color w:val="000000"/>
                <w:sz w:val="20"/>
              </w:rPr>
              <w:t>Confidence, controls, lane and blocked action</w:t>
            </w:r>
          </w:p>
        </w:tc>
      </w:tr>
      <w:tr>
        <w:trPr>
          <w:cantSplit/>
        </w:trPr>
        <w:tc>
          <w:tcPr>
            <w:tcW w:type="dxa" w:w="2376"/>
            <w:vAlign w:val="center"/>
            <w:shd w:fill="FFFFFF"/>
            <w:tcMar>
              <w:top w:w="80" w:type="dxa"/>
              <w:bottom w:w="80" w:type="dxa"/>
              <w:left w:w="90" w:type="dxa"/>
              <w:right w:w="90" w:type="dxa"/>
            </w:tcMar>
          </w:tcPr>
          <w:p>
            <w:pPr>
              <w:spacing w:after="0" w:line="250" w:lineRule="auto"/>
            </w:pPr>
            <w:r>
              <w:rPr>
                <w:rFonts w:ascii="Consolas" w:hAnsi="Consolas"/>
                <w:color w:val="000000"/>
                <w:sz w:val="19"/>
              </w:rPr>
              <w:t>ApprovalTaskCard</w:t>
            </w:r>
          </w:p>
        </w:tc>
        <w:tc>
          <w:tcPr>
            <w:tcW w:type="dxa" w:w="3960"/>
            <w:vAlign w:val="center"/>
            <w:shd w:fill="FFFFFF"/>
            <w:tcMar>
              <w:top w:w="80" w:type="dxa"/>
              <w:bottom w:w="80" w:type="dxa"/>
              <w:left w:w="90" w:type="dxa"/>
              <w:right w:w="90" w:type="dxa"/>
            </w:tcMar>
          </w:tcPr>
          <w:p>
            <w:pPr>
              <w:spacing w:after="0" w:line="250" w:lineRule="auto"/>
            </w:pPr>
            <w:r>
              <w:rPr>
                <w:rFonts w:ascii="Consolas" w:hAnsi="Consolas"/>
                <w:color w:val="000000"/>
                <w:sz w:val="19"/>
              </w:rPr>
              <w:t>BudgetApprovalSignable</w:t>
            </w:r>
          </w:p>
        </w:tc>
        <w:tc>
          <w:tcPr>
            <w:tcW w:type="dxa" w:w="3744"/>
            <w:vAlign w:val="center"/>
            <w:shd w:fill="FFFFFF"/>
            <w:tcMar>
              <w:top w:w="80" w:type="dxa"/>
              <w:bottom w:w="80" w:type="dxa"/>
              <w:left w:w="90" w:type="dxa"/>
              <w:right w:w="90" w:type="dxa"/>
            </w:tcMar>
          </w:tcPr>
          <w:p>
            <w:pPr>
              <w:spacing w:after="0" w:line="250" w:lineRule="auto"/>
            </w:pPr>
            <w:r>
              <w:rPr>
                <w:color w:val="000000"/>
                <w:sz w:val="20"/>
              </w:rPr>
              <w:t>Role-specific decision with evidence and reason</w:t>
            </w:r>
          </w:p>
        </w:tc>
      </w:tr>
      <w:tr>
        <w:trPr>
          <w:cantSplit/>
        </w:trPr>
        <w:tc>
          <w:tcPr>
            <w:tcW w:type="dxa" w:w="2376"/>
            <w:vAlign w:val="center"/>
            <w:shd w:fill="F3F6F8"/>
            <w:tcMar>
              <w:top w:w="80" w:type="dxa"/>
              <w:bottom w:w="80" w:type="dxa"/>
              <w:left w:w="90" w:type="dxa"/>
              <w:right w:w="90" w:type="dxa"/>
            </w:tcMar>
          </w:tcPr>
          <w:p>
            <w:pPr>
              <w:spacing w:after="0" w:line="250" w:lineRule="auto"/>
            </w:pPr>
            <w:r>
              <w:rPr>
                <w:rFonts w:ascii="Consolas" w:hAnsi="Consolas"/>
                <w:color w:val="000000"/>
                <w:sz w:val="19"/>
              </w:rPr>
              <w:t>CaseTimeline</w:t>
            </w:r>
          </w:p>
        </w:tc>
        <w:tc>
          <w:tcPr>
            <w:tcW w:type="dxa" w:w="3960"/>
            <w:vAlign w:val="center"/>
            <w:shd w:fill="F3F6F8"/>
            <w:tcMar>
              <w:top w:w="80" w:type="dxa"/>
              <w:bottom w:w="80" w:type="dxa"/>
              <w:left w:w="90" w:type="dxa"/>
              <w:right w:w="90" w:type="dxa"/>
            </w:tcMar>
          </w:tcPr>
          <w:p>
            <w:pPr>
              <w:spacing w:after="0" w:line="250" w:lineRule="auto"/>
            </w:pPr>
            <w:r>
              <w:rPr>
                <w:rFonts w:ascii="Consolas" w:hAnsi="Consolas"/>
                <w:color w:val="000000"/>
                <w:sz w:val="19"/>
              </w:rPr>
              <w:t>RunStepsRail</w:t>
            </w:r>
            <w:r>
              <w:rPr>
                <w:color w:val="000000"/>
                <w:sz w:val="20"/>
              </w:rPr>
              <w:t xml:space="preserve">, </w:t>
            </w:r>
            <w:r>
              <w:rPr>
                <w:rFonts w:ascii="Consolas" w:hAnsi="Consolas"/>
                <w:color w:val="000000"/>
                <w:sz w:val="19"/>
              </w:rPr>
              <w:t>ActivityLog</w:t>
            </w:r>
          </w:p>
        </w:tc>
        <w:tc>
          <w:tcPr>
            <w:tcW w:type="dxa" w:w="3744"/>
            <w:vAlign w:val="center"/>
            <w:shd w:fill="F3F6F8"/>
            <w:tcMar>
              <w:top w:w="80" w:type="dxa"/>
              <w:bottom w:w="80" w:type="dxa"/>
              <w:left w:w="90" w:type="dxa"/>
              <w:right w:w="90" w:type="dxa"/>
            </w:tcMar>
          </w:tcPr>
          <w:p>
            <w:pPr>
              <w:spacing w:after="0" w:line="250" w:lineRule="auto"/>
            </w:pPr>
            <w:r>
              <w:rPr>
                <w:color w:val="000000"/>
                <w:sz w:val="20"/>
              </w:rPr>
              <w:t>Stable case/work-package history</w:t>
            </w:r>
          </w:p>
        </w:tc>
      </w:tr>
      <w:tr>
        <w:trPr>
          <w:cantSplit/>
        </w:trPr>
        <w:tc>
          <w:tcPr>
            <w:tcW w:type="dxa" w:w="2376"/>
            <w:vAlign w:val="center"/>
            <w:shd w:fill="FFFFFF"/>
            <w:tcMar>
              <w:top w:w="80" w:type="dxa"/>
              <w:bottom w:w="80" w:type="dxa"/>
              <w:left w:w="90" w:type="dxa"/>
              <w:right w:w="90" w:type="dxa"/>
            </w:tcMar>
          </w:tcPr>
          <w:p>
            <w:pPr>
              <w:spacing w:after="0" w:line="250" w:lineRule="auto"/>
            </w:pPr>
            <w:r>
              <w:rPr>
                <w:rFonts w:ascii="Consolas" w:hAnsi="Consolas"/>
                <w:color w:val="000000"/>
                <w:sz w:val="19"/>
              </w:rPr>
              <w:t>ValueSignoffCard</w:t>
            </w:r>
          </w:p>
        </w:tc>
        <w:tc>
          <w:tcPr>
            <w:tcW w:type="dxa" w:w="3960"/>
            <w:vAlign w:val="center"/>
            <w:shd w:fill="FFFFFF"/>
            <w:tcMar>
              <w:top w:w="80" w:type="dxa"/>
              <w:bottom w:w="80" w:type="dxa"/>
              <w:left w:w="90" w:type="dxa"/>
              <w:right w:w="90" w:type="dxa"/>
            </w:tcMar>
          </w:tcPr>
          <w:p>
            <w:pPr>
              <w:spacing w:after="0" w:line="250" w:lineRule="auto"/>
            </w:pPr>
            <w:r>
              <w:rPr>
                <w:color w:val="000000"/>
                <w:sz w:val="20"/>
              </w:rPr>
              <w:t>Existing matching/result panels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Finance evidence review and signature</w:t>
            </w:r>
          </w:p>
        </w:tc>
      </w:tr>
      <w:tr>
        <w:trPr>
          <w:cantSplit/>
        </w:trPr>
        <w:tc>
          <w:tcPr>
            <w:tcW w:type="dxa" w:w="2376"/>
            <w:vAlign w:val="center"/>
            <w:shd w:fill="F3F6F8"/>
            <w:tcMar>
              <w:top w:w="80" w:type="dxa"/>
              <w:bottom w:w="80" w:type="dxa"/>
              <w:left w:w="90" w:type="dxa"/>
              <w:right w:w="90" w:type="dxa"/>
            </w:tcMar>
          </w:tcPr>
          <w:p>
            <w:pPr>
              <w:spacing w:after="0" w:line="250" w:lineRule="auto"/>
            </w:pPr>
            <w:r>
              <w:rPr>
                <w:rFonts w:ascii="Consolas" w:hAnsi="Consolas"/>
                <w:color w:val="000000"/>
                <w:sz w:val="19"/>
              </w:rPr>
              <w:t>PresenterControls</w:t>
            </w:r>
          </w:p>
        </w:tc>
        <w:tc>
          <w:tcPr>
            <w:tcW w:type="dxa" w:w="3960"/>
            <w:vAlign w:val="center"/>
            <w:shd w:fill="F3F6F8"/>
            <w:tcMar>
              <w:top w:w="80" w:type="dxa"/>
              <w:bottom w:w="80" w:type="dxa"/>
              <w:left w:w="90" w:type="dxa"/>
              <w:right w:w="90" w:type="dxa"/>
            </w:tcMar>
          </w:tcPr>
          <w:p>
            <w:pPr>
              <w:spacing w:after="0" w:line="250" w:lineRule="auto"/>
            </w:pPr>
            <w:r>
              <w:rPr>
                <w:color w:val="000000"/>
                <w:sz w:val="20"/>
              </w:rPr>
              <w:t>Existing modal/settings conventions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Story launch, role, clock, failure and reset</w:t>
            </w:r>
          </w:p>
        </w:tc>
      </w:tr>
    </w:tbl>
    <w:p>
      <w:pPr>
        <w:spacing w:after="20"/>
      </w:pPr>
    </w:p>
    <w:p>
      <w:r>
        <w:rPr>
          <w:color w:val="000000"/>
        </w:rPr>
        <w:t xml:space="preserve">Story-specific new components are listed beat by beat in section 13. Build them as typed data-driven compositions of these shared pieces. </w:t>
      </w:r>
      <w:r>
        <w:rPr>
          <w:rFonts w:ascii="Consolas" w:hAnsi="Consolas"/>
          <w:color w:val="000000"/>
          <w:sz w:val="20"/>
        </w:rPr>
        <w:t>LicenceEvidencePanel</w:t>
      </w:r>
      <w:r>
        <w:rPr>
          <w:color w:val="000000"/>
        </w:rPr>
        <w:t xml:space="preserve"> must not become an unrelated SaaS dashboard. </w:t>
      </w:r>
      <w:r>
        <w:rPr>
          <w:rFonts w:ascii="Consolas" w:hAnsi="Consolas"/>
          <w:color w:val="000000"/>
          <w:sz w:val="20"/>
        </w:rPr>
        <w:t>ClauseCompareGrid</w:t>
      </w:r>
      <w:r>
        <w:rPr>
          <w:color w:val="000000"/>
        </w:rPr>
        <w:t xml:space="preserve"> must visually relate to the existing match grid. </w:t>
      </w:r>
      <w:r>
        <w:rPr>
          <w:rFonts w:ascii="Consolas" w:hAnsi="Consolas"/>
          <w:color w:val="000000"/>
          <w:sz w:val="20"/>
        </w:rPr>
        <w:t>PanelFitCompare</w:t>
      </w:r>
      <w:r>
        <w:rPr>
          <w:color w:val="000000"/>
        </w:rPr>
        <w:t xml:space="preserve"> and </w:t>
      </w:r>
      <w:r>
        <w:rPr>
          <w:rFonts w:ascii="Consolas" w:hAnsi="Consolas"/>
          <w:color w:val="000000"/>
          <w:sz w:val="20"/>
        </w:rPr>
        <w:t>EquivalentCandidateCard</w:t>
      </w:r>
      <w:r>
        <w:rPr>
          <w:color w:val="000000"/>
        </w:rPr>
        <w:t xml:space="preserve"> inherit the current choice-card hierarchy. </w:t>
      </w:r>
      <w:r>
        <w:rPr>
          <w:rFonts w:ascii="Consolas" w:hAnsi="Consolas"/>
          <w:color w:val="000000"/>
          <w:sz w:val="20"/>
        </w:rPr>
        <w:t>NegotiationPositionCard</w:t>
      </w:r>
      <w:r>
        <w:rPr>
          <w:color w:val="000000"/>
        </w:rPr>
        <w:t xml:space="preserve"> inherits short metric/evidence rows and email-draft styling. Source-document renderers keep the existing ERP-document structure.</w:t>
      </w:r>
    </w:p>
    <w:p>
      <w:pPr>
        <w:pStyle w:val="Heading2"/>
      </w:pPr>
      <w:r>
        <w:t>18 3 Proposed module boundaries</w:t>
      </w:r>
    </w:p>
    <w:p>
      <w:r>
        <w:rPr>
          <w:color w:val="000000"/>
        </w:rPr>
        <w:t xml:space="preserve">Add </w:t>
      </w:r>
      <w:r>
        <w:rPr>
          <w:rFonts w:ascii="Consolas" w:hAnsi="Consolas"/>
          <w:color w:val="000000"/>
          <w:sz w:val="20"/>
        </w:rPr>
        <w:t>domain/​types.ts</w:t>
      </w:r>
      <w:r>
        <w:rPr>
          <w:color w:val="000000"/>
        </w:rPr>
        <w:t xml:space="preserve">, </w:t>
      </w:r>
      <w:r>
        <w:rPr>
          <w:rFonts w:ascii="Consolas" w:hAnsi="Consolas"/>
          <w:color w:val="000000"/>
          <w:sz w:val="20"/>
        </w:rPr>
        <w:t>domain/​evaluateGate.ts</w:t>
      </w:r>
      <w:r>
        <w:rPr>
          <w:color w:val="000000"/>
        </w:rPr>
        <w:t xml:space="preserve">, </w:t>
      </w:r>
      <w:r>
        <w:rPr>
          <w:rFonts w:ascii="Consolas" w:hAnsi="Consolas"/>
          <w:color w:val="000000"/>
          <w:sz w:val="20"/>
        </w:rPr>
        <w:t>domain/​commands.ts</w:t>
      </w:r>
      <w:r>
        <w:rPr>
          <w:color w:val="000000"/>
        </w:rPr>
        <w:t xml:space="preserve">, </w:t>
      </w:r>
      <w:r>
        <w:rPr>
          <w:rFonts w:ascii="Consolas" w:hAnsi="Consolas"/>
          <w:color w:val="000000"/>
          <w:sz w:val="20"/>
        </w:rPr>
        <w:t>domain/​reducer.ts</w:t>
      </w:r>
      <w:r>
        <w:rPr>
          <w:color w:val="000000"/>
        </w:rPr>
        <w:t xml:space="preserve">, </w:t>
      </w:r>
      <w:r>
        <w:rPr>
          <w:rFonts w:ascii="Consolas" w:hAnsi="Consolas"/>
          <w:color w:val="000000"/>
          <w:sz w:val="20"/>
        </w:rPr>
        <w:t>domain/​selectors.ts</w:t>
      </w:r>
      <w:r>
        <w:rPr>
          <w:color w:val="000000"/>
        </w:rPr>
        <w:t xml:space="preserve"> and </w:t>
      </w:r>
      <w:r>
        <w:rPr>
          <w:rFonts w:ascii="Consolas" w:hAnsi="Consolas"/>
          <w:color w:val="000000"/>
          <w:sz w:val="20"/>
        </w:rPr>
        <w:t>domain/​value.ts</w:t>
      </w:r>
      <w:r>
        <w:rPr>
          <w:color w:val="000000"/>
        </w:rPr>
        <w:t xml:space="preserve">. Add </w:t>
      </w:r>
      <w:r>
        <w:rPr>
          <w:rFonts w:ascii="Consolas" w:hAnsi="Consolas"/>
          <w:color w:val="000000"/>
          <w:sz w:val="20"/>
        </w:rPr>
        <w:t>data/​clientProfile.ts</w:t>
      </w:r>
      <w:r>
        <w:rPr>
          <w:color w:val="000000"/>
        </w:rPr>
        <w:t xml:space="preserve">, </w:t>
      </w:r>
      <w:r>
        <w:rPr>
          <w:rFonts w:ascii="Consolas" w:hAnsi="Consolas"/>
          <w:color w:val="000000"/>
          <w:sz w:val="20"/>
        </w:rPr>
        <w:t>data/​masterData.ts</w:t>
      </w:r>
      <w:r>
        <w:rPr>
          <w:color w:val="000000"/>
        </w:rPr>
        <w:t xml:space="preserve">, </w:t>
      </w:r>
      <w:r>
        <w:rPr>
          <w:rFonts w:ascii="Consolas" w:hAnsi="Consolas"/>
          <w:color w:val="000000"/>
          <w:sz w:val="20"/>
        </w:rPr>
        <w:t>data/​policies.ts</w:t>
      </w:r>
      <w:r>
        <w:rPr>
          <w:color w:val="000000"/>
        </w:rPr>
        <w:t xml:space="preserve">, </w:t>
      </w:r>
      <w:r>
        <w:rPr>
          <w:rFonts w:ascii="Consolas" w:hAnsi="Consolas"/>
          <w:color w:val="000000"/>
          <w:sz w:val="20"/>
        </w:rPr>
        <w:t>data/​storyFixtures.ts</w:t>
      </w:r>
      <w:r>
        <w:rPr>
          <w:color w:val="000000"/>
        </w:rPr>
        <w:t xml:space="preserve"> and </w:t>
      </w:r>
      <w:r>
        <w:rPr>
          <w:rFonts w:ascii="Consolas" w:hAnsi="Consolas"/>
          <w:color w:val="000000"/>
          <w:sz w:val="20"/>
        </w:rPr>
        <w:t>data/​knowledge.ts</w:t>
      </w:r>
      <w:r>
        <w:rPr>
          <w:color w:val="000000"/>
        </w:rPr>
        <w:t xml:space="preserve">. Add </w:t>
      </w:r>
      <w:r>
        <w:rPr>
          <w:rFonts w:ascii="Consolas" w:hAnsi="Consolas"/>
          <w:color w:val="000000"/>
          <w:sz w:val="20"/>
        </w:rPr>
        <w:t>services/​mockConnectors.ts</w:t>
      </w:r>
      <w:r>
        <w:rPr>
          <w:color w:val="000000"/>
        </w:rPr>
        <w:t xml:space="preserve"> for deterministic replies/failures. Keep view/animation state separate from business data.</w:t>
      </w:r>
    </w:p>
    <w:p>
      <w:r>
        <w:rPr>
          <w:color w:val="000000"/>
        </w:rPr>
        <w:t xml:space="preserve">Recommended views are </w:t>
      </w:r>
      <w:r>
        <w:rPr>
          <w:rFonts w:ascii="Consolas" w:hAnsi="Consolas"/>
          <w:color w:val="000000"/>
          <w:sz w:val="20"/>
        </w:rPr>
        <w:t>OpportunityPipeline</w:t>
      </w:r>
      <w:r>
        <w:rPr>
          <w:color w:val="000000"/>
        </w:rPr>
        <w:t xml:space="preserve">, </w:t>
      </w:r>
      <w:r>
        <w:rPr>
          <w:rFonts w:ascii="Consolas" w:hAnsi="Consolas"/>
          <w:color w:val="000000"/>
          <w:sz w:val="20"/>
        </w:rPr>
        <w:t>SourcingWorkbench</w:t>
      </w:r>
      <w:r>
        <w:rPr>
          <w:color w:val="000000"/>
        </w:rPr>
        <w:t xml:space="preserve">, </w:t>
      </w:r>
      <w:r>
        <w:rPr>
          <w:rFonts w:ascii="Consolas" w:hAnsi="Consolas"/>
          <w:color w:val="000000"/>
          <w:sz w:val="20"/>
        </w:rPr>
        <w:t>ContractWorkbench</w:t>
      </w:r>
      <w:r>
        <w:rPr>
          <w:color w:val="000000"/>
        </w:rPr>
        <w:t xml:space="preserve">, </w:t>
      </w:r>
      <w:r>
        <w:rPr>
          <w:rFonts w:ascii="Consolas" w:hAnsi="Consolas"/>
          <w:color w:val="000000"/>
          <w:sz w:val="20"/>
        </w:rPr>
        <w:t>SupplierWorkbench</w:t>
      </w:r>
      <w:r>
        <w:rPr>
          <w:color w:val="000000"/>
        </w:rPr>
        <w:t xml:space="preserve">, </w:t>
      </w:r>
      <w:r>
        <w:rPr>
          <w:rFonts w:ascii="Consolas" w:hAnsi="Consolas"/>
          <w:color w:val="000000"/>
          <w:sz w:val="20"/>
        </w:rPr>
        <w:t>ValueAssurance</w:t>
      </w:r>
      <w:r>
        <w:rPr>
          <w:color w:val="000000"/>
        </w:rPr>
        <w:t xml:space="preserve"> and </w:t>
      </w:r>
      <w:r>
        <w:rPr>
          <w:rFonts w:ascii="Consolas" w:hAnsi="Consolas"/>
          <w:color w:val="000000"/>
          <w:sz w:val="20"/>
        </w:rPr>
        <w:t>GovernanceConsole</w:t>
      </w:r>
      <w:r>
        <w:rPr>
          <w:color w:val="000000"/>
        </w:rPr>
        <w:t>. Do not introduce a large routing dependency just to implement these views. Existing typed view switching is adequate if history/deep-link behavior remains consistent. A reload can restore the active case from the snapshot.</w:t>
      </w:r>
    </w:p>
    <w:p>
      <w:pPr>
        <w:pStyle w:val="Heading1"/>
      </w:pPr>
      <w:r>
        <w:t>19 Agent catalogue and bounded responsibilities</w:t>
      </w:r>
    </w:p>
    <w:p>
      <w:r>
        <w:rPr>
          <w:color w:val="000000"/>
        </w:rPr>
        <w:t>Use meaningful IDs instead of reusing an invoice ID for warranty or a vendor ID for material checks. Provide a migration map for legacy keys. Keep specialist substeps grouped in a readable roster rather than adding a separate top-level agent for every UI card.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744"/>
      </w:tblGrid>
      <w:tr>
        <w:trPr>
          <w:cantSplit/>
          <w:tblHeader/>
        </w:trPr>
        <w:tc>
          <w:tcPr>
            <w:tcW w:type="dxa" w:w="2376"/>
            <w:vAlign w:val="center"/>
            <w:shd w:fill="18354B"/>
            <w:tcMar>
              <w:top w:w="80" w:type="dxa"/>
              <w:bottom w:w="80" w:type="dxa"/>
              <w:left w:w="90" w:type="dxa"/>
              <w:right w:w="90" w:type="dxa"/>
            </w:tcMar>
          </w:tcPr>
          <w:p>
            <w:pPr>
              <w:keepNext/>
              <w:spacing w:after="0" w:line="250" w:lineRule="auto"/>
            </w:pPr>
            <w:r>
              <w:rPr>
                <w:b/>
                <w:color w:val="FFFFFF"/>
                <w:sz w:val="20"/>
              </w:rPr>
              <w:t>Agent group</w:t>
            </w:r>
          </w:p>
        </w:tc>
        <w:tc>
          <w:tcPr>
            <w:tcW w:type="dxa" w:w="3960"/>
            <w:vAlign w:val="center"/>
            <w:shd w:fill="18354B"/>
            <w:tcMar>
              <w:top w:w="80" w:type="dxa"/>
              <w:bottom w:w="80" w:type="dxa"/>
              <w:left w:w="90" w:type="dxa"/>
              <w:right w:w="90" w:type="dxa"/>
            </w:tcMar>
          </w:tcPr>
          <w:p>
            <w:pPr>
              <w:keepNext/>
              <w:spacing w:after="0" w:line="250" w:lineRule="auto"/>
            </w:pPr>
            <w:r>
              <w:rPr>
                <w:b/>
                <w:color w:val="FFFFFF"/>
                <w:sz w:val="20"/>
              </w:rPr>
              <w:t>Inputs and outputs</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Boundaries</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Orchestrator</w:t>
            </w:r>
          </w:p>
        </w:tc>
        <w:tc>
          <w:tcPr>
            <w:tcW w:type="dxa" w:w="3960"/>
            <w:vAlign w:val="center"/>
            <w:shd w:fill="FFFFFF"/>
            <w:tcMar>
              <w:top w:w="80" w:type="dxa"/>
              <w:bottom w:w="80" w:type="dxa"/>
              <w:left w:w="90" w:type="dxa"/>
              <w:right w:w="90" w:type="dxa"/>
            </w:tcMar>
          </w:tcPr>
          <w:p>
            <w:pPr>
              <w:spacing w:after="0" w:line="250" w:lineRule="auto"/>
            </w:pPr>
            <w:r>
              <w:rPr>
                <w:color w:val="000000"/>
                <w:sz w:val="20"/>
              </w:rPr>
              <w:t>Case, dependencies, rule results; next work package and task</w:t>
            </w:r>
          </w:p>
        </w:tc>
        <w:tc>
          <w:tcPr>
            <w:tcW w:type="dxa" w:w="3744"/>
            <w:vAlign w:val="center"/>
            <w:shd w:fill="FFFFFF"/>
            <w:tcMar>
              <w:top w:w="80" w:type="dxa"/>
              <w:bottom w:w="80" w:type="dxa"/>
              <w:left w:w="90" w:type="dxa"/>
              <w:right w:w="90" w:type="dxa"/>
            </w:tcMar>
          </w:tcPr>
          <w:p>
            <w:pPr>
              <w:spacing w:after="0" w:line="250" w:lineRule="auto"/>
            </w:pPr>
            <w:r>
              <w:rPr>
                <w:color w:val="000000"/>
                <w:sz w:val="20"/>
              </w:rPr>
              <w:t>Coordinates, never substitutes for authority</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Spend Intelligence</w:t>
            </w:r>
          </w:p>
        </w:tc>
        <w:tc>
          <w:tcPr>
            <w:tcW w:type="dxa" w:w="3960"/>
            <w:vAlign w:val="center"/>
            <w:shd w:fill="F3F6F8"/>
            <w:tcMar>
              <w:top w:w="80" w:type="dxa"/>
              <w:bottom w:w="80" w:type="dxa"/>
              <w:left w:w="90" w:type="dxa"/>
              <w:right w:w="90" w:type="dxa"/>
            </w:tcMar>
          </w:tcPr>
          <w:p>
            <w:pPr>
              <w:spacing w:after="0" w:line="250" w:lineRule="auto"/>
            </w:pPr>
            <w:r>
              <w:rPr>
                <w:color w:val="000000"/>
                <w:sz w:val="20"/>
              </w:rPr>
              <w:t>Spend/SAM snapshots; classification and opportunity candidates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Baseline and pipeline entry require client decisions</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Intake and Classify</w:t>
            </w:r>
          </w:p>
        </w:tc>
        <w:tc>
          <w:tcPr>
            <w:tcW w:type="dxa" w:w="3960"/>
            <w:vAlign w:val="center"/>
            <w:shd w:fill="FFFFFF"/>
            <w:tcMar>
              <w:top w:w="80" w:type="dxa"/>
              <w:bottom w:w="80" w:type="dxa"/>
              <w:left w:w="90" w:type="dxa"/>
              <w:right w:w="90" w:type="dxa"/>
            </w:tcMar>
          </w:tcPr>
          <w:p>
            <w:pPr>
              <w:spacing w:after="0" w:line="250" w:lineRule="auto"/>
            </w:pPr>
            <w:r>
              <w:rPr>
                <w:color w:val="000000"/>
                <w:sz w:val="20"/>
              </w:rPr>
              <w:t>Original need/master data; draft PR, coding and gaps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No invented technical or entitlement facts</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Channel Decision</w:t>
            </w:r>
          </w:p>
        </w:tc>
        <w:tc>
          <w:tcPr>
            <w:tcW w:type="dxa" w:w="3960"/>
            <w:vAlign w:val="center"/>
            <w:shd w:fill="F3F6F8"/>
            <w:tcMar>
              <w:top w:w="80" w:type="dxa"/>
              <w:bottom w:w="80" w:type="dxa"/>
              <w:left w:w="90" w:type="dxa"/>
              <w:right w:w="90" w:type="dxa"/>
            </w:tcMar>
          </w:tcPr>
          <w:p>
            <w:pPr>
              <w:spacing w:after="0" w:line="250" w:lineRule="auto"/>
            </w:pPr>
            <w:r>
              <w:rPr>
                <w:color w:val="000000"/>
                <w:sz w:val="20"/>
              </w:rPr>
              <w:t>Agreements, panels, opportunities; reuse/call-off/source route</w:t>
            </w:r>
          </w:p>
        </w:tc>
        <w:tc>
          <w:tcPr>
            <w:tcW w:type="dxa" w:w="3744"/>
            <w:vAlign w:val="center"/>
            <w:shd w:fill="F3F6F8"/>
            <w:tcMar>
              <w:top w:w="80" w:type="dxa"/>
              <w:bottom w:w="80" w:type="dxa"/>
              <w:left w:w="90" w:type="dxa"/>
              <w:right w:w="90" w:type="dxa"/>
            </w:tcMar>
          </w:tcPr>
          <w:p>
            <w:pPr>
              <w:spacing w:after="0" w:line="250" w:lineRule="auto"/>
            </w:pPr>
            <w:r>
              <w:rPr>
                <w:color w:val="000000"/>
                <w:sz w:val="20"/>
              </w:rPr>
              <w:t>No access change or technical approval by inference</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Sourcing and Bid Scoring</w:t>
            </w:r>
          </w:p>
        </w:tc>
        <w:tc>
          <w:tcPr>
            <w:tcW w:type="dxa" w:w="3960"/>
            <w:vAlign w:val="center"/>
            <w:shd w:fill="FFFFFF"/>
            <w:tcMar>
              <w:top w:w="80" w:type="dxa"/>
              <w:bottom w:w="80" w:type="dxa"/>
              <w:left w:w="90" w:type="dxa"/>
              <w:right w:w="90" w:type="dxa"/>
            </w:tcMar>
          </w:tcPr>
          <w:p>
            <w:pPr>
              <w:spacing w:after="0" w:line="250" w:lineRule="auto"/>
            </w:pPr>
            <w:r>
              <w:rPr>
                <w:color w:val="000000"/>
                <w:sz w:val="20"/>
              </w:rPr>
              <w:t>RFQs, quotes, benchmarks; comparison and negotiation pack</w:t>
            </w:r>
          </w:p>
        </w:tc>
        <w:tc>
          <w:tcPr>
            <w:tcW w:type="dxa" w:w="3744"/>
            <w:vAlign w:val="center"/>
            <w:shd w:fill="FFFFFF"/>
            <w:tcMar>
              <w:top w:w="80" w:type="dxa"/>
              <w:bottom w:w="80" w:type="dxa"/>
              <w:left w:w="90" w:type="dxa"/>
              <w:right w:w="90" w:type="dxa"/>
            </w:tcMar>
          </w:tcPr>
          <w:p>
            <w:pPr>
              <w:spacing w:after="0" w:line="250" w:lineRule="auto"/>
            </w:pPr>
            <w:r>
              <w:rPr>
                <w:color w:val="000000"/>
                <w:sz w:val="20"/>
              </w:rPr>
              <w:t>Competition, award and DoA gates apply</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Contract and Clause</w:t>
            </w:r>
          </w:p>
        </w:tc>
        <w:tc>
          <w:tcPr>
            <w:tcW w:type="dxa" w:w="3960"/>
            <w:vAlign w:val="center"/>
            <w:shd w:fill="F3F6F8"/>
            <w:tcMar>
              <w:top w:w="80" w:type="dxa"/>
              <w:bottom w:w="80" w:type="dxa"/>
              <w:left w:w="90" w:type="dxa"/>
              <w:right w:w="90" w:type="dxa"/>
            </w:tcMar>
          </w:tcPr>
          <w:p>
            <w:pPr>
              <w:spacing w:after="0" w:line="250" w:lineRule="auto"/>
            </w:pPr>
            <w:r>
              <w:rPr>
                <w:color w:val="000000"/>
                <w:sz w:val="20"/>
              </w:rPr>
              <w:t>Template/library/redlines; band map and draft</w:t>
            </w:r>
          </w:p>
        </w:tc>
        <w:tc>
          <w:tcPr>
            <w:tcW w:type="dxa" w:w="3744"/>
            <w:vAlign w:val="center"/>
            <w:shd w:fill="F3F6F8"/>
            <w:tcMar>
              <w:top w:w="80" w:type="dxa"/>
              <w:bottom w:w="80" w:type="dxa"/>
              <w:left w:w="90" w:type="dxa"/>
              <w:right w:w="90" w:type="dxa"/>
            </w:tcMar>
          </w:tcPr>
          <w:p>
            <w:pPr>
              <w:spacing w:after="0" w:line="250" w:lineRule="auto"/>
            </w:pPr>
            <w:r>
              <w:rPr>
                <w:color w:val="000000"/>
                <w:sz w:val="20"/>
              </w:rPr>
              <w:t>Red always Legal; stored contract required</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Supplier and Risk</w:t>
            </w:r>
          </w:p>
        </w:tc>
        <w:tc>
          <w:tcPr>
            <w:tcW w:type="dxa" w:w="3960"/>
            <w:vAlign w:val="center"/>
            <w:shd w:fill="FFFFFF"/>
            <w:tcMar>
              <w:top w:w="80" w:type="dxa"/>
              <w:bottom w:w="80" w:type="dxa"/>
              <w:left w:w="90" w:type="dxa"/>
              <w:right w:w="90" w:type="dxa"/>
            </w:tcMar>
          </w:tcPr>
          <w:p>
            <w:pPr>
              <w:spacing w:after="0" w:line="250" w:lineRule="auto"/>
            </w:pPr>
            <w:r>
              <w:rPr>
                <w:color w:val="000000"/>
                <w:sz w:val="20"/>
              </w:rPr>
              <w:t>Panels/docs/screening; match and prepared master</w:t>
            </w:r>
          </w:p>
        </w:tc>
        <w:tc>
          <w:tcPr>
            <w:tcW w:type="dxa" w:w="3744"/>
            <w:vAlign w:val="center"/>
            <w:shd w:fill="FFFFFF"/>
            <w:tcMar>
              <w:top w:w="80" w:type="dxa"/>
              <w:bottom w:w="80" w:type="dxa"/>
              <w:left w:w="90" w:type="dxa"/>
              <w:right w:w="90" w:type="dxa"/>
            </w:tcMar>
          </w:tcPr>
          <w:p>
            <w:pPr>
              <w:spacing w:after="0" w:line="250" w:lineRule="auto"/>
            </w:pPr>
            <w:r>
              <w:rPr>
                <w:color w:val="000000"/>
                <w:sz w:val="20"/>
              </w:rPr>
              <w:t>Bank verification and sanctions hard stop</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PO and Value Assurance</w:t>
            </w:r>
          </w:p>
        </w:tc>
        <w:tc>
          <w:tcPr>
            <w:tcW w:type="dxa" w:w="3960"/>
            <w:vAlign w:val="center"/>
            <w:shd w:fill="F3F6F8"/>
            <w:tcMar>
              <w:top w:w="80" w:type="dxa"/>
              <w:bottom w:w="80" w:type="dxa"/>
              <w:left w:w="90" w:type="dxa"/>
              <w:right w:w="90" w:type="dxa"/>
            </w:tcMar>
          </w:tcPr>
          <w:p>
            <w:pPr>
              <w:spacing w:after="0" w:line="250" w:lineRule="auto"/>
            </w:pPr>
            <w:r>
              <w:rPr>
                <w:color w:val="000000"/>
                <w:sz w:val="20"/>
              </w:rPr>
              <w:t>Approved case, receipt/invoice/baseline; PO and evidence pack</w:t>
            </w:r>
          </w:p>
        </w:tc>
        <w:tc>
          <w:tcPr>
            <w:tcW w:type="dxa" w:w="3744"/>
            <w:vAlign w:val="center"/>
            <w:shd w:fill="F3F6F8"/>
            <w:tcMar>
              <w:top w:w="80" w:type="dxa"/>
              <w:bottom w:w="80" w:type="dxa"/>
              <w:left w:w="90" w:type="dxa"/>
              <w:right w:w="90" w:type="dxa"/>
            </w:tcMar>
          </w:tcPr>
          <w:p>
            <w:pPr>
              <w:spacing w:after="0" w:line="250" w:lineRule="auto"/>
            </w:pPr>
            <w:r>
              <w:rPr>
                <w:color w:val="000000"/>
                <w:sz w:val="20"/>
              </w:rPr>
              <w:t>No unsigned savings validation</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AI Ops Monitor</w:t>
            </w:r>
          </w:p>
        </w:tc>
        <w:tc>
          <w:tcPr>
            <w:tcW w:type="dxa" w:w="3960"/>
            <w:vAlign w:val="center"/>
            <w:shd w:fill="FFFFFF"/>
            <w:tcMar>
              <w:top w:w="80" w:type="dxa"/>
              <w:bottom w:w="80" w:type="dxa"/>
              <w:left w:w="90" w:type="dxa"/>
              <w:right w:w="90" w:type="dxa"/>
            </w:tcMar>
          </w:tcPr>
          <w:p>
            <w:pPr>
              <w:spacing w:after="0" w:line="250" w:lineRule="auto"/>
            </w:pPr>
            <w:r>
              <w:rPr>
                <w:color w:val="000000"/>
                <w:sz w:val="20"/>
              </w:rPr>
              <w:t>Audit, overrides, SLAs; pause/lane-reduction/change proposal</w:t>
            </w:r>
          </w:p>
        </w:tc>
        <w:tc>
          <w:tcPr>
            <w:tcW w:type="dxa" w:w="3744"/>
            <w:vAlign w:val="center"/>
            <w:shd w:fill="FFFFFF"/>
            <w:tcMar>
              <w:top w:w="80" w:type="dxa"/>
              <w:bottom w:w="80" w:type="dxa"/>
              <w:left w:w="90" w:type="dxa"/>
              <w:right w:w="90" w:type="dxa"/>
            </w:tcMar>
          </w:tcPr>
          <w:p>
            <w:pPr>
              <w:spacing w:after="0" w:line="250" w:lineRule="auto"/>
            </w:pPr>
            <w:r>
              <w:rPr>
                <w:color w:val="000000"/>
                <w:sz w:val="20"/>
              </w:rPr>
              <w:t>Council approves widening and rule updates</w:t>
            </w:r>
          </w:p>
        </w:tc>
      </w:tr>
    </w:tbl>
    <w:p>
      <w:pPr>
        <w:spacing w:after="20"/>
      </w:pPr>
    </w:p>
    <w:p>
      <w:r>
        <w:rPr>
          <w:color w:val="000000"/>
        </w:rPr>
        <w:t>Licence analysis and technical specification challenge are capabilities of the relevant groups with distinct data contracts and human owners. Warranty, inventory and duplicate checks remain optional MRO substeps. Each group has a concrete run/workbench link and reads its current case state. Static agent statistics are replaced with computed counts or clearly labelled fixture health records.</w:t>
      </w:r>
    </w:p>
    <w:p>
      <w:pPr>
        <w:pStyle w:val="Heading1"/>
      </w:pPr>
      <w:r>
        <w:t>20 Enterprise interfaces and demo substitutes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744"/>
      </w:tblGrid>
      <w:tr>
        <w:trPr>
          <w:cantSplit/>
          <w:tblHeader/>
        </w:trPr>
        <w:tc>
          <w:tcPr>
            <w:tcW w:type="dxa" w:w="2376"/>
            <w:vAlign w:val="center"/>
            <w:shd w:fill="18354B"/>
            <w:tcMar>
              <w:top w:w="80" w:type="dxa"/>
              <w:bottom w:w="80" w:type="dxa"/>
              <w:left w:w="90" w:type="dxa"/>
              <w:right w:w="90" w:type="dxa"/>
            </w:tcMar>
          </w:tcPr>
          <w:p>
            <w:pPr>
              <w:keepNext/>
              <w:spacing w:after="0" w:line="250" w:lineRule="auto"/>
            </w:pPr>
            <w:r>
              <w:rPr>
                <w:b/>
                <w:color w:val="FFFFFF"/>
                <w:sz w:val="20"/>
              </w:rPr>
              <w:t>Enterprise capability</w:t>
            </w:r>
          </w:p>
        </w:tc>
        <w:tc>
          <w:tcPr>
            <w:tcW w:type="dxa" w:w="3960"/>
            <w:vAlign w:val="center"/>
            <w:shd w:fill="18354B"/>
            <w:tcMar>
              <w:top w:w="80" w:type="dxa"/>
              <w:bottom w:w="80" w:type="dxa"/>
              <w:left w:w="90" w:type="dxa"/>
              <w:right w:w="90" w:type="dxa"/>
            </w:tcMar>
          </w:tcPr>
          <w:p>
            <w:pPr>
              <w:keepNext/>
              <w:spacing w:after="0" w:line="250" w:lineRule="auto"/>
            </w:pPr>
            <w:r>
              <w:rPr>
                <w:b/>
                <w:color w:val="FFFFFF"/>
                <w:sz w:val="20"/>
              </w:rPr>
              <w:t>Needed interface</w:t>
            </w:r>
          </w:p>
        </w:tc>
        <w:tc>
          <w:tcPr>
            <w:tcW w:type="dxa" w:w="3744"/>
            <w:vAlign w:val="center"/>
            <w:shd w:fill="18354B"/>
            <w:tcMar>
              <w:top w:w="80" w:type="dxa"/>
              <w:bottom w:w="80" w:type="dxa"/>
              <w:left w:w="90" w:type="dxa"/>
              <w:right w:w="90" w:type="dxa"/>
            </w:tcMar>
          </w:tcPr>
          <w:p>
            <w:pPr>
              <w:keepNext/>
              <w:spacing w:after="0" w:line="250" w:lineRule="auto"/>
            </w:pPr>
            <w:r>
              <w:rPr>
                <w:b/>
                <w:color w:val="FFFFFF"/>
                <w:sz w:val="20"/>
              </w:rPr>
              <w:t>Demo substitute</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ERP/P2P</w:t>
            </w:r>
          </w:p>
        </w:tc>
        <w:tc>
          <w:tcPr>
            <w:tcW w:type="dxa" w:w="3960"/>
            <w:vAlign w:val="center"/>
            <w:shd w:fill="FFFFFF"/>
            <w:tcMar>
              <w:top w:w="80" w:type="dxa"/>
              <w:bottom w:w="80" w:type="dxa"/>
              <w:left w:w="90" w:type="dxa"/>
              <w:right w:w="90" w:type="dxa"/>
            </w:tcMar>
          </w:tcPr>
          <w:p>
            <w:pPr>
              <w:spacing w:after="0" w:line="250" w:lineRule="auto"/>
            </w:pPr>
            <w:r>
              <w:rPr>
                <w:color w:val="000000"/>
                <w:sz w:val="20"/>
              </w:rPr>
              <w:t>PR, budget, PO, supplier, receipt, invoice and status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Mock command/event adapter</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Email/Teams</w:t>
            </w:r>
          </w:p>
        </w:tc>
        <w:tc>
          <w:tcPr>
            <w:tcW w:type="dxa" w:w="3960"/>
            <w:vAlign w:val="center"/>
            <w:shd w:fill="F3F6F8"/>
            <w:tcMar>
              <w:top w:w="80" w:type="dxa"/>
              <w:bottom w:w="80" w:type="dxa"/>
              <w:left w:w="90" w:type="dxa"/>
              <w:right w:w="90" w:type="dxa"/>
            </w:tcMar>
          </w:tcPr>
          <w:p>
            <w:pPr>
              <w:spacing w:after="0" w:line="250" w:lineRule="auto"/>
            </w:pPr>
            <w:r>
              <w:rPr>
                <w:color w:val="000000"/>
                <w:sz w:val="20"/>
              </w:rPr>
              <w:t>Capture demand and send approved replies</w:t>
            </w:r>
          </w:p>
        </w:tc>
        <w:tc>
          <w:tcPr>
            <w:tcW w:type="dxa" w:w="3744"/>
            <w:vAlign w:val="center"/>
            <w:shd w:fill="F3F6F8"/>
            <w:tcMar>
              <w:top w:w="80" w:type="dxa"/>
              <w:bottom w:w="80" w:type="dxa"/>
              <w:left w:w="90" w:type="dxa"/>
              <w:right w:w="90" w:type="dxa"/>
            </w:tcMar>
          </w:tcPr>
          <w:p>
            <w:pPr>
              <w:spacing w:after="0" w:line="250" w:lineRule="auto"/>
            </w:pPr>
            <w:r>
              <w:rPr>
                <w:color w:val="000000"/>
                <w:sz w:val="20"/>
              </w:rPr>
              <w:t>Seed message evidence and simulated send/receive</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SAM/licensing</w:t>
            </w:r>
          </w:p>
        </w:tc>
        <w:tc>
          <w:tcPr>
            <w:tcW w:type="dxa" w:w="3960"/>
            <w:vAlign w:val="center"/>
            <w:shd w:fill="FFFFFF"/>
            <w:tcMar>
              <w:top w:w="80" w:type="dxa"/>
              <w:bottom w:w="80" w:type="dxa"/>
              <w:left w:w="90" w:type="dxa"/>
              <w:right w:w="90" w:type="dxa"/>
            </w:tcMar>
          </w:tcPr>
          <w:p>
            <w:pPr>
              <w:spacing w:after="0" w:line="250" w:lineRule="auto"/>
            </w:pPr>
            <w:r>
              <w:rPr>
                <w:color w:val="000000"/>
                <w:sz w:val="20"/>
              </w:rPr>
              <w:t>Entitlements, utilisation, role/pool and reassignment</w:t>
            </w:r>
          </w:p>
        </w:tc>
        <w:tc>
          <w:tcPr>
            <w:tcW w:type="dxa" w:w="3744"/>
            <w:vAlign w:val="center"/>
            <w:shd w:fill="FFFFFF"/>
            <w:tcMar>
              <w:top w:w="80" w:type="dxa"/>
              <w:bottom w:w="80" w:type="dxa"/>
              <w:left w:w="90" w:type="dxa"/>
              <w:right w:w="90" w:type="dxa"/>
            </w:tcMar>
          </w:tcPr>
          <w:p>
            <w:pPr>
              <w:spacing w:after="0" w:line="250" w:lineRule="auto"/>
            </w:pPr>
            <w:r>
              <w:rPr>
                <w:color w:val="000000"/>
                <w:sz w:val="20"/>
              </w:rPr>
              <w:t>Versioned seat dataset and allocation simulator</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Catalogue/rate cards</w:t>
            </w:r>
          </w:p>
        </w:tc>
        <w:tc>
          <w:tcPr>
            <w:tcW w:type="dxa" w:w="3960"/>
            <w:vAlign w:val="center"/>
            <w:shd w:fill="F3F6F8"/>
            <w:tcMar>
              <w:top w:w="80" w:type="dxa"/>
              <w:bottom w:w="80" w:type="dxa"/>
              <w:left w:w="90" w:type="dxa"/>
              <w:right w:w="90" w:type="dxa"/>
            </w:tcMar>
          </w:tcPr>
          <w:p>
            <w:pPr>
              <w:spacing w:after="0" w:line="250" w:lineRule="auto"/>
            </w:pPr>
            <w:r>
              <w:rPr>
                <w:color w:val="000000"/>
                <w:sz w:val="20"/>
              </w:rPr>
              <w:t>Items, tiers, active prices and validity</w:t>
            </w:r>
          </w:p>
        </w:tc>
        <w:tc>
          <w:tcPr>
            <w:tcW w:type="dxa" w:w="3744"/>
            <w:vAlign w:val="center"/>
            <w:shd w:fill="F3F6F8"/>
            <w:tcMar>
              <w:top w:w="80" w:type="dxa"/>
              <w:bottom w:w="80" w:type="dxa"/>
              <w:left w:w="90" w:type="dxa"/>
              <w:right w:w="90" w:type="dxa"/>
            </w:tcMar>
          </w:tcPr>
          <w:p>
            <w:pPr>
              <w:spacing w:after="0" w:line="250" w:lineRule="auto"/>
            </w:pPr>
            <w:r>
              <w:rPr>
                <w:color w:val="000000"/>
                <w:sz w:val="20"/>
              </w:rPr>
              <w:t>Canonical agreement records</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Sourcing</w:t>
            </w:r>
          </w:p>
        </w:tc>
        <w:tc>
          <w:tcPr>
            <w:tcW w:type="dxa" w:w="3960"/>
            <w:vAlign w:val="center"/>
            <w:shd w:fill="FFFFFF"/>
            <w:tcMar>
              <w:top w:w="80" w:type="dxa"/>
              <w:bottom w:w="80" w:type="dxa"/>
              <w:left w:w="90" w:type="dxa"/>
              <w:right w:w="90" w:type="dxa"/>
            </w:tcMar>
          </w:tcPr>
          <w:p>
            <w:pPr>
              <w:spacing w:after="0" w:line="250" w:lineRule="auto"/>
            </w:pPr>
            <w:r>
              <w:rPr>
                <w:color w:val="000000"/>
                <w:sz w:val="20"/>
              </w:rPr>
              <w:t>RFQ issue, bid ingestion, validity and revisions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Mock supplier inbox/quote events</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Contract repository/e-sign</w:t>
            </w:r>
          </w:p>
        </w:tc>
        <w:tc>
          <w:tcPr>
            <w:tcW w:type="dxa" w:w="3960"/>
            <w:vAlign w:val="center"/>
            <w:shd w:fill="F3F6F8"/>
            <w:tcMar>
              <w:top w:w="80" w:type="dxa"/>
              <w:bottom w:w="80" w:type="dxa"/>
              <w:left w:w="90" w:type="dxa"/>
              <w:right w:w="90" w:type="dxa"/>
            </w:tcMar>
          </w:tcPr>
          <w:p>
            <w:pPr>
              <w:spacing w:after="0" w:line="250" w:lineRule="auto"/>
            </w:pPr>
            <w:r>
              <w:rPr>
                <w:color w:val="000000"/>
                <w:sz w:val="20"/>
              </w:rPr>
              <w:t>Template, signing authority, executed version, storage</w:t>
            </w:r>
          </w:p>
        </w:tc>
        <w:tc>
          <w:tcPr>
            <w:tcW w:type="dxa" w:w="3744"/>
            <w:vAlign w:val="center"/>
            <w:shd w:fill="F3F6F8"/>
            <w:tcMar>
              <w:top w:w="80" w:type="dxa"/>
              <w:bottom w:w="80" w:type="dxa"/>
              <w:left w:w="90" w:type="dxa"/>
              <w:right w:w="90" w:type="dxa"/>
            </w:tcMar>
          </w:tcPr>
          <w:p>
            <w:pPr>
              <w:spacing w:after="0" w:line="250" w:lineRule="auto"/>
            </w:pPr>
            <w:r>
              <w:rPr>
                <w:color w:val="000000"/>
                <w:sz w:val="20"/>
              </w:rPr>
              <w:t>Simulated signature and repository receipt</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Screening</w:t>
            </w:r>
          </w:p>
        </w:tc>
        <w:tc>
          <w:tcPr>
            <w:tcW w:type="dxa" w:w="3960"/>
            <w:vAlign w:val="center"/>
            <w:shd w:fill="FFFFFF"/>
            <w:tcMar>
              <w:top w:w="80" w:type="dxa"/>
              <w:bottom w:w="80" w:type="dxa"/>
              <w:left w:w="90" w:type="dxa"/>
              <w:right w:w="90" w:type="dxa"/>
            </w:tcMar>
          </w:tcPr>
          <w:p>
            <w:pPr>
              <w:spacing w:after="0" w:line="250" w:lineRule="auto"/>
            </w:pPr>
            <w:r>
              <w:rPr>
                <w:color w:val="000000"/>
                <w:sz w:val="20"/>
              </w:rPr>
              <w:t>Financial/legal/cyber/sanctions results</w:t>
            </w:r>
          </w:p>
        </w:tc>
        <w:tc>
          <w:tcPr>
            <w:tcW w:type="dxa" w:w="3744"/>
            <w:vAlign w:val="center"/>
            <w:shd w:fill="FFFFFF"/>
            <w:tcMar>
              <w:top w:w="80" w:type="dxa"/>
              <w:bottom w:w="80" w:type="dxa"/>
              <w:left w:w="90" w:type="dxa"/>
              <w:right w:w="90" w:type="dxa"/>
            </w:tcMar>
          </w:tcPr>
          <w:p>
            <w:pPr>
              <w:spacing w:after="0" w:line="250" w:lineRule="auto"/>
            </w:pPr>
            <w:r>
              <w:rPr>
                <w:color w:val="000000"/>
                <w:sz w:val="20"/>
              </w:rPr>
              <w:t>Explicit seeded checks and timeout variants</w:t>
            </w:r>
          </w:p>
        </w:tc>
      </w:tr>
      <w:tr>
        <w:trPr>
          <w:cantSplit/>
        </w:trPr>
        <w:tc>
          <w:tcPr>
            <w:tcW w:type="dxa" w:w="2376"/>
            <w:vAlign w:val="center"/>
            <w:shd w:fill="F3F6F8"/>
            <w:tcMar>
              <w:top w:w="80" w:type="dxa"/>
              <w:bottom w:w="80" w:type="dxa"/>
              <w:left w:w="90" w:type="dxa"/>
              <w:right w:w="90" w:type="dxa"/>
            </w:tcMar>
          </w:tcPr>
          <w:p>
            <w:pPr>
              <w:spacing w:after="0" w:line="250" w:lineRule="auto"/>
            </w:pPr>
            <w:r>
              <w:rPr>
                <w:color w:val="000000"/>
                <w:sz w:val="20"/>
              </w:rPr>
              <w:t>Technical/quality master</w:t>
            </w:r>
          </w:p>
        </w:tc>
        <w:tc>
          <w:tcPr>
            <w:tcW w:type="dxa" w:w="3960"/>
            <w:vAlign w:val="center"/>
            <w:shd w:fill="F3F6F8"/>
            <w:tcMar>
              <w:top w:w="80" w:type="dxa"/>
              <w:bottom w:w="80" w:type="dxa"/>
              <w:left w:w="90" w:type="dxa"/>
              <w:right w:w="90" w:type="dxa"/>
            </w:tcMar>
          </w:tcPr>
          <w:p>
            <w:pPr>
              <w:spacing w:after="0" w:line="250" w:lineRule="auto"/>
            </w:pPr>
            <w:r>
              <w:rPr>
                <w:color w:val="000000"/>
                <w:sz w:val="20"/>
              </w:rPr>
              <w:t>Equivalence, qualification, warranty and quality</w:t>
            </w:r>
          </w:p>
        </w:tc>
        <w:tc>
          <w:tcPr>
            <w:tcW w:type="dxa" w:w="3744"/>
            <w:vAlign w:val="center"/>
            <w:shd w:fill="F3F6F8"/>
            <w:tcMar>
              <w:top w:w="80" w:type="dxa"/>
              <w:bottom w:w="80" w:type="dxa"/>
              <w:left w:w="90" w:type="dxa"/>
              <w:right w:w="90" w:type="dxa"/>
            </w:tcMar>
          </w:tcPr>
          <w:p>
            <w:pPr>
              <w:spacing w:after="0" w:line="250" w:lineRule="auto"/>
            </w:pPr>
            <w:r>
              <w:rPr>
                <w:color w:val="000000"/>
                <w:sz w:val="20"/>
              </w:rPr>
              <w:t>Versioned application-specific approval evidence</w:t>
            </w:r>
          </w:p>
        </w:tc>
      </w:tr>
      <w:tr>
        <w:trPr>
          <w:cantSplit/>
        </w:trPr>
        <w:tc>
          <w:tcPr>
            <w:tcW w:type="dxa" w:w="2376"/>
            <w:vAlign w:val="center"/>
            <w:shd w:fill="FFFFFF"/>
            <w:tcMar>
              <w:top w:w="80" w:type="dxa"/>
              <w:bottom w:w="80" w:type="dxa"/>
              <w:left w:w="90" w:type="dxa"/>
              <w:right w:w="90" w:type="dxa"/>
            </w:tcMar>
          </w:tcPr>
          <w:p>
            <w:pPr>
              <w:spacing w:after="0" w:line="250" w:lineRule="auto"/>
            </w:pPr>
            <w:r>
              <w:rPr>
                <w:color w:val="000000"/>
                <w:sz w:val="20"/>
              </w:rPr>
              <w:t>Finance value office</w:t>
            </w:r>
          </w:p>
        </w:tc>
        <w:tc>
          <w:tcPr>
            <w:tcW w:type="dxa" w:w="3960"/>
            <w:vAlign w:val="center"/>
            <w:shd w:fill="FFFFFF"/>
            <w:tcMar>
              <w:top w:w="80" w:type="dxa"/>
              <w:bottom w:w="80" w:type="dxa"/>
              <w:left w:w="90" w:type="dxa"/>
              <w:right w:w="90" w:type="dxa"/>
            </w:tcMar>
          </w:tcPr>
          <w:p>
            <w:pPr>
              <w:spacing w:after="0" w:line="250" w:lineRule="auto"/>
            </w:pPr>
            <w:r>
              <w:rPr>
                <w:color w:val="000000"/>
                <w:sz w:val="20"/>
              </w:rPr>
              <w:t>Baseline method, invoice evidence, sign-off</w:t>
            </w:r>
          </w:p>
        </w:tc>
        <w:tc>
          <w:tcPr>
            <w:tcW w:type="dxa" w:w="3744"/>
            <w:vAlign w:val="center"/>
            <w:shd w:fill="FFFFFF"/>
            <w:tcMar>
              <w:top w:w="80" w:type="dxa"/>
              <w:bottom w:w="80" w:type="dxa"/>
              <w:left w:w="90" w:type="dxa"/>
              <w:right w:w="90" w:type="dxa"/>
            </w:tcMar>
          </w:tcPr>
          <w:p>
            <w:pPr>
              <w:spacing w:after="0" w:line="250" w:lineRule="auto"/>
            </w:pPr>
            <w:r>
              <w:rPr>
                <w:color w:val="000000"/>
                <w:sz w:val="20"/>
              </w:rPr>
              <w:t>Role task and auditable ValueRecord</w:t>
            </w:r>
          </w:p>
        </w:tc>
      </w:tr>
    </w:tbl>
    <w:p>
      <w:pPr>
        <w:spacing w:after="20"/>
      </w:pPr>
    </w:p>
    <w:p>
      <w:r>
        <w:rPr>
          <w:color w:val="000000"/>
        </w:rPr>
        <w:t>Do not assume a particular production P2P vendor or integration API beyond what the supplied materials state. Future production adapters need authenticated server-side access, least-privilege roles, durable queues, idempotency, authoritative budgets, secure identity and complete audit retention. Bank callback remains a human control. Real LLM outputs must be schema-validated and cannot directly commit ERP transactions. Live tooling, credentials, model pricing and deployment are separate implementation decisions.</w:t>
      </w:r>
    </w:p>
    <w:p>
      <w:pPr>
        <w:pStyle w:val="Heading1"/>
      </w:pPr>
      <w:r>
        <w:t>21 Build sequence and deliverables</w:t>
      </w:r>
    </w:p>
    <w:p>
      <w:pPr>
        <w:pStyle w:val="Heading2"/>
      </w:pPr>
      <w:r>
        <w:t>21 1 Build order</w:t>
      </w:r>
    </w:p>
    <w:p>
      <w:pPr>
        <w:spacing w:after="80"/>
        <w:ind w:left="317" w:hanging="317"/>
      </w:pPr>
      <w:r>
        <w:rPr>
          <w:color w:val="000000"/>
        </w:rPr>
        <w:t xml:space="preserve">1. </w:t>
      </w:r>
      <w:r>
        <w:rPr>
          <w:b/>
          <w:color w:val="000000"/>
        </w:rPr>
        <w:t>Foundation:</w:t>
      </w:r>
      <w:r>
        <w:rPr>
          <w:color w:val="000000"/>
        </w:rPr>
        <w:t xml:space="preserve"> introduce neutral client profile, data/entity model, GBP formatter, mock clock and persisted store. Add gate evaluation, roles and audit. Migrate one seeded case before changing all views.</w:t>
      </w:r>
    </w:p>
    <w:p>
      <w:pPr>
        <w:spacing w:after="80"/>
        <w:ind w:left="317" w:hanging="317"/>
      </w:pPr>
      <w:r>
        <w:rPr>
          <w:color w:val="000000"/>
        </w:rPr>
        <w:t xml:space="preserve">2. </w:t>
      </w:r>
      <w:r>
        <w:rPr>
          <w:b/>
          <w:color w:val="000000"/>
        </w:rPr>
        <w:t>UI foundation:</w:t>
      </w:r>
      <w:r>
        <w:rPr>
          <w:color w:val="000000"/>
        </w:rPr>
        <w:t xml:space="preserve"> adapt shared cards/buttons/text/motion for UI01–UI04. Update intake to create real demo cases with editable fields. Connect workspace actions to reducer commands.</w:t>
      </w:r>
    </w:p>
    <w:p>
      <w:pPr>
        <w:spacing w:after="80"/>
        <w:ind w:left="317" w:hanging="317"/>
      </w:pPr>
      <w:r>
        <w:rPr>
          <w:color w:val="000000"/>
        </w:rPr>
        <w:t xml:space="preserve">3. </w:t>
      </w:r>
      <w:r>
        <w:rPr>
          <w:b/>
          <w:color w:val="000000"/>
        </w:rPr>
        <w:t>ST01 and F0:</w:t>
      </w:r>
      <w:r>
        <w:rPr>
          <w:color w:val="000000"/>
        </w:rPr>
        <w:t xml:space="preserve"> build entitlement/reuse allocation, internal fulfillment, idle-seat opportunity and renewal branch. Validate no-PO and mixed paths.</w:t>
      </w:r>
    </w:p>
    <w:p>
      <w:pPr>
        <w:spacing w:after="80"/>
        <w:ind w:left="317" w:hanging="317"/>
      </w:pPr>
      <w:r>
        <w:rPr>
          <w:color w:val="000000"/>
        </w:rPr>
        <w:t xml:space="preserve">4. </w:t>
      </w:r>
      <w:r>
        <w:rPr>
          <w:b/>
          <w:color w:val="000000"/>
        </w:rPr>
        <w:t>ST02 and F2:</w:t>
      </w:r>
      <w:r>
        <w:rPr>
          <w:color w:val="000000"/>
        </w:rPr>
        <w:t xml:space="preserve"> extend RFQ/quote review, line benchmarks, BAFO, competition and separate award/spend approvals.</w:t>
      </w:r>
    </w:p>
    <w:p>
      <w:pPr>
        <w:spacing w:after="80"/>
        <w:ind w:left="317" w:hanging="317"/>
      </w:pPr>
      <w:r>
        <w:rPr>
          <w:color w:val="000000"/>
        </w:rPr>
        <w:t xml:space="preserve">5. </w:t>
      </w:r>
      <w:r>
        <w:rPr>
          <w:b/>
          <w:color w:val="000000"/>
        </w:rPr>
        <w:t>ST03 and F4:</w:t>
      </w:r>
      <w:r>
        <w:rPr>
          <w:color w:val="000000"/>
        </w:rPr>
        <w:t xml:space="preserve"> build panel-fit decision, incumbent call-off, new supplier risk/bank/sync path.</w:t>
      </w:r>
    </w:p>
    <w:p>
      <w:pPr>
        <w:spacing w:after="80"/>
        <w:ind w:left="317" w:hanging="317"/>
      </w:pPr>
      <w:r>
        <w:rPr>
          <w:color w:val="000000"/>
        </w:rPr>
        <w:t xml:space="preserve">6. </w:t>
      </w:r>
      <w:r>
        <w:rPr>
          <w:b/>
          <w:color w:val="000000"/>
        </w:rPr>
        <w:t>ST04 and F3:</w:t>
      </w:r>
      <w:r>
        <w:rPr>
          <w:color w:val="000000"/>
        </w:rPr>
        <w:t xml:space="preserve"> build scope/redlines/bands, legal/delegated tasks, signing and storage. Connect ST02's held PO.</w:t>
      </w:r>
    </w:p>
    <w:p>
      <w:pPr>
        <w:spacing w:after="80"/>
        <w:ind w:left="317" w:hanging="317"/>
      </w:pPr>
      <w:r>
        <w:rPr>
          <w:color w:val="000000"/>
        </w:rPr>
        <w:t xml:space="preserve">7. </w:t>
      </w:r>
      <w:r>
        <w:rPr>
          <w:b/>
          <w:color w:val="000000"/>
        </w:rPr>
        <w:t>ST05:</w:t>
      </w:r>
      <w:r>
        <w:rPr>
          <w:color w:val="000000"/>
        </w:rPr>
        <w:t xml:space="preserve"> build technical attributes, equivalence/signoff, released scope and competitive award.</w:t>
      </w:r>
    </w:p>
    <w:p>
      <w:pPr>
        <w:spacing w:after="80"/>
        <w:ind w:left="317" w:hanging="317"/>
      </w:pPr>
      <w:r>
        <w:rPr>
          <w:color w:val="000000"/>
        </w:rPr>
        <w:t xml:space="preserve">8. </w:t>
      </w:r>
      <w:r>
        <w:rPr>
          <w:b/>
          <w:color w:val="000000"/>
        </w:rPr>
        <w:t>F5 and governance:</w:t>
      </w:r>
      <w:r>
        <w:rPr>
          <w:color w:val="000000"/>
        </w:rPr>
        <w:t xml:space="preserve"> implement invoice/credit evidence, separate value categories, Finance signatures, council changes and pause/fallback.</w:t>
      </w:r>
    </w:p>
    <w:p>
      <w:pPr>
        <w:spacing w:after="80"/>
        <w:ind w:left="317" w:hanging="317"/>
      </w:pPr>
      <w:r>
        <w:rPr>
          <w:color w:val="000000"/>
        </w:rPr>
        <w:t xml:space="preserve">9. </w:t>
      </w:r>
      <w:r>
        <w:rPr>
          <w:b/>
          <w:color w:val="000000"/>
        </w:rPr>
        <w:t>Consistency and delivery:</w:t>
      </w:r>
      <w:r>
        <w:rPr>
          <w:color w:val="000000"/>
        </w:rPr>
        <w:t xml:space="preserve"> connect dashboards/service desk/exports, update languages and images, run acceptance, rewrite presenter script.</w:t>
      </w:r>
    </w:p>
    <w:p>
      <w:r>
        <w:rPr>
          <w:color w:val="000000"/>
        </w:rPr>
        <w:t>This order does not authorize dropping a later story. All five stories and six flows are part of the final demo. Before altering UI, Claude should inspect the listed source files and identify the reusable component contracts. Keep unrelated O2C/Freight code out of scope unless a shared entry change requires adjustment.</w:t>
      </w:r>
    </w:p>
    <w:p>
      <w:pPr>
        <w:pStyle w:val="Heading2"/>
      </w:pPr>
      <w:r>
        <w:t>21 2 Required repository outputs</w:t>
      </w:r>
    </w:p>
    <w:p>
      <w:r>
        <w:rPr>
          <w:color w:val="000000"/>
        </w:rPr>
        <w:t xml:space="preserve">Deliver the completed front-end, canonical fixtures, policy/rule configuration, working story/replay controls, rewritten </w:t>
      </w:r>
      <w:r>
        <w:rPr>
          <w:rFonts w:ascii="Consolas" w:hAnsi="Consolas"/>
          <w:color w:val="000000"/>
          <w:sz w:val="20"/>
        </w:rPr>
        <w:t>DEMO-SCRIPT.md</w:t>
      </w:r>
      <w:r>
        <w:rPr>
          <w:color w:val="000000"/>
        </w:rPr>
        <w:t xml:space="preserve">, updated </w:t>
      </w:r>
      <w:r>
        <w:rPr>
          <w:rFonts w:ascii="Consolas" w:hAnsi="Consolas"/>
          <w:color w:val="000000"/>
          <w:sz w:val="20"/>
        </w:rPr>
        <w:t>docs/​PRD.md</w:t>
      </w:r>
      <w:r>
        <w:rPr>
          <w:color w:val="000000"/>
        </w:rPr>
        <w:t>, targeted domain tests and acceptance results. The presenter script lists exact clicks and outcomes for each story, explains its human decision, and points to the source behind each amount. Code paths, document labels and narration must agree.</w:t>
      </w:r>
    </w:p>
    <w:p>
      <w:pPr>
        <w:pStyle w:val="Heading1"/>
      </w:pPr>
      <w:r>
        <w:t>22 Acceptance suite</w:t>
      </w:r>
    </w:p>
    <w:p>
      <w:r>
        <w:rPr>
          <w:color w:val="000000"/>
        </w:rPr>
        <w:t>Run the repository's TypeScript/build and lint checks with the project's declared dependencies. Record inherited failures separately from introduced ones. Add focused tests for financial arithmetic, gates, reservations, revisions and idempotency because these implement business controls. Use browser tests or equivalent manual UI verification for interaction, row alignment, text wrapping and motion. Do not write large tests that merely duplicate fixture markup.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816"/>
        <w:gridCol w:w="5472"/>
      </w:tblGrid>
      <w:tr>
        <w:trPr>
          <w:cantSplit/>
          <w:tblHeader/>
        </w:trPr>
        <w:tc>
          <w:tcPr>
            <w:tcW w:type="dxa" w:w="792"/>
            <w:vAlign w:val="center"/>
            <w:shd w:fill="18354B"/>
            <w:tcMar>
              <w:top w:w="80" w:type="dxa"/>
              <w:bottom w:w="80" w:type="dxa"/>
              <w:left w:w="90" w:type="dxa"/>
              <w:right w:w="90" w:type="dxa"/>
            </w:tcMar>
          </w:tcPr>
          <w:p>
            <w:pPr>
              <w:keepNext/>
              <w:spacing w:after="0" w:line="250" w:lineRule="auto"/>
              <w:jc w:val="center"/>
            </w:pPr>
            <w:r>
              <w:rPr>
                <w:b/>
                <w:color w:val="FFFFFF"/>
                <w:sz w:val="20"/>
              </w:rPr>
              <w:t>ID</w:t>
            </w:r>
          </w:p>
        </w:tc>
        <w:tc>
          <w:tcPr>
            <w:tcW w:type="dxa" w:w="3816"/>
            <w:vAlign w:val="center"/>
            <w:shd w:fill="18354B"/>
            <w:tcMar>
              <w:top w:w="80" w:type="dxa"/>
              <w:bottom w:w="80" w:type="dxa"/>
              <w:left w:w="90" w:type="dxa"/>
              <w:right w:w="90" w:type="dxa"/>
            </w:tcMar>
          </w:tcPr>
          <w:p>
            <w:pPr>
              <w:keepNext/>
              <w:spacing w:after="0" w:line="250" w:lineRule="auto"/>
            </w:pPr>
            <w:r>
              <w:rPr>
                <w:b/>
                <w:color w:val="FFFFFF"/>
                <w:sz w:val="20"/>
              </w:rPr>
              <w:t>Test</w:t>
            </w:r>
          </w:p>
        </w:tc>
        <w:tc>
          <w:tcPr>
            <w:tcW w:type="dxa" w:w="5472"/>
            <w:vAlign w:val="center"/>
            <w:shd w:fill="18354B"/>
            <w:tcMar>
              <w:top w:w="80" w:type="dxa"/>
              <w:bottom w:w="80" w:type="dxa"/>
              <w:left w:w="90" w:type="dxa"/>
              <w:right w:w="90" w:type="dxa"/>
            </w:tcMar>
          </w:tcPr>
          <w:p>
            <w:pPr>
              <w:keepNext/>
              <w:spacing w:after="0" w:line="250" w:lineRule="auto"/>
            </w:pPr>
            <w:r>
              <w:rPr>
                <w:b/>
                <w:color w:val="FFFFFF"/>
                <w:sz w:val="20"/>
              </w:rPr>
              <w:t>Required result</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AC01</w:t>
            </w:r>
          </w:p>
        </w:tc>
        <w:tc>
          <w:tcPr>
            <w:tcW w:type="dxa" w:w="3816"/>
            <w:vAlign w:val="center"/>
            <w:shd w:fill="FFFFFF"/>
            <w:tcMar>
              <w:top w:w="80" w:type="dxa"/>
              <w:bottom w:w="80" w:type="dxa"/>
              <w:left w:w="90" w:type="dxa"/>
              <w:right w:w="90" w:type="dxa"/>
            </w:tcMar>
          </w:tcPr>
          <w:p>
            <w:pPr>
              <w:spacing w:after="0" w:line="250" w:lineRule="auto"/>
            </w:pPr>
            <w:r>
              <w:rPr>
                <w:color w:val="000000"/>
                <w:sz w:val="20"/>
              </w:rPr>
              <w:t>Launch active app</w:t>
            </w:r>
          </w:p>
        </w:tc>
        <w:tc>
          <w:tcPr>
            <w:tcW w:type="dxa" w:w="5472"/>
            <w:vAlign w:val="center"/>
            <w:shd w:fill="FFFFFF"/>
            <w:tcMar>
              <w:top w:w="80" w:type="dxa"/>
              <w:bottom w:w="80" w:type="dxa"/>
              <w:left w:w="90" w:type="dxa"/>
              <w:right w:w="90" w:type="dxa"/>
            </w:tcMar>
          </w:tcPr>
          <w:p>
            <w:pPr>
              <w:spacing w:after="0" w:line="250" w:lineRule="auto"/>
            </w:pPr>
            <w:r>
              <w:rPr>
                <w:color w:val="000000"/>
                <w:sz w:val="20"/>
              </w:rPr>
              <w:t>MRO entry and New Request open the new procurement interface</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AC02</w:t>
            </w:r>
          </w:p>
        </w:tc>
        <w:tc>
          <w:tcPr>
            <w:tcW w:type="dxa" w:w="3816"/>
            <w:vAlign w:val="center"/>
            <w:shd w:fill="F3F6F8"/>
            <w:tcMar>
              <w:top w:w="80" w:type="dxa"/>
              <w:bottom w:w="80" w:type="dxa"/>
              <w:left w:w="90" w:type="dxa"/>
              <w:right w:w="90" w:type="dxa"/>
            </w:tcMar>
          </w:tcPr>
          <w:p>
            <w:pPr>
              <w:spacing w:after="0" w:line="250" w:lineRule="auto"/>
            </w:pPr>
            <w:r>
              <w:rPr>
                <w:color w:val="000000"/>
                <w:sz w:val="20"/>
              </w:rPr>
              <w:t>Submit two identical-pattern requests</w:t>
            </w:r>
          </w:p>
        </w:tc>
        <w:tc>
          <w:tcPr>
            <w:tcW w:type="dxa" w:w="5472"/>
            <w:vAlign w:val="center"/>
            <w:shd w:fill="F3F6F8"/>
            <w:tcMar>
              <w:top w:w="80" w:type="dxa"/>
              <w:bottom w:w="80" w:type="dxa"/>
              <w:left w:w="90" w:type="dxa"/>
              <w:right w:w="90" w:type="dxa"/>
            </w:tcMar>
          </w:tcPr>
          <w:p>
            <w:pPr>
              <w:spacing w:after="0" w:line="250" w:lineRule="auto"/>
            </w:pPr>
            <w:r>
              <w:rPr>
                <w:color w:val="000000"/>
                <w:sz w:val="20"/>
              </w:rPr>
              <w:t>Distinct case IDs with independent progress; duplicate demand flagged where appropriate</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AC03</w:t>
            </w:r>
          </w:p>
        </w:tc>
        <w:tc>
          <w:tcPr>
            <w:tcW w:type="dxa" w:w="3816"/>
            <w:vAlign w:val="center"/>
            <w:shd w:fill="FFFFFF"/>
            <w:tcMar>
              <w:top w:w="80" w:type="dxa"/>
              <w:bottom w:w="80" w:type="dxa"/>
              <w:left w:w="90" w:type="dxa"/>
              <w:right w:w="90" w:type="dxa"/>
            </w:tcMar>
          </w:tcPr>
          <w:p>
            <w:pPr>
              <w:spacing w:after="0" w:line="250" w:lineRule="auto"/>
            </w:pPr>
            <w:r>
              <w:rPr>
                <w:color w:val="000000"/>
                <w:sz w:val="20"/>
              </w:rPr>
              <w:t>Enter unsupported free text</w:t>
            </w:r>
          </w:p>
        </w:tc>
        <w:tc>
          <w:tcPr>
            <w:tcW w:type="dxa" w:w="5472"/>
            <w:vAlign w:val="center"/>
            <w:shd w:fill="FFFFFF"/>
            <w:tcMar>
              <w:top w:w="80" w:type="dxa"/>
              <w:bottom w:w="80" w:type="dxa"/>
              <w:left w:w="90" w:type="dxa"/>
              <w:right w:w="90" w:type="dxa"/>
            </w:tcMar>
          </w:tcPr>
          <w:p>
            <w:pPr>
              <w:spacing w:after="0" w:line="250" w:lineRule="auto"/>
            </w:pPr>
            <w:r>
              <w:rPr>
                <w:color w:val="000000"/>
                <w:sz w:val="20"/>
              </w:rPr>
              <w:t>Clarification/draft, no invented SKU or unrelated preset result</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AC04</w:t>
            </w:r>
          </w:p>
        </w:tc>
        <w:tc>
          <w:tcPr>
            <w:tcW w:type="dxa" w:w="3816"/>
            <w:vAlign w:val="center"/>
            <w:shd w:fill="F3F6F8"/>
            <w:tcMar>
              <w:top w:w="80" w:type="dxa"/>
              <w:bottom w:w="80" w:type="dxa"/>
              <w:left w:w="90" w:type="dxa"/>
              <w:right w:w="90" w:type="dxa"/>
            </w:tcMar>
          </w:tcPr>
          <w:p>
            <w:pPr>
              <w:spacing w:after="0" w:line="250" w:lineRule="auto"/>
            </w:pPr>
            <w:r>
              <w:rPr>
                <w:color w:val="000000"/>
                <w:sz w:val="20"/>
              </w:rPr>
              <w:t>Edit quantity/terms/site</w:t>
            </w:r>
          </w:p>
        </w:tc>
        <w:tc>
          <w:tcPr>
            <w:tcW w:type="dxa" w:w="5472"/>
            <w:vAlign w:val="center"/>
            <w:shd w:fill="F3F6F8"/>
            <w:tcMar>
              <w:top w:w="80" w:type="dxa"/>
              <w:bottom w:w="80" w:type="dxa"/>
              <w:left w:w="90" w:type="dxa"/>
              <w:right w:w="90" w:type="dxa"/>
            </w:tcMar>
          </w:tcPr>
          <w:p>
            <w:pPr>
              <w:spacing w:after="0" w:line="250" w:lineRule="auto"/>
            </w:pPr>
            <w:r>
              <w:rPr>
                <w:color w:val="000000"/>
                <w:sz w:val="20"/>
              </w:rPr>
              <w:t>Canonical record and downstream prices/gates/documents update</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AC05</w:t>
            </w:r>
          </w:p>
        </w:tc>
        <w:tc>
          <w:tcPr>
            <w:tcW w:type="dxa" w:w="3816"/>
            <w:vAlign w:val="center"/>
            <w:shd w:fill="FFFFFF"/>
            <w:tcMar>
              <w:top w:w="80" w:type="dxa"/>
              <w:bottom w:w="80" w:type="dxa"/>
              <w:left w:w="90" w:type="dxa"/>
              <w:right w:w="90" w:type="dxa"/>
            </w:tcMar>
          </w:tcPr>
          <w:p>
            <w:pPr>
              <w:spacing w:after="0" w:line="250" w:lineRule="auto"/>
            </w:pPr>
            <w:r>
              <w:rPr>
                <w:color w:val="000000"/>
                <w:sz w:val="20"/>
              </w:rPr>
              <w:t>Navigate/export/return</w:t>
            </w:r>
          </w:p>
        </w:tc>
        <w:tc>
          <w:tcPr>
            <w:tcW w:type="dxa" w:w="5472"/>
            <w:vAlign w:val="center"/>
            <w:shd w:fill="FFFFFF"/>
            <w:tcMar>
              <w:top w:w="80" w:type="dxa"/>
              <w:bottom w:w="80" w:type="dxa"/>
              <w:left w:w="90" w:type="dxa"/>
              <w:right w:w="90" w:type="dxa"/>
            </w:tcMar>
          </w:tcPr>
          <w:p>
            <w:pPr>
              <w:spacing w:after="0" w:line="250" w:lineRule="auto"/>
            </w:pPr>
            <w:r>
              <w:rPr>
                <w:color w:val="000000"/>
                <w:sz w:val="20"/>
              </w:rPr>
              <w:t>State preserved; export matches current record</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AC06</w:t>
            </w:r>
          </w:p>
        </w:tc>
        <w:tc>
          <w:tcPr>
            <w:tcW w:type="dxa" w:w="3816"/>
            <w:vAlign w:val="center"/>
            <w:shd w:fill="F3F6F8"/>
            <w:tcMar>
              <w:top w:w="80" w:type="dxa"/>
              <w:bottom w:w="80" w:type="dxa"/>
              <w:left w:w="90" w:type="dxa"/>
              <w:right w:w="90" w:type="dxa"/>
            </w:tcMar>
          </w:tcPr>
          <w:p>
            <w:pPr>
              <w:spacing w:after="0" w:line="250" w:lineRule="auto"/>
            </w:pPr>
            <w:r>
              <w:rPr>
                <w:color w:val="000000"/>
                <w:sz w:val="20"/>
              </w:rPr>
              <w:t>ST01 mixed route</w:t>
            </w:r>
          </w:p>
        </w:tc>
        <w:tc>
          <w:tcPr>
            <w:tcW w:type="dxa" w:w="5472"/>
            <w:vAlign w:val="center"/>
            <w:shd w:fill="F3F6F8"/>
            <w:tcMar>
              <w:top w:w="80" w:type="dxa"/>
              <w:bottom w:w="80" w:type="dxa"/>
              <w:left w:w="90" w:type="dxa"/>
              <w:right w:w="90" w:type="dxa"/>
            </w:tcMar>
          </w:tcPr>
          <w:p>
            <w:pPr>
              <w:spacing w:after="0" w:line="250" w:lineRule="auto"/>
            </w:pPr>
            <w:r>
              <w:rPr>
                <w:color w:val="000000"/>
                <w:sz w:val="20"/>
              </w:rPr>
              <w:t>Six reserved/reassigned, 14 bought; £1,680 invoice; £700 avoided net</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AC07</w:t>
            </w:r>
          </w:p>
        </w:tc>
        <w:tc>
          <w:tcPr>
            <w:tcW w:type="dxa" w:w="3816"/>
            <w:vAlign w:val="center"/>
            <w:shd w:fill="FFFFFF"/>
            <w:tcMar>
              <w:top w:w="80" w:type="dxa"/>
              <w:bottom w:w="80" w:type="dxa"/>
              <w:left w:w="90" w:type="dxa"/>
              <w:right w:w="90" w:type="dxa"/>
            </w:tcMar>
          </w:tcPr>
          <w:p>
            <w:pPr>
              <w:spacing w:after="0" w:line="250" w:lineRule="auto"/>
            </w:pPr>
            <w:r>
              <w:rPr>
                <w:color w:val="000000"/>
                <w:sz w:val="20"/>
              </w:rPr>
              <w:t>ST01 full reuse</w:t>
            </w:r>
          </w:p>
        </w:tc>
        <w:tc>
          <w:tcPr>
            <w:tcW w:type="dxa" w:w="5472"/>
            <w:vAlign w:val="center"/>
            <w:shd w:fill="FFFFFF"/>
            <w:tcMar>
              <w:top w:w="80" w:type="dxa"/>
              <w:bottom w:w="80" w:type="dxa"/>
              <w:left w:w="90" w:type="dxa"/>
              <w:right w:w="90" w:type="dxa"/>
            </w:tcMar>
          </w:tcPr>
          <w:p>
            <w:pPr>
              <w:spacing w:after="0" w:line="250" w:lineRule="auto"/>
            </w:pPr>
            <w:r>
              <w:rPr>
                <w:color w:val="000000"/>
                <w:sz w:val="20"/>
              </w:rPr>
              <w:t>Internal fulfillment, zero PO/invoice and separate avoidance evidence</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AC08</w:t>
            </w:r>
          </w:p>
        </w:tc>
        <w:tc>
          <w:tcPr>
            <w:tcW w:type="dxa" w:w="3816"/>
            <w:vAlign w:val="center"/>
            <w:shd w:fill="F3F6F8"/>
            <w:tcMar>
              <w:top w:w="80" w:type="dxa"/>
              <w:bottom w:w="80" w:type="dxa"/>
              <w:left w:w="90" w:type="dxa"/>
              <w:right w:w="90" w:type="dxa"/>
            </w:tcMar>
          </w:tcPr>
          <w:p>
            <w:pPr>
              <w:spacing w:after="0" w:line="250" w:lineRule="auto"/>
            </w:pPr>
            <w:r>
              <w:rPr>
                <w:color w:val="000000"/>
                <w:sz w:val="20"/>
              </w:rPr>
              <w:t>Stale SAM or tier/access change</w:t>
            </w:r>
          </w:p>
        </w:tc>
        <w:tc>
          <w:tcPr>
            <w:tcW w:type="dxa" w:w="5472"/>
            <w:vAlign w:val="center"/>
            <w:shd w:fill="F3F6F8"/>
            <w:tcMar>
              <w:top w:w="80" w:type="dxa"/>
              <w:bottom w:w="80" w:type="dxa"/>
              <w:left w:w="90" w:type="dxa"/>
              <w:right w:w="90" w:type="dxa"/>
            </w:tcMar>
          </w:tcPr>
          <w:p>
            <w:pPr>
              <w:spacing w:after="0" w:line="250" w:lineRule="auto"/>
            </w:pPr>
            <w:r>
              <w:rPr>
                <w:color w:val="000000"/>
                <w:sz w:val="20"/>
              </w:rPr>
              <w:t>Manual/owner/security task; no silent access grant</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AC09</w:t>
            </w:r>
          </w:p>
        </w:tc>
        <w:tc>
          <w:tcPr>
            <w:tcW w:type="dxa" w:w="3816"/>
            <w:vAlign w:val="center"/>
            <w:shd w:fill="FFFFFF"/>
            <w:tcMar>
              <w:top w:w="80" w:type="dxa"/>
              <w:bottom w:w="80" w:type="dxa"/>
              <w:left w:w="90" w:type="dxa"/>
              <w:right w:w="90" w:type="dxa"/>
            </w:tcMar>
          </w:tcPr>
          <w:p>
            <w:pPr>
              <w:spacing w:after="0" w:line="250" w:lineRule="auto"/>
            </w:pPr>
            <w:r>
              <w:rPr>
                <w:color w:val="000000"/>
                <w:sz w:val="20"/>
              </w:rPr>
              <w:t>Concurrent reuse</w:t>
            </w:r>
          </w:p>
        </w:tc>
        <w:tc>
          <w:tcPr>
            <w:tcW w:type="dxa" w:w="5472"/>
            <w:vAlign w:val="center"/>
            <w:shd w:fill="FFFFFF"/>
            <w:tcMar>
              <w:top w:w="80" w:type="dxa"/>
              <w:bottom w:w="80" w:type="dxa"/>
              <w:left w:w="90" w:type="dxa"/>
              <w:right w:w="90" w:type="dxa"/>
            </w:tcMar>
          </w:tcPr>
          <w:p>
            <w:pPr>
              <w:spacing w:after="0" w:line="250" w:lineRule="auto"/>
            </w:pPr>
            <w:r>
              <w:rPr>
                <w:color w:val="000000"/>
                <w:sz w:val="20"/>
              </w:rPr>
              <w:t>One seat cannot fulfill two cases</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AC10</w:t>
            </w:r>
          </w:p>
        </w:tc>
        <w:tc>
          <w:tcPr>
            <w:tcW w:type="dxa" w:w="3816"/>
            <w:vAlign w:val="center"/>
            <w:shd w:fill="F3F6F8"/>
            <w:tcMar>
              <w:top w:w="80" w:type="dxa"/>
              <w:bottom w:w="80" w:type="dxa"/>
              <w:left w:w="90" w:type="dxa"/>
              <w:right w:w="90" w:type="dxa"/>
            </w:tcMar>
          </w:tcPr>
          <w:p>
            <w:pPr>
              <w:spacing w:after="0" w:line="250" w:lineRule="auto"/>
            </w:pPr>
            <w:r>
              <w:rPr>
                <w:color w:val="000000"/>
                <w:sz w:val="20"/>
              </w:rPr>
              <w:t>ST02 quote analysis/BAFO</w:t>
            </w:r>
          </w:p>
        </w:tc>
        <w:tc>
          <w:tcPr>
            <w:tcW w:type="dxa" w:w="5472"/>
            <w:vAlign w:val="center"/>
            <w:shd w:fill="F3F6F8"/>
            <w:tcMar>
              <w:top w:w="80" w:type="dxa"/>
              <w:bottom w:w="80" w:type="dxa"/>
              <w:left w:w="90" w:type="dxa"/>
              <w:right w:w="90" w:type="dxa"/>
            </w:tcMar>
          </w:tcPr>
          <w:p>
            <w:pPr>
              <w:spacing w:after="0" w:line="250" w:lineRule="auto"/>
            </w:pPr>
            <w:r>
              <w:rPr>
                <w:color w:val="000000"/>
                <w:sz w:val="20"/>
              </w:rPr>
              <w:t>Comparable original £50K and final £46K; line changes preserved</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AC11</w:t>
            </w:r>
          </w:p>
        </w:tc>
        <w:tc>
          <w:tcPr>
            <w:tcW w:type="dxa" w:w="3816"/>
            <w:vAlign w:val="center"/>
            <w:shd w:fill="FFFFFF"/>
            <w:tcMar>
              <w:top w:w="80" w:type="dxa"/>
              <w:bottom w:w="80" w:type="dxa"/>
              <w:left w:w="90" w:type="dxa"/>
              <w:right w:w="90" w:type="dxa"/>
            </w:tcMar>
          </w:tcPr>
          <w:p>
            <w:pPr>
              <w:spacing w:after="0" w:line="250" w:lineRule="auto"/>
            </w:pPr>
            <w:r>
              <w:rPr>
                <w:color w:val="000000"/>
                <w:sz w:val="20"/>
              </w:rPr>
              <w:t>Noncomparable quote</w:t>
            </w:r>
          </w:p>
        </w:tc>
        <w:tc>
          <w:tcPr>
            <w:tcW w:type="dxa" w:w="5472"/>
            <w:vAlign w:val="center"/>
            <w:shd w:fill="FFFFFF"/>
            <w:tcMar>
              <w:top w:w="80" w:type="dxa"/>
              <w:bottom w:w="80" w:type="dxa"/>
              <w:left w:w="90" w:type="dxa"/>
              <w:right w:w="90" w:type="dxa"/>
            </w:tcMar>
          </w:tcPr>
          <w:p>
            <w:pPr>
              <w:spacing w:after="0" w:line="250" w:lineRule="auto"/>
            </w:pPr>
            <w:r>
              <w:rPr>
                <w:color w:val="000000"/>
                <w:sz w:val="20"/>
              </w:rPr>
              <w:t>Excluded from valid bid count and award recommendation</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AC12</w:t>
            </w:r>
          </w:p>
        </w:tc>
        <w:tc>
          <w:tcPr>
            <w:tcW w:type="dxa" w:w="3816"/>
            <w:vAlign w:val="center"/>
            <w:shd w:fill="F3F6F8"/>
            <w:tcMar>
              <w:top w:w="80" w:type="dxa"/>
              <w:bottom w:w="80" w:type="dxa"/>
              <w:left w:w="90" w:type="dxa"/>
              <w:right w:w="90" w:type="dxa"/>
            </w:tcMar>
          </w:tcPr>
          <w:p>
            <w:pPr>
              <w:spacing w:after="0" w:line="250" w:lineRule="auto"/>
            </w:pPr>
            <w:r>
              <w:rPr>
                <w:color w:val="000000"/>
                <w:sz w:val="20"/>
              </w:rPr>
              <w:t>Two bids after extension</w:t>
            </w:r>
          </w:p>
        </w:tc>
        <w:tc>
          <w:tcPr>
            <w:tcW w:type="dxa" w:w="5472"/>
            <w:vAlign w:val="center"/>
            <w:shd w:fill="F3F6F8"/>
            <w:tcMar>
              <w:top w:w="80" w:type="dxa"/>
              <w:bottom w:w="80" w:type="dxa"/>
              <w:left w:w="90" w:type="dxa"/>
              <w:right w:w="90" w:type="dxa"/>
            </w:tcMar>
          </w:tcPr>
          <w:p>
            <w:pPr>
              <w:spacing w:after="0" w:line="250" w:lineRule="auto"/>
            </w:pPr>
            <w:r>
              <w:rPr>
                <w:color w:val="000000"/>
                <w:sz w:val="20"/>
              </w:rPr>
              <w:t>Award held without Category Lead competition exception</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AC13</w:t>
            </w:r>
          </w:p>
        </w:tc>
        <w:tc>
          <w:tcPr>
            <w:tcW w:type="dxa" w:w="3816"/>
            <w:vAlign w:val="center"/>
            <w:shd w:fill="FFFFFF"/>
            <w:tcMar>
              <w:top w:w="80" w:type="dxa"/>
              <w:bottom w:w="80" w:type="dxa"/>
              <w:left w:w="90" w:type="dxa"/>
              <w:right w:w="90" w:type="dxa"/>
            </w:tcMar>
          </w:tcPr>
          <w:p>
            <w:pPr>
              <w:spacing w:after="0" w:line="250" w:lineRule="auto"/>
            </w:pPr>
            <w:r>
              <w:rPr>
                <w:color w:val="000000"/>
                <w:sz w:val="20"/>
              </w:rPr>
              <w:t>Award above £30K</w:t>
            </w:r>
          </w:p>
        </w:tc>
        <w:tc>
          <w:tcPr>
            <w:tcW w:type="dxa" w:w="5472"/>
            <w:vAlign w:val="center"/>
            <w:shd w:fill="FFFFFF"/>
            <w:tcMar>
              <w:top w:w="80" w:type="dxa"/>
              <w:bottom w:w="80" w:type="dxa"/>
              <w:left w:w="90" w:type="dxa"/>
              <w:right w:w="90" w:type="dxa"/>
            </w:tcMar>
          </w:tcPr>
          <w:p>
            <w:pPr>
              <w:spacing w:after="0" w:line="250" w:lineRule="auto"/>
            </w:pPr>
            <w:r>
              <w:rPr>
                <w:color w:val="000000"/>
                <w:sz w:val="20"/>
              </w:rPr>
              <w:t>Human Category Lead decision plus independent spend approval</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AC14</w:t>
            </w:r>
          </w:p>
        </w:tc>
        <w:tc>
          <w:tcPr>
            <w:tcW w:type="dxa" w:w="3816"/>
            <w:vAlign w:val="center"/>
            <w:shd w:fill="F3F6F8"/>
            <w:tcMar>
              <w:top w:w="80" w:type="dxa"/>
              <w:bottom w:w="80" w:type="dxa"/>
              <w:left w:w="90" w:type="dxa"/>
              <w:right w:w="90" w:type="dxa"/>
            </w:tcMar>
          </w:tcPr>
          <w:p>
            <w:pPr>
              <w:spacing w:after="0" w:line="250" w:lineRule="auto"/>
            </w:pPr>
            <w:r>
              <w:rPr>
                <w:color w:val="000000"/>
                <w:sz w:val="20"/>
              </w:rPr>
              <w:t>ST03 incumbent fit</w:t>
            </w:r>
          </w:p>
        </w:tc>
        <w:tc>
          <w:tcPr>
            <w:tcW w:type="dxa" w:w="5472"/>
            <w:vAlign w:val="center"/>
            <w:shd w:fill="F3F6F8"/>
            <w:tcMar>
              <w:top w:w="80" w:type="dxa"/>
              <w:bottom w:w="80" w:type="dxa"/>
              <w:left w:w="90" w:type="dxa"/>
              <w:right w:w="90" w:type="dxa"/>
            </w:tcMar>
          </w:tcPr>
          <w:p>
            <w:pPr>
              <w:spacing w:after="0" w:line="250" w:lineRule="auto"/>
            </w:pPr>
            <w:r>
              <w:rPr>
                <w:color w:val="000000"/>
                <w:sz w:val="20"/>
              </w:rPr>
              <w:t>£36K call-off, no new supplier; £2,400 potential then signed saving</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AC15</w:t>
            </w:r>
          </w:p>
        </w:tc>
        <w:tc>
          <w:tcPr>
            <w:tcW w:type="dxa" w:w="3816"/>
            <w:vAlign w:val="center"/>
            <w:shd w:fill="FFFFFF"/>
            <w:tcMar>
              <w:top w:w="80" w:type="dxa"/>
              <w:bottom w:w="80" w:type="dxa"/>
              <w:left w:w="90" w:type="dxa"/>
              <w:right w:w="90" w:type="dxa"/>
            </w:tcMar>
          </w:tcPr>
          <w:p>
            <w:pPr>
              <w:spacing w:after="0" w:line="250" w:lineRule="auto"/>
            </w:pPr>
            <w:r>
              <w:rPr>
                <w:color w:val="000000"/>
                <w:sz w:val="20"/>
              </w:rPr>
              <w:t>ST03 capacity unavailable</w:t>
            </w:r>
          </w:p>
        </w:tc>
        <w:tc>
          <w:tcPr>
            <w:tcW w:type="dxa" w:w="5472"/>
            <w:vAlign w:val="center"/>
            <w:shd w:fill="FFFFFF"/>
            <w:tcMar>
              <w:top w:w="80" w:type="dxa"/>
              <w:bottom w:w="80" w:type="dxa"/>
              <w:left w:w="90" w:type="dxa"/>
              <w:right w:w="90" w:type="dxa"/>
            </w:tcMar>
          </w:tcPr>
          <w:p>
            <w:pPr>
              <w:spacing w:after="0" w:line="250" w:lineRule="auto"/>
            </w:pPr>
            <w:r>
              <w:rPr>
                <w:color w:val="000000"/>
                <w:sz w:val="20"/>
              </w:rPr>
              <w:t>New-supplier path runs; PO held until bank/risk/sync complete</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AC16</w:t>
            </w:r>
          </w:p>
        </w:tc>
        <w:tc>
          <w:tcPr>
            <w:tcW w:type="dxa" w:w="3816"/>
            <w:vAlign w:val="center"/>
            <w:shd w:fill="F3F6F8"/>
            <w:tcMar>
              <w:top w:w="80" w:type="dxa"/>
              <w:bottom w:w="80" w:type="dxa"/>
              <w:left w:w="90" w:type="dxa"/>
              <w:right w:w="90" w:type="dxa"/>
            </w:tcMar>
          </w:tcPr>
          <w:p>
            <w:pPr>
              <w:spacing w:after="0" w:line="250" w:lineRule="auto"/>
            </w:pPr>
            <w:r>
              <w:rPr>
                <w:color w:val="000000"/>
                <w:sz w:val="20"/>
              </w:rPr>
              <w:t>Sanctions or bank mismatch</w:t>
            </w:r>
          </w:p>
        </w:tc>
        <w:tc>
          <w:tcPr>
            <w:tcW w:type="dxa" w:w="5472"/>
            <w:vAlign w:val="center"/>
            <w:shd w:fill="F3F6F8"/>
            <w:tcMar>
              <w:top w:w="80" w:type="dxa"/>
              <w:bottom w:w="80" w:type="dxa"/>
              <w:left w:w="90" w:type="dxa"/>
              <w:right w:w="90" w:type="dxa"/>
            </w:tcMar>
          </w:tcPr>
          <w:p>
            <w:pPr>
              <w:spacing w:after="0" w:line="250" w:lineRule="auto"/>
            </w:pPr>
            <w:r>
              <w:rPr>
                <w:color w:val="000000"/>
                <w:sz w:val="20"/>
              </w:rPr>
              <w:t>Activation blocked even at 0.99; proper escalation</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AC17</w:t>
            </w:r>
          </w:p>
        </w:tc>
        <w:tc>
          <w:tcPr>
            <w:tcW w:type="dxa" w:w="3816"/>
            <w:vAlign w:val="center"/>
            <w:shd w:fill="FFFFFF"/>
            <w:tcMar>
              <w:top w:w="80" w:type="dxa"/>
              <w:bottom w:w="80" w:type="dxa"/>
              <w:left w:w="90" w:type="dxa"/>
              <w:right w:w="90" w:type="dxa"/>
            </w:tcMar>
          </w:tcPr>
          <w:p>
            <w:pPr>
              <w:spacing w:after="0" w:line="250" w:lineRule="auto"/>
            </w:pPr>
            <w:r>
              <w:rPr>
                <w:color w:val="000000"/>
                <w:sz w:val="20"/>
              </w:rPr>
              <w:t>ST04 Green/Amber/Red</w:t>
            </w:r>
          </w:p>
        </w:tc>
        <w:tc>
          <w:tcPr>
            <w:tcW w:type="dxa" w:w="5472"/>
            <w:vAlign w:val="center"/>
            <w:shd w:fill="FFFFFF"/>
            <w:tcMar>
              <w:top w:w="80" w:type="dxa"/>
              <w:bottom w:w="80" w:type="dxa"/>
              <w:left w:w="90" w:type="dxa"/>
              <w:right w:w="90" w:type="dxa"/>
            </w:tcMar>
          </w:tcPr>
          <w:p>
            <w:pPr>
              <w:spacing w:after="0" w:line="250" w:lineRule="auto"/>
            </w:pPr>
            <w:r>
              <w:rPr>
                <w:color w:val="000000"/>
                <w:sz w:val="20"/>
              </w:rPr>
              <w:t>Green policy route, Amber delegated, Red Legal</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AC18</w:t>
            </w:r>
          </w:p>
        </w:tc>
        <w:tc>
          <w:tcPr>
            <w:tcW w:type="dxa" w:w="3816"/>
            <w:vAlign w:val="center"/>
            <w:shd w:fill="F3F6F8"/>
            <w:tcMar>
              <w:top w:w="80" w:type="dxa"/>
              <w:bottom w:w="80" w:type="dxa"/>
              <w:left w:w="90" w:type="dxa"/>
              <w:right w:w="90" w:type="dxa"/>
            </w:tcMar>
          </w:tcPr>
          <w:p>
            <w:pPr>
              <w:spacing w:after="0" w:line="250" w:lineRule="auto"/>
            </w:pPr>
            <w:r>
              <w:rPr>
                <w:color w:val="000000"/>
                <w:sz w:val="20"/>
              </w:rPr>
              <w:t>Contract signing/storage failure</w:t>
            </w:r>
          </w:p>
        </w:tc>
        <w:tc>
          <w:tcPr>
            <w:tcW w:type="dxa" w:w="5472"/>
            <w:vAlign w:val="center"/>
            <w:shd w:fill="F3F6F8"/>
            <w:tcMar>
              <w:top w:w="80" w:type="dxa"/>
              <w:bottom w:w="80" w:type="dxa"/>
              <w:left w:w="90" w:type="dxa"/>
              <w:right w:w="90" w:type="dxa"/>
            </w:tcMar>
          </w:tcPr>
          <w:p>
            <w:pPr>
              <w:spacing w:after="0" w:line="250" w:lineRule="auto"/>
            </w:pPr>
            <w:r>
              <w:rPr>
                <w:color w:val="000000"/>
                <w:sz w:val="20"/>
              </w:rPr>
              <w:t>Approved draft retained, PO still blocked</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AC19</w:t>
            </w:r>
          </w:p>
        </w:tc>
        <w:tc>
          <w:tcPr>
            <w:tcW w:type="dxa" w:w="3816"/>
            <w:vAlign w:val="center"/>
            <w:shd w:fill="FFFFFF"/>
            <w:tcMar>
              <w:top w:w="80" w:type="dxa"/>
              <w:bottom w:w="80" w:type="dxa"/>
              <w:left w:w="90" w:type="dxa"/>
              <w:right w:w="90" w:type="dxa"/>
            </w:tcMar>
          </w:tcPr>
          <w:p>
            <w:pPr>
              <w:spacing w:after="0" w:line="250" w:lineRule="auto"/>
            </w:pPr>
            <w:r>
              <w:rPr>
                <w:color w:val="000000"/>
                <w:sz w:val="20"/>
              </w:rPr>
              <w:t>ST02 to ST04 handoff</w:t>
            </w:r>
          </w:p>
        </w:tc>
        <w:tc>
          <w:tcPr>
            <w:tcW w:type="dxa" w:w="5472"/>
            <w:vAlign w:val="center"/>
            <w:shd w:fill="FFFFFF"/>
            <w:tcMar>
              <w:top w:w="80" w:type="dxa"/>
              <w:bottom w:w="80" w:type="dxa"/>
              <w:left w:w="90" w:type="dxa"/>
              <w:right w:w="90" w:type="dxa"/>
            </w:tcMar>
          </w:tcPr>
          <w:p>
            <w:pPr>
              <w:spacing w:after="0" w:line="250" w:lineRule="auto"/>
            </w:pPr>
            <w:r>
              <w:rPr>
                <w:color w:val="000000"/>
                <w:sz w:val="20"/>
              </w:rPr>
              <w:t>Same case/award/value record, no duplicate £4,000</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AC20</w:t>
            </w:r>
          </w:p>
        </w:tc>
        <w:tc>
          <w:tcPr>
            <w:tcW w:type="dxa" w:w="3816"/>
            <w:vAlign w:val="center"/>
            <w:shd w:fill="F3F6F8"/>
            <w:tcMar>
              <w:top w:w="80" w:type="dxa"/>
              <w:bottom w:w="80" w:type="dxa"/>
              <w:left w:w="90" w:type="dxa"/>
              <w:right w:w="90" w:type="dxa"/>
            </w:tcMar>
          </w:tcPr>
          <w:p>
            <w:pPr>
              <w:spacing w:after="0" w:line="250" w:lineRule="auto"/>
            </w:pPr>
            <w:r>
              <w:rPr>
                <w:color w:val="000000"/>
                <w:sz w:val="20"/>
              </w:rPr>
              <w:t>ST05 new equivalent</w:t>
            </w:r>
          </w:p>
        </w:tc>
        <w:tc>
          <w:tcPr>
            <w:tcW w:type="dxa" w:w="5472"/>
            <w:vAlign w:val="center"/>
            <w:shd w:fill="F3F6F8"/>
            <w:tcMar>
              <w:top w:w="80" w:type="dxa"/>
              <w:bottom w:w="80" w:type="dxa"/>
              <w:left w:w="90" w:type="dxa"/>
              <w:right w:w="90" w:type="dxa"/>
            </w:tcMar>
          </w:tcPr>
          <w:p>
            <w:pPr>
              <w:spacing w:after="0" w:line="250" w:lineRule="auto"/>
            </w:pPr>
            <w:r>
              <w:rPr>
                <w:color w:val="000000"/>
                <w:sz w:val="20"/>
              </w:rPr>
              <w:t>Technical signature then Buy Desk scope release before RFQ</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AC21</w:t>
            </w:r>
          </w:p>
        </w:tc>
        <w:tc>
          <w:tcPr>
            <w:tcW w:type="dxa" w:w="3816"/>
            <w:vAlign w:val="center"/>
            <w:shd w:fill="FFFFFF"/>
            <w:tcMar>
              <w:top w:w="80" w:type="dxa"/>
              <w:bottom w:w="80" w:type="dxa"/>
              <w:left w:w="90" w:type="dxa"/>
              <w:right w:w="90" w:type="dxa"/>
            </w:tcMar>
          </w:tcPr>
          <w:p>
            <w:pPr>
              <w:spacing w:after="0" w:line="250" w:lineRule="auto"/>
            </w:pPr>
            <w:r>
              <w:rPr>
                <w:color w:val="000000"/>
                <w:sz w:val="20"/>
              </w:rPr>
              <w:t>Safety-critical at 0.99</w:t>
            </w:r>
          </w:p>
        </w:tc>
        <w:tc>
          <w:tcPr>
            <w:tcW w:type="dxa" w:w="5472"/>
            <w:vAlign w:val="center"/>
            <w:shd w:fill="FFFFFF"/>
            <w:tcMar>
              <w:top w:w="80" w:type="dxa"/>
              <w:bottom w:w="80" w:type="dxa"/>
              <w:left w:w="90" w:type="dxa"/>
              <w:right w:w="90" w:type="dxa"/>
            </w:tcMar>
          </w:tcPr>
          <w:p>
            <w:pPr>
              <w:spacing w:after="0" w:line="250" w:lineRule="auto"/>
            </w:pPr>
            <w:r>
              <w:rPr>
                <w:color w:val="000000"/>
                <w:sz w:val="20"/>
              </w:rPr>
              <w:t>No auto-substitution; required technical approval remains</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AC22</w:t>
            </w:r>
          </w:p>
        </w:tc>
        <w:tc>
          <w:tcPr>
            <w:tcW w:type="dxa" w:w="3816"/>
            <w:vAlign w:val="center"/>
            <w:shd w:fill="F3F6F8"/>
            <w:tcMar>
              <w:top w:w="80" w:type="dxa"/>
              <w:bottom w:w="80" w:type="dxa"/>
              <w:left w:w="90" w:type="dxa"/>
              <w:right w:w="90" w:type="dxa"/>
            </w:tcMar>
          </w:tcPr>
          <w:p>
            <w:pPr>
              <w:spacing w:after="0" w:line="250" w:lineRule="auto"/>
            </w:pPr>
            <w:r>
              <w:rPr>
                <w:color w:val="000000"/>
                <w:sz w:val="20"/>
              </w:rPr>
              <w:t>ST05 successful purchase</w:t>
            </w:r>
          </w:p>
        </w:tc>
        <w:tc>
          <w:tcPr>
            <w:tcW w:type="dxa" w:w="5472"/>
            <w:vAlign w:val="center"/>
            <w:shd w:fill="F3F6F8"/>
            <w:tcMar>
              <w:top w:w="80" w:type="dxa"/>
              <w:bottom w:w="80" w:type="dxa"/>
              <w:left w:w="90" w:type="dxa"/>
              <w:right w:w="90" w:type="dxa"/>
            </w:tcMar>
          </w:tcPr>
          <w:p>
            <w:pPr>
              <w:spacing w:after="0" w:line="250" w:lineRule="auto"/>
            </w:pPr>
            <w:r>
              <w:rPr>
                <w:color w:val="000000"/>
                <w:sz w:val="20"/>
              </w:rPr>
              <w:t>200 × £22 = £4,400; supported saving £400</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AC23</w:t>
            </w:r>
          </w:p>
        </w:tc>
        <w:tc>
          <w:tcPr>
            <w:tcW w:type="dxa" w:w="3816"/>
            <w:vAlign w:val="center"/>
            <w:shd w:fill="FFFFFF"/>
            <w:tcMar>
              <w:top w:w="80" w:type="dxa"/>
              <w:bottom w:w="80" w:type="dxa"/>
              <w:left w:w="90" w:type="dxa"/>
              <w:right w:w="90" w:type="dxa"/>
            </w:tcMar>
          </w:tcPr>
          <w:p>
            <w:pPr>
              <w:spacing w:after="0" w:line="250" w:lineRule="auto"/>
            </w:pPr>
            <w:r>
              <w:rPr>
                <w:color w:val="000000"/>
                <w:sz w:val="20"/>
              </w:rPr>
              <w:t>Finance signature missing</w:t>
            </w:r>
          </w:p>
        </w:tc>
        <w:tc>
          <w:tcPr>
            <w:tcW w:type="dxa" w:w="5472"/>
            <w:vAlign w:val="center"/>
            <w:shd w:fill="FFFFFF"/>
            <w:tcMar>
              <w:top w:w="80" w:type="dxa"/>
              <w:bottom w:w="80" w:type="dxa"/>
              <w:left w:w="90" w:type="dxa"/>
              <w:right w:w="90" w:type="dxa"/>
            </w:tcMar>
          </w:tcPr>
          <w:p>
            <w:pPr>
              <w:spacing w:after="0" w:line="250" w:lineRule="auto"/>
            </w:pPr>
            <w:r>
              <w:rPr>
                <w:color w:val="000000"/>
                <w:sz w:val="20"/>
              </w:rPr>
              <w:t>Expected/evidenced visible, validated cash total unchanged</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AC24</w:t>
            </w:r>
          </w:p>
        </w:tc>
        <w:tc>
          <w:tcPr>
            <w:tcW w:type="dxa" w:w="3816"/>
            <w:vAlign w:val="center"/>
            <w:shd w:fill="F3F6F8"/>
            <w:tcMar>
              <w:top w:w="80" w:type="dxa"/>
              <w:bottom w:w="80" w:type="dxa"/>
              <w:left w:w="90" w:type="dxa"/>
              <w:right w:w="90" w:type="dxa"/>
            </w:tcMar>
          </w:tcPr>
          <w:p>
            <w:pPr>
              <w:spacing w:after="0" w:line="250" w:lineRule="auto"/>
            </w:pPr>
            <w:r>
              <w:rPr>
                <w:color w:val="000000"/>
                <w:sz w:val="20"/>
              </w:rPr>
              <w:t>ST02 invoice leakage/credit</w:t>
            </w:r>
          </w:p>
        </w:tc>
        <w:tc>
          <w:tcPr>
            <w:tcW w:type="dxa" w:w="5472"/>
            <w:vAlign w:val="center"/>
            <w:shd w:fill="F3F6F8"/>
            <w:tcMar>
              <w:top w:w="80" w:type="dxa"/>
              <w:bottom w:w="80" w:type="dxa"/>
              <w:left w:w="90" w:type="dxa"/>
              <w:right w:w="90" w:type="dxa"/>
            </w:tcMar>
          </w:tcPr>
          <w:p>
            <w:pPr>
              <w:spacing w:after="0" w:line="250" w:lineRule="auto"/>
            </w:pPr>
            <w:r>
              <w:rPr>
                <w:color w:val="000000"/>
                <w:sz w:val="20"/>
              </w:rPr>
              <w:t>£1K leakage then £1K credit; final £4K saving counted once</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AC25</w:t>
            </w:r>
          </w:p>
        </w:tc>
        <w:tc>
          <w:tcPr>
            <w:tcW w:type="dxa" w:w="3816"/>
            <w:vAlign w:val="center"/>
            <w:shd w:fill="FFFFFF"/>
            <w:tcMar>
              <w:top w:w="80" w:type="dxa"/>
              <w:bottom w:w="80" w:type="dxa"/>
              <w:left w:w="90" w:type="dxa"/>
              <w:right w:w="90" w:type="dxa"/>
            </w:tcMar>
          </w:tcPr>
          <w:p>
            <w:pPr>
              <w:spacing w:after="0" w:line="250" w:lineRule="auto"/>
            </w:pPr>
            <w:r>
              <w:rPr>
                <w:color w:val="000000"/>
                <w:sz w:val="20"/>
              </w:rPr>
              <w:t>Complete five main successful stories</w:t>
            </w:r>
          </w:p>
        </w:tc>
        <w:tc>
          <w:tcPr>
            <w:tcW w:type="dxa" w:w="5472"/>
            <w:vAlign w:val="center"/>
            <w:shd w:fill="FFFFFF"/>
            <w:tcMar>
              <w:top w:w="80" w:type="dxa"/>
              <w:bottom w:w="80" w:type="dxa"/>
              <w:left w:w="90" w:type="dxa"/>
              <w:right w:w="90" w:type="dxa"/>
            </w:tcMar>
          </w:tcPr>
          <w:p>
            <w:pPr>
              <w:spacing w:after="0" w:line="250" w:lineRule="auto"/>
            </w:pPr>
            <w:r>
              <w:rPr>
                <w:color w:val="000000"/>
                <w:sz w:val="20"/>
              </w:rPr>
              <w:t>Cash savings £6,800 and avoidance £700 shown separately</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AC26</w:t>
            </w:r>
          </w:p>
        </w:tc>
        <w:tc>
          <w:tcPr>
            <w:tcW w:type="dxa" w:w="3816"/>
            <w:vAlign w:val="center"/>
            <w:shd w:fill="F3F6F8"/>
            <w:tcMar>
              <w:top w:w="80" w:type="dxa"/>
              <w:bottom w:w="80" w:type="dxa"/>
              <w:left w:w="90" w:type="dxa"/>
              <w:right w:w="90" w:type="dxa"/>
            </w:tcMar>
          </w:tcPr>
          <w:p>
            <w:pPr>
              <w:spacing w:after="0" w:line="250" w:lineRule="auto"/>
            </w:pPr>
            <w:r>
              <w:rPr>
                <w:color w:val="000000"/>
                <w:sz w:val="20"/>
              </w:rPr>
              <w:t>Value Council change absent</w:t>
            </w:r>
          </w:p>
        </w:tc>
        <w:tc>
          <w:tcPr>
            <w:tcW w:type="dxa" w:w="5472"/>
            <w:vAlign w:val="center"/>
            <w:shd w:fill="F3F6F8"/>
            <w:tcMar>
              <w:top w:w="80" w:type="dxa"/>
              <w:bottom w:w="80" w:type="dxa"/>
              <w:left w:w="90" w:type="dxa"/>
              <w:right w:w="90" w:type="dxa"/>
            </w:tcMar>
          </w:tcPr>
          <w:p>
            <w:pPr>
              <w:spacing w:after="0" w:line="250" w:lineRule="auto"/>
            </w:pPr>
            <w:r>
              <w:rPr>
                <w:color w:val="000000"/>
                <w:sz w:val="20"/>
              </w:rPr>
              <w:t>Proposed policy/library remains inactive</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AC27</w:t>
            </w:r>
          </w:p>
        </w:tc>
        <w:tc>
          <w:tcPr>
            <w:tcW w:type="dxa" w:w="3816"/>
            <w:vAlign w:val="center"/>
            <w:shd w:fill="FFFFFF"/>
            <w:tcMar>
              <w:top w:w="80" w:type="dxa"/>
              <w:bottom w:w="80" w:type="dxa"/>
              <w:left w:w="90" w:type="dxa"/>
              <w:right w:w="90" w:type="dxa"/>
            </w:tcMar>
          </w:tcPr>
          <w:p>
            <w:pPr>
              <w:spacing w:after="0" w:line="250" w:lineRule="auto"/>
            </w:pPr>
            <w:r>
              <w:rPr>
                <w:color w:val="000000"/>
                <w:sz w:val="20"/>
              </w:rPr>
              <w:t>Approved change fails tests</w:t>
            </w:r>
          </w:p>
        </w:tc>
        <w:tc>
          <w:tcPr>
            <w:tcW w:type="dxa" w:w="5472"/>
            <w:vAlign w:val="center"/>
            <w:shd w:fill="FFFFFF"/>
            <w:tcMar>
              <w:top w:w="80" w:type="dxa"/>
              <w:bottom w:w="80" w:type="dxa"/>
              <w:left w:w="90" w:type="dxa"/>
              <w:right w:w="90" w:type="dxa"/>
            </w:tcMar>
          </w:tcPr>
          <w:p>
            <w:pPr>
              <w:spacing w:after="0" w:line="250" w:lineRule="auto"/>
            </w:pPr>
            <w:r>
              <w:rPr>
                <w:color w:val="000000"/>
                <w:sz w:val="20"/>
              </w:rPr>
              <w:t>Current version remains; rollback is recorded where applicable</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AC28</w:t>
            </w:r>
          </w:p>
        </w:tc>
        <w:tc>
          <w:tcPr>
            <w:tcW w:type="dxa" w:w="3816"/>
            <w:vAlign w:val="center"/>
            <w:shd w:fill="F3F6F8"/>
            <w:tcMar>
              <w:top w:w="80" w:type="dxa"/>
              <w:bottom w:w="80" w:type="dxa"/>
              <w:left w:w="90" w:type="dxa"/>
              <w:right w:w="90" w:type="dxa"/>
            </w:tcMar>
          </w:tcPr>
          <w:p>
            <w:pPr>
              <w:spacing w:after="0" w:line="250" w:lineRule="auto"/>
            </w:pPr>
            <w:r>
              <w:rPr>
                <w:color w:val="000000"/>
                <w:sz w:val="20"/>
              </w:rPr>
              <w:t>Pause agent/pattern</w:t>
            </w:r>
          </w:p>
        </w:tc>
        <w:tc>
          <w:tcPr>
            <w:tcW w:type="dxa" w:w="5472"/>
            <w:vAlign w:val="center"/>
            <w:shd w:fill="F3F6F8"/>
            <w:tcMar>
              <w:top w:w="80" w:type="dxa"/>
              <w:bottom w:w="80" w:type="dxa"/>
              <w:left w:w="90" w:type="dxa"/>
              <w:right w:w="90" w:type="dxa"/>
            </w:tcMar>
          </w:tcPr>
          <w:p>
            <w:pPr>
              <w:spacing w:after="0" w:line="250" w:lineRule="auto"/>
            </w:pPr>
            <w:r>
              <w:rPr>
                <w:color w:val="000000"/>
                <w:sz w:val="20"/>
              </w:rPr>
              <w:t>Pending work falls to human queue without lost evidence or replay</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AC29</w:t>
            </w:r>
          </w:p>
        </w:tc>
        <w:tc>
          <w:tcPr>
            <w:tcW w:type="dxa" w:w="3816"/>
            <w:vAlign w:val="center"/>
            <w:shd w:fill="FFFFFF"/>
            <w:tcMar>
              <w:top w:w="80" w:type="dxa"/>
              <w:bottom w:w="80" w:type="dxa"/>
              <w:left w:w="90" w:type="dxa"/>
              <w:right w:w="90" w:type="dxa"/>
            </w:tcMar>
          </w:tcPr>
          <w:p>
            <w:pPr>
              <w:spacing w:after="0" w:line="250" w:lineRule="auto"/>
            </w:pPr>
            <w:r>
              <w:rPr>
                <w:color w:val="000000"/>
                <w:sz w:val="20"/>
              </w:rPr>
              <w:t>Retry failure and double click</w:t>
            </w:r>
          </w:p>
        </w:tc>
        <w:tc>
          <w:tcPr>
            <w:tcW w:type="dxa" w:w="5472"/>
            <w:vAlign w:val="center"/>
            <w:shd w:fill="FFFFFF"/>
            <w:tcMar>
              <w:top w:w="80" w:type="dxa"/>
              <w:bottom w:w="80" w:type="dxa"/>
              <w:left w:w="90" w:type="dxa"/>
              <w:right w:w="90" w:type="dxa"/>
            </w:tcMar>
          </w:tcPr>
          <w:p>
            <w:pPr>
              <w:spacing w:after="0" w:line="250" w:lineRule="auto"/>
            </w:pPr>
            <w:r>
              <w:rPr>
                <w:color w:val="000000"/>
                <w:sz w:val="20"/>
              </w:rPr>
              <w:t>Three attempts maximum; one business action, correct fallback</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AC30</w:t>
            </w:r>
          </w:p>
        </w:tc>
        <w:tc>
          <w:tcPr>
            <w:tcW w:type="dxa" w:w="3816"/>
            <w:vAlign w:val="center"/>
            <w:shd w:fill="F3F6F8"/>
            <w:tcMar>
              <w:top w:w="80" w:type="dxa"/>
              <w:bottom w:w="80" w:type="dxa"/>
              <w:left w:w="90" w:type="dxa"/>
              <w:right w:w="90" w:type="dxa"/>
            </w:tcMar>
          </w:tcPr>
          <w:p>
            <w:pPr>
              <w:spacing w:after="0" w:line="250" w:lineRule="auto"/>
            </w:pPr>
            <w:r>
              <w:rPr>
                <w:color w:val="000000"/>
                <w:sz w:val="20"/>
              </w:rPr>
              <w:t>Advance 48h/72h and flow-specific timers</w:t>
            </w:r>
          </w:p>
        </w:tc>
        <w:tc>
          <w:tcPr>
            <w:tcW w:type="dxa" w:w="5472"/>
            <w:vAlign w:val="center"/>
            <w:shd w:fill="F3F6F8"/>
            <w:tcMar>
              <w:top w:w="80" w:type="dxa"/>
              <w:bottom w:w="80" w:type="dxa"/>
              <w:left w:w="90" w:type="dxa"/>
              <w:right w:w="90" w:type="dxa"/>
            </w:tcMar>
          </w:tcPr>
          <w:p>
            <w:pPr>
              <w:spacing w:after="0" w:line="250" w:lineRule="auto"/>
            </w:pPr>
            <w:r>
              <w:rPr>
                <w:color w:val="000000"/>
                <w:sz w:val="20"/>
              </w:rPr>
              <w:t>Due tasks, reminders and escalation use correct owner/time</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AC31</w:t>
            </w:r>
          </w:p>
        </w:tc>
        <w:tc>
          <w:tcPr>
            <w:tcW w:type="dxa" w:w="3816"/>
            <w:vAlign w:val="center"/>
            <w:shd w:fill="FFFFFF"/>
            <w:tcMar>
              <w:top w:w="80" w:type="dxa"/>
              <w:bottom w:w="80" w:type="dxa"/>
              <w:left w:w="90" w:type="dxa"/>
              <w:right w:w="90" w:type="dxa"/>
            </w:tcMar>
          </w:tcPr>
          <w:p>
            <w:pPr>
              <w:spacing w:after="0" w:line="250" w:lineRule="auto"/>
            </w:pPr>
            <w:r>
              <w:rPr>
                <w:color w:val="000000"/>
                <w:sz w:val="20"/>
              </w:rPr>
              <w:t>UI01 peer cards</w:t>
            </w:r>
          </w:p>
        </w:tc>
        <w:tc>
          <w:tcPr>
            <w:tcW w:type="dxa" w:w="5472"/>
            <w:vAlign w:val="center"/>
            <w:shd w:fill="FFFFFF"/>
            <w:tcMar>
              <w:top w:w="80" w:type="dxa"/>
              <w:bottom w:w="80" w:type="dxa"/>
              <w:left w:w="90" w:type="dxa"/>
              <w:right w:w="90" w:type="dxa"/>
            </w:tcMar>
          </w:tcPr>
          <w:p>
            <w:pPr>
              <w:spacing w:after="0" w:line="250" w:lineRule="auto"/>
            </w:pPr>
            <w:r>
              <w:rPr>
                <w:color w:val="000000"/>
                <w:sz w:val="20"/>
              </w:rPr>
              <w:t>Heights within 1px at all target sizes after dynamic changes</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AC32</w:t>
            </w:r>
          </w:p>
        </w:tc>
        <w:tc>
          <w:tcPr>
            <w:tcW w:type="dxa" w:w="3816"/>
            <w:vAlign w:val="center"/>
            <w:shd w:fill="F3F6F8"/>
            <w:tcMar>
              <w:top w:w="80" w:type="dxa"/>
              <w:bottom w:w="80" w:type="dxa"/>
              <w:left w:w="90" w:type="dxa"/>
              <w:right w:w="90" w:type="dxa"/>
            </w:tcMar>
          </w:tcPr>
          <w:p>
            <w:pPr>
              <w:spacing w:after="0" w:line="250" w:lineRule="auto"/>
            </w:pPr>
            <w:r>
              <w:rPr>
                <w:color w:val="000000"/>
                <w:sz w:val="20"/>
              </w:rPr>
              <w:t>UI02 text</w:t>
            </w:r>
          </w:p>
        </w:tc>
        <w:tc>
          <w:tcPr>
            <w:tcW w:type="dxa" w:w="5472"/>
            <w:vAlign w:val="center"/>
            <w:shd w:fill="F3F6F8"/>
            <w:tcMar>
              <w:top w:w="80" w:type="dxa"/>
              <w:bottom w:w="80" w:type="dxa"/>
              <w:left w:w="90" w:type="dxa"/>
              <w:right w:w="90" w:type="dxa"/>
            </w:tcMar>
          </w:tcPr>
          <w:p>
            <w:pPr>
              <w:spacing w:after="0" w:line="250" w:lineRule="auto"/>
            </w:pPr>
            <w:r>
              <w:rPr>
                <w:color w:val="000000"/>
                <w:sz w:val="20"/>
              </w:rPr>
              <w:t>No wrapped UI text/buttons or paragraph walls; full evidence reachable</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AC33</w:t>
            </w:r>
          </w:p>
        </w:tc>
        <w:tc>
          <w:tcPr>
            <w:tcW w:type="dxa" w:w="3816"/>
            <w:vAlign w:val="center"/>
            <w:shd w:fill="FFFFFF"/>
            <w:tcMar>
              <w:top w:w="80" w:type="dxa"/>
              <w:bottom w:w="80" w:type="dxa"/>
              <w:left w:w="90" w:type="dxa"/>
              <w:right w:w="90" w:type="dxa"/>
            </w:tcMar>
          </w:tcPr>
          <w:p>
            <w:pPr>
              <w:spacing w:after="0" w:line="250" w:lineRule="auto"/>
            </w:pPr>
            <w:r>
              <w:rPr>
                <w:color w:val="000000"/>
                <w:sz w:val="20"/>
              </w:rPr>
              <w:t>UI03 motion</w:t>
            </w:r>
          </w:p>
        </w:tc>
        <w:tc>
          <w:tcPr>
            <w:tcW w:type="dxa" w:w="5472"/>
            <w:vAlign w:val="center"/>
            <w:shd w:fill="FFFFFF"/>
            <w:tcMar>
              <w:top w:w="80" w:type="dxa"/>
              <w:bottom w:w="80" w:type="dxa"/>
              <w:left w:w="90" w:type="dxa"/>
              <w:right w:w="90" w:type="dxa"/>
            </w:tcMar>
          </w:tcPr>
          <w:p>
            <w:pPr>
              <w:spacing w:after="0" w:line="250" w:lineRule="auto"/>
            </w:pPr>
            <w:r>
              <w:rPr>
                <w:color w:val="000000"/>
                <w:sz w:val="20"/>
              </w:rPr>
              <w:t>Entry/press/work/result feedback; no idle fake work or stalled animation</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AC34</w:t>
            </w:r>
          </w:p>
        </w:tc>
        <w:tc>
          <w:tcPr>
            <w:tcW w:type="dxa" w:w="3816"/>
            <w:vAlign w:val="center"/>
            <w:shd w:fill="F3F6F8"/>
            <w:tcMar>
              <w:top w:w="80" w:type="dxa"/>
              <w:bottom w:w="80" w:type="dxa"/>
              <w:left w:w="90" w:type="dxa"/>
              <w:right w:w="90" w:type="dxa"/>
            </w:tcMar>
          </w:tcPr>
          <w:p>
            <w:pPr>
              <w:spacing w:after="0" w:line="250" w:lineRule="auto"/>
            </w:pPr>
            <w:r>
              <w:rPr>
                <w:color w:val="000000"/>
                <w:sz w:val="20"/>
              </w:rPr>
              <w:t>Reduced motion/hidden tab</w:t>
            </w:r>
          </w:p>
        </w:tc>
        <w:tc>
          <w:tcPr>
            <w:tcW w:type="dxa" w:w="5472"/>
            <w:vAlign w:val="center"/>
            <w:shd w:fill="F3F6F8"/>
            <w:tcMar>
              <w:top w:w="80" w:type="dxa"/>
              <w:bottom w:w="80" w:type="dxa"/>
              <w:left w:w="90" w:type="dxa"/>
              <w:right w:w="90" w:type="dxa"/>
            </w:tcMar>
          </w:tcPr>
          <w:p>
            <w:pPr>
              <w:spacing w:after="0" w:line="250" w:lineRule="auto"/>
            </w:pPr>
            <w:r>
              <w:rPr>
                <w:color w:val="000000"/>
                <w:sz w:val="20"/>
              </w:rPr>
              <w:t>Correct state/feedback without missing or repeated commits</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AC35</w:t>
            </w:r>
          </w:p>
        </w:tc>
        <w:tc>
          <w:tcPr>
            <w:tcW w:type="dxa" w:w="3816"/>
            <w:vAlign w:val="center"/>
            <w:shd w:fill="FFFFFF"/>
            <w:tcMar>
              <w:top w:w="80" w:type="dxa"/>
              <w:bottom w:w="80" w:type="dxa"/>
              <w:left w:w="90" w:type="dxa"/>
              <w:right w:w="90" w:type="dxa"/>
            </w:tcMar>
          </w:tcPr>
          <w:p>
            <w:pPr>
              <w:spacing w:after="0" w:line="250" w:lineRule="auto"/>
            </w:pPr>
            <w:r>
              <w:rPr>
                <w:color w:val="000000"/>
                <w:sz w:val="20"/>
              </w:rPr>
              <w:t>UI04 copy</w:t>
            </w:r>
          </w:p>
        </w:tc>
        <w:tc>
          <w:tcPr>
            <w:tcW w:type="dxa" w:w="5472"/>
            <w:vAlign w:val="center"/>
            <w:shd w:fill="FFFFFF"/>
            <w:tcMar>
              <w:top w:w="80" w:type="dxa"/>
              <w:bottom w:w="80" w:type="dxa"/>
              <w:left w:w="90" w:type="dxa"/>
              <w:right w:w="90" w:type="dxa"/>
            </w:tcMar>
          </w:tcPr>
          <w:p>
            <w:pPr>
              <w:spacing w:after="0" w:line="250" w:lineRule="auto"/>
            </w:pPr>
            <w:r>
              <w:rPr>
                <w:color w:val="000000"/>
                <w:sz w:val="20"/>
              </w:rPr>
              <w:t>Factual business labels; no unsupported self-claiming capability prose</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AC36</w:t>
            </w:r>
          </w:p>
        </w:tc>
        <w:tc>
          <w:tcPr>
            <w:tcW w:type="dxa" w:w="3816"/>
            <w:vAlign w:val="center"/>
            <w:shd w:fill="F3F6F8"/>
            <w:tcMar>
              <w:top w:w="80" w:type="dxa"/>
              <w:bottom w:w="80" w:type="dxa"/>
              <w:left w:w="90" w:type="dxa"/>
              <w:right w:w="90" w:type="dxa"/>
            </w:tcMar>
          </w:tcPr>
          <w:p>
            <w:pPr>
              <w:spacing w:after="0" w:line="250" w:lineRule="auto"/>
            </w:pPr>
            <w:r>
              <w:rPr>
                <w:color w:val="000000"/>
                <w:sz w:val="20"/>
              </w:rPr>
              <w:t>Identity/currency scrub</w:t>
            </w:r>
          </w:p>
        </w:tc>
        <w:tc>
          <w:tcPr>
            <w:tcW w:type="dxa" w:w="5472"/>
            <w:vAlign w:val="center"/>
            <w:shd w:fill="F3F6F8"/>
            <w:tcMar>
              <w:top w:w="80" w:type="dxa"/>
              <w:bottom w:w="80" w:type="dxa"/>
              <w:left w:w="90" w:type="dxa"/>
              <w:right w:w="90" w:type="dxa"/>
            </w:tcMar>
          </w:tcPr>
          <w:p>
            <w:pPr>
              <w:spacing w:after="0" w:line="250" w:lineRule="auto"/>
            </w:pPr>
            <w:r>
              <w:rPr>
                <w:color w:val="000000"/>
                <w:sz w:val="20"/>
              </w:rPr>
              <w:t>No customer/legacy names, USD totals or old dates in primary paths/exports</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AC37</w:t>
            </w:r>
          </w:p>
        </w:tc>
        <w:tc>
          <w:tcPr>
            <w:tcW w:type="dxa" w:w="3816"/>
            <w:vAlign w:val="center"/>
            <w:shd w:fill="FFFFFF"/>
            <w:tcMar>
              <w:top w:w="80" w:type="dxa"/>
              <w:bottom w:w="80" w:type="dxa"/>
              <w:left w:w="90" w:type="dxa"/>
              <w:right w:w="90" w:type="dxa"/>
            </w:tcMar>
          </w:tcPr>
          <w:p>
            <w:pPr>
              <w:spacing w:after="0" w:line="250" w:lineRule="auto"/>
            </w:pPr>
            <w:r>
              <w:rPr>
                <w:color w:val="000000"/>
                <w:sz w:val="20"/>
              </w:rPr>
              <w:t>Supplier scoping</w:t>
            </w:r>
          </w:p>
        </w:tc>
        <w:tc>
          <w:tcPr>
            <w:tcW w:type="dxa" w:w="5472"/>
            <w:vAlign w:val="center"/>
            <w:shd w:fill="FFFFFF"/>
            <w:tcMar>
              <w:top w:w="80" w:type="dxa"/>
              <w:bottom w:w="80" w:type="dxa"/>
              <w:left w:w="90" w:type="dxa"/>
              <w:right w:w="90" w:type="dxa"/>
            </w:tcMar>
          </w:tcPr>
          <w:p>
            <w:pPr>
              <w:spacing w:after="0" w:line="250" w:lineRule="auto"/>
            </w:pPr>
            <w:r>
              <w:rPr>
                <w:color w:val="000000"/>
                <w:sz w:val="20"/>
              </w:rPr>
              <w:t>Only own records/bids; client-only tasks unavailable</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AC38</w:t>
            </w:r>
          </w:p>
        </w:tc>
        <w:tc>
          <w:tcPr>
            <w:tcW w:type="dxa" w:w="3816"/>
            <w:vAlign w:val="center"/>
            <w:shd w:fill="F3F6F8"/>
            <w:tcMar>
              <w:top w:w="80" w:type="dxa"/>
              <w:bottom w:w="80" w:type="dxa"/>
              <w:left w:w="90" w:type="dxa"/>
              <w:right w:w="90" w:type="dxa"/>
            </w:tcMar>
          </w:tcPr>
          <w:p>
            <w:pPr>
              <w:spacing w:after="0" w:line="250" w:lineRule="auto"/>
            </w:pPr>
            <w:r>
              <w:rPr>
                <w:color w:val="000000"/>
                <w:sz w:val="20"/>
              </w:rPr>
              <w:t>Site filter</w:t>
            </w:r>
          </w:p>
        </w:tc>
        <w:tc>
          <w:tcPr>
            <w:tcW w:type="dxa" w:w="5472"/>
            <w:vAlign w:val="center"/>
            <w:shd w:fill="F3F6F8"/>
            <w:tcMar>
              <w:top w:w="80" w:type="dxa"/>
              <w:bottom w:w="80" w:type="dxa"/>
              <w:left w:w="90" w:type="dxa"/>
              <w:right w:w="90" w:type="dxa"/>
            </w:tcMar>
          </w:tcPr>
          <w:p>
            <w:pPr>
              <w:spacing w:after="0" w:line="250" w:lineRule="auto"/>
            </w:pPr>
            <w:r>
              <w:rPr>
                <w:color w:val="000000"/>
                <w:sz w:val="20"/>
              </w:rPr>
              <w:t>Solihull, Halewood, Wolverhampton and Gaydon distinct under UK</w:t>
            </w:r>
          </w:p>
        </w:tc>
      </w:tr>
      <w:tr>
        <w:trPr>
          <w:cantSplit/>
        </w:trPr>
        <w:tc>
          <w:tcPr>
            <w:tcW w:type="dxa" w:w="792"/>
            <w:vAlign w:val="center"/>
            <w:shd w:fill="FFFFFF"/>
            <w:tcMar>
              <w:top w:w="80" w:type="dxa"/>
              <w:bottom w:w="80" w:type="dxa"/>
              <w:left w:w="90" w:type="dxa"/>
              <w:right w:w="90" w:type="dxa"/>
            </w:tcMar>
          </w:tcPr>
          <w:p>
            <w:pPr>
              <w:spacing w:after="0" w:line="250" w:lineRule="auto"/>
              <w:jc w:val="center"/>
            </w:pPr>
            <w:r>
              <w:rPr>
                <w:color w:val="000000"/>
                <w:sz w:val="20"/>
              </w:rPr>
              <w:t>AC39</w:t>
            </w:r>
          </w:p>
        </w:tc>
        <w:tc>
          <w:tcPr>
            <w:tcW w:type="dxa" w:w="3816"/>
            <w:vAlign w:val="center"/>
            <w:shd w:fill="FFFFFF"/>
            <w:tcMar>
              <w:top w:w="80" w:type="dxa"/>
              <w:bottom w:w="80" w:type="dxa"/>
              <w:left w:w="90" w:type="dxa"/>
              <w:right w:w="90" w:type="dxa"/>
            </w:tcMar>
          </w:tcPr>
          <w:p>
            <w:pPr>
              <w:spacing w:after="0" w:line="250" w:lineRule="auto"/>
            </w:pPr>
            <w:r>
              <w:rPr>
                <w:color w:val="000000"/>
                <w:sz w:val="20"/>
              </w:rPr>
              <w:t>F0 opportunity</w:t>
            </w:r>
          </w:p>
        </w:tc>
        <w:tc>
          <w:tcPr>
            <w:tcW w:type="dxa" w:w="5472"/>
            <w:vAlign w:val="center"/>
            <w:shd w:fill="FFFFFF"/>
            <w:tcMar>
              <w:top w:w="80" w:type="dxa"/>
              <w:bottom w:w="80" w:type="dxa"/>
              <w:left w:w="90" w:type="dxa"/>
              <w:right w:w="90" w:type="dxa"/>
            </w:tcMar>
          </w:tcPr>
          <w:p>
            <w:pPr>
              <w:spacing w:after="0" w:line="250" w:lineRule="auto"/>
            </w:pPr>
            <w:r>
              <w:rPr>
                <w:color w:val="000000"/>
                <w:sz w:val="20"/>
              </w:rPr>
              <w:t>Category and Finance approval required; PR matches only live item</w:t>
            </w:r>
          </w:p>
        </w:tc>
      </w:tr>
      <w:tr>
        <w:trPr>
          <w:cantSplit/>
        </w:trPr>
        <w:tc>
          <w:tcPr>
            <w:tcW w:type="dxa" w:w="792"/>
            <w:vAlign w:val="center"/>
            <w:shd w:fill="F3F6F8"/>
            <w:tcMar>
              <w:top w:w="80" w:type="dxa"/>
              <w:bottom w:w="80" w:type="dxa"/>
              <w:left w:w="90" w:type="dxa"/>
              <w:right w:w="90" w:type="dxa"/>
            </w:tcMar>
          </w:tcPr>
          <w:p>
            <w:pPr>
              <w:spacing w:after="0" w:line="250" w:lineRule="auto"/>
              <w:jc w:val="center"/>
            </w:pPr>
            <w:r>
              <w:rPr>
                <w:color w:val="000000"/>
                <w:sz w:val="20"/>
              </w:rPr>
              <w:t>AC40</w:t>
            </w:r>
          </w:p>
        </w:tc>
        <w:tc>
          <w:tcPr>
            <w:tcW w:type="dxa" w:w="3816"/>
            <w:vAlign w:val="center"/>
            <w:shd w:fill="F3F6F8"/>
            <w:tcMar>
              <w:top w:w="80" w:type="dxa"/>
              <w:bottom w:w="80" w:type="dxa"/>
              <w:left w:w="90" w:type="dxa"/>
              <w:right w:w="90" w:type="dxa"/>
            </w:tcMar>
          </w:tcPr>
          <w:p>
            <w:pPr>
              <w:spacing w:after="0" w:line="250" w:lineRule="auto"/>
            </w:pPr>
            <w:r>
              <w:rPr>
                <w:color w:val="000000"/>
                <w:sz w:val="20"/>
              </w:rPr>
              <w:t>Clock/reset/reload</w:t>
            </w:r>
          </w:p>
        </w:tc>
        <w:tc>
          <w:tcPr>
            <w:tcW w:type="dxa" w:w="5472"/>
            <w:vAlign w:val="center"/>
            <w:shd w:fill="F3F6F8"/>
            <w:tcMar>
              <w:top w:w="80" w:type="dxa"/>
              <w:bottom w:w="80" w:type="dxa"/>
              <w:left w:w="90" w:type="dxa"/>
              <w:right w:w="90" w:type="dxa"/>
            </w:tcMar>
          </w:tcPr>
          <w:p>
            <w:pPr>
              <w:spacing w:after="0" w:line="250" w:lineRule="auto"/>
            </w:pPr>
            <w:r>
              <w:rPr>
                <w:color w:val="000000"/>
                <w:sz w:val="20"/>
              </w:rPr>
              <w:t>Consistent store/progress/reservations/audit; no cross-story contamination</w:t>
            </w:r>
          </w:p>
        </w:tc>
      </w:tr>
    </w:tbl>
    <w:p>
      <w:pPr>
        <w:spacing w:after="20"/>
      </w:pPr>
    </w:p>
    <w:p>
      <w:r>
        <w:rPr>
          <w:color w:val="000000"/>
        </w:rPr>
        <w:t>The demo passes only when outcomes are backed by records and actions. Animations, attractive cards or agent descriptions do not satisfy a missing workflow. Document actual checks and known limitations in repository acceptance notes.</w:t>
      </w:r>
    </w:p>
    <w:p>
      <w:pPr>
        <w:pStyle w:val="Heading1"/>
      </w:pPr>
      <w:r>
        <w:t>23 Requirement traceability and source references</w:t>
      </w:r>
    </w:p>
    <w:p>
      <w:pPr>
        <w:pStyle w:val="Heading2"/>
      </w:pPr>
      <w:r>
        <w:t>23 1 TOM to build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176"/>
        <w:gridCol w:w="4320"/>
      </w:tblGrid>
      <w:tr>
        <w:trPr>
          <w:cantSplit/>
          <w:tblHeader/>
        </w:trPr>
        <w:tc>
          <w:tcPr>
            <w:tcW w:type="dxa" w:w="1584"/>
            <w:vAlign w:val="center"/>
            <w:shd w:fill="18354B"/>
            <w:tcMar>
              <w:top w:w="80" w:type="dxa"/>
              <w:bottom w:w="80" w:type="dxa"/>
              <w:left w:w="90" w:type="dxa"/>
              <w:right w:w="90" w:type="dxa"/>
            </w:tcMar>
          </w:tcPr>
          <w:p>
            <w:pPr>
              <w:keepNext/>
              <w:spacing w:after="0" w:line="250" w:lineRule="auto"/>
            </w:pPr>
            <w:r>
              <w:rPr>
                <w:b/>
                <w:color w:val="FFFFFF"/>
                <w:sz w:val="20"/>
              </w:rPr>
              <w:t>Source physical slides</w:t>
            </w:r>
          </w:p>
        </w:tc>
        <w:tc>
          <w:tcPr>
            <w:tcW w:type="dxa" w:w="4176"/>
            <w:vAlign w:val="center"/>
            <w:shd w:fill="18354B"/>
            <w:tcMar>
              <w:top w:w="80" w:type="dxa"/>
              <w:bottom w:w="80" w:type="dxa"/>
              <w:left w:w="90" w:type="dxa"/>
              <w:right w:w="90" w:type="dxa"/>
            </w:tcMar>
          </w:tcPr>
          <w:p>
            <w:pPr>
              <w:keepNext/>
              <w:spacing w:after="0" w:line="250" w:lineRule="auto"/>
            </w:pPr>
            <w:r>
              <w:rPr>
                <w:b/>
                <w:color w:val="FFFFFF"/>
                <w:sz w:val="20"/>
              </w:rPr>
              <w:t>Requirement</w:t>
            </w:r>
          </w:p>
        </w:tc>
        <w:tc>
          <w:tcPr>
            <w:tcW w:type="dxa" w:w="4320"/>
            <w:vAlign w:val="center"/>
            <w:shd w:fill="18354B"/>
            <w:tcMar>
              <w:top w:w="80" w:type="dxa"/>
              <w:bottom w:w="80" w:type="dxa"/>
              <w:left w:w="90" w:type="dxa"/>
              <w:right w:w="90" w:type="dxa"/>
            </w:tcMar>
          </w:tcPr>
          <w:p>
            <w:pPr>
              <w:keepNext/>
              <w:spacing w:after="0" w:line="250" w:lineRule="auto"/>
            </w:pPr>
            <w:r>
              <w:rPr>
                <w:b/>
                <w:color w:val="FFFFFF"/>
                <w:sz w:val="20"/>
              </w:rPr>
              <w:t>Build area</w:t>
            </w:r>
          </w:p>
        </w:tc>
      </w:tr>
      <w:tr>
        <w:trPr>
          <w:cantSplit/>
        </w:trPr>
        <w:tc>
          <w:tcPr>
            <w:tcW w:type="dxa" w:w="1584"/>
            <w:vAlign w:val="center"/>
            <w:shd w:fill="FFFFFF"/>
            <w:tcMar>
              <w:top w:w="80" w:type="dxa"/>
              <w:bottom w:w="80" w:type="dxa"/>
              <w:left w:w="90" w:type="dxa"/>
              <w:right w:w="90" w:type="dxa"/>
            </w:tcMar>
          </w:tcPr>
          <w:p>
            <w:pPr>
              <w:spacing w:after="0" w:line="250" w:lineRule="auto"/>
            </w:pPr>
            <w:r>
              <w:rPr>
                <w:color w:val="000000"/>
                <w:sz w:val="20"/>
              </w:rPr>
              <w:t>1–2</w:t>
            </w:r>
          </w:p>
        </w:tc>
        <w:tc>
          <w:tcPr>
            <w:tcW w:type="dxa" w:w="4176"/>
            <w:vAlign w:val="center"/>
            <w:shd w:fill="FFFFFF"/>
            <w:tcMar>
              <w:top w:w="80" w:type="dxa"/>
              <w:bottom w:w="80" w:type="dxa"/>
              <w:left w:w="90" w:type="dxa"/>
              <w:right w:w="90" w:type="dxa"/>
            </w:tcMar>
          </w:tcPr>
          <w:p>
            <w:pPr>
              <w:spacing w:after="0" w:line="250" w:lineRule="auto"/>
            </w:pPr>
            <w:r>
              <w:rPr>
                <w:color w:val="000000"/>
                <w:sz w:val="20"/>
              </w:rPr>
              <w:t>Proactive/reactive routes and retained client authority</w:t>
            </w:r>
          </w:p>
        </w:tc>
        <w:tc>
          <w:tcPr>
            <w:tcW w:type="dxa" w:w="4320"/>
            <w:vAlign w:val="center"/>
            <w:shd w:fill="FFFFFF"/>
            <w:tcMar>
              <w:top w:w="80" w:type="dxa"/>
              <w:bottom w:w="80" w:type="dxa"/>
              <w:left w:w="90" w:type="dxa"/>
              <w:right w:w="90" w:type="dxa"/>
            </w:tcMar>
          </w:tcPr>
          <w:p>
            <w:pPr>
              <w:spacing w:after="0" w:line="250" w:lineRule="auto"/>
            </w:pPr>
            <w:r>
              <w:rPr>
                <w:color w:val="000000"/>
                <w:sz w:val="20"/>
              </w:rPr>
              <w:t>Sections 3–4 and case work packages</w:t>
            </w:r>
          </w:p>
        </w:tc>
      </w:tr>
      <w:tr>
        <w:trPr>
          <w:cantSplit/>
        </w:trPr>
        <w:tc>
          <w:tcPr>
            <w:tcW w:type="dxa" w:w="1584"/>
            <w:vAlign w:val="center"/>
            <w:shd w:fill="F3F6F8"/>
            <w:tcMar>
              <w:top w:w="80" w:type="dxa"/>
              <w:bottom w:w="80" w:type="dxa"/>
              <w:left w:w="90" w:type="dxa"/>
              <w:right w:w="90" w:type="dxa"/>
            </w:tcMar>
          </w:tcPr>
          <w:p>
            <w:pPr>
              <w:spacing w:after="0" w:line="250" w:lineRule="auto"/>
            </w:pPr>
            <w:r>
              <w:rPr>
                <w:color w:val="000000"/>
                <w:sz w:val="20"/>
              </w:rPr>
              <w:t>3</w:t>
            </w:r>
          </w:p>
        </w:tc>
        <w:tc>
          <w:tcPr>
            <w:tcW w:type="dxa" w:w="4176"/>
            <w:vAlign w:val="center"/>
            <w:shd w:fill="F3F6F8"/>
            <w:tcMar>
              <w:top w:w="80" w:type="dxa"/>
              <w:bottom w:w="80" w:type="dxa"/>
              <w:left w:w="90" w:type="dxa"/>
              <w:right w:w="90" w:type="dxa"/>
            </w:tcMar>
          </w:tcPr>
          <w:p>
            <w:pPr>
              <w:spacing w:after="0" w:line="250" w:lineRule="auto"/>
            </w:pPr>
            <w:r>
              <w:rPr>
                <w:color w:val="000000"/>
                <w:sz w:val="20"/>
              </w:rPr>
              <w:t>T1 baseline, T2 front door, T3 panels, T4 sourcing, T5 clauses, T6 leakage</w:t>
            </w:r>
          </w:p>
        </w:tc>
        <w:tc>
          <w:tcPr>
            <w:tcW w:type="dxa" w:w="4320"/>
            <w:vAlign w:val="center"/>
            <w:shd w:fill="F3F6F8"/>
            <w:tcMar>
              <w:top w:w="80" w:type="dxa"/>
              <w:bottom w:w="80" w:type="dxa"/>
              <w:left w:w="90" w:type="dxa"/>
              <w:right w:w="90" w:type="dxa"/>
            </w:tcMar>
          </w:tcPr>
          <w:p>
            <w:pPr>
              <w:spacing w:after="0" w:line="250" w:lineRule="auto"/>
            </w:pPr>
            <w:r>
              <w:rPr>
                <w:color w:val="000000"/>
                <w:sz w:val="20"/>
              </w:rPr>
              <w:t>Five story tags and all flows</w:t>
            </w:r>
          </w:p>
        </w:tc>
      </w:tr>
      <w:tr>
        <w:trPr>
          <w:cantSplit/>
        </w:trPr>
        <w:tc>
          <w:tcPr>
            <w:tcW w:type="dxa" w:w="1584"/>
            <w:vAlign w:val="center"/>
            <w:shd w:fill="FFFFFF"/>
            <w:tcMar>
              <w:top w:w="80" w:type="dxa"/>
              <w:bottom w:w="80" w:type="dxa"/>
              <w:left w:w="90" w:type="dxa"/>
              <w:right w:w="90" w:type="dxa"/>
            </w:tcMar>
          </w:tcPr>
          <w:p>
            <w:pPr>
              <w:spacing w:after="0" w:line="250" w:lineRule="auto"/>
            </w:pPr>
            <w:r>
              <w:rPr>
                <w:color w:val="000000"/>
                <w:sz w:val="20"/>
              </w:rPr>
              <w:t>4 and 12</w:t>
            </w:r>
          </w:p>
        </w:tc>
        <w:tc>
          <w:tcPr>
            <w:tcW w:type="dxa" w:w="4176"/>
            <w:vAlign w:val="center"/>
            <w:shd w:fill="FFFFFF"/>
            <w:tcMar>
              <w:top w:w="80" w:type="dxa"/>
              <w:bottom w:w="80" w:type="dxa"/>
              <w:left w:w="90" w:type="dxa"/>
              <w:right w:w="90" w:type="dxa"/>
            </w:tcMar>
          </w:tcPr>
          <w:p>
            <w:pPr>
              <w:spacing w:after="0" w:line="250" w:lineRule="auto"/>
            </w:pPr>
            <w:r>
              <w:rPr>
                <w:color w:val="000000"/>
                <w:sz w:val="20"/>
              </w:rPr>
              <w:t>F0 opportunity pipeline and approvals</w:t>
            </w:r>
          </w:p>
        </w:tc>
        <w:tc>
          <w:tcPr>
            <w:tcW w:type="dxa" w:w="4320"/>
            <w:vAlign w:val="center"/>
            <w:shd w:fill="FFFFFF"/>
            <w:tcMar>
              <w:top w:w="80" w:type="dxa"/>
              <w:bottom w:w="80" w:type="dxa"/>
              <w:left w:w="90" w:type="dxa"/>
              <w:right w:w="90" w:type="dxa"/>
            </w:tcMar>
          </w:tcPr>
          <w:p>
            <w:pPr>
              <w:spacing w:after="0" w:line="250" w:lineRule="auto"/>
            </w:pPr>
            <w:r>
              <w:rPr>
                <w:color w:val="000000"/>
                <w:sz w:val="20"/>
              </w:rPr>
              <w:t>Opportunities, ST01 monthly licence finding</w:t>
            </w:r>
          </w:p>
        </w:tc>
      </w:tr>
      <w:tr>
        <w:trPr>
          <w:cantSplit/>
        </w:trPr>
        <w:tc>
          <w:tcPr>
            <w:tcW w:type="dxa" w:w="1584"/>
            <w:vAlign w:val="center"/>
            <w:shd w:fill="F3F6F8"/>
            <w:tcMar>
              <w:top w:w="80" w:type="dxa"/>
              <w:bottom w:w="80" w:type="dxa"/>
              <w:left w:w="90" w:type="dxa"/>
              <w:right w:w="90" w:type="dxa"/>
            </w:tcMar>
          </w:tcPr>
          <w:p>
            <w:pPr>
              <w:spacing w:after="0" w:line="250" w:lineRule="auto"/>
            </w:pPr>
            <w:r>
              <w:rPr>
                <w:color w:val="000000"/>
                <w:sz w:val="20"/>
              </w:rPr>
              <w:t>5 and 13</w:t>
            </w:r>
          </w:p>
        </w:tc>
        <w:tc>
          <w:tcPr>
            <w:tcW w:type="dxa" w:w="4176"/>
            <w:vAlign w:val="center"/>
            <w:shd w:fill="F3F6F8"/>
            <w:tcMar>
              <w:top w:w="80" w:type="dxa"/>
              <w:bottom w:w="80" w:type="dxa"/>
              <w:left w:w="90" w:type="dxa"/>
              <w:right w:w="90" w:type="dxa"/>
            </w:tcMar>
          </w:tcPr>
          <w:p>
            <w:pPr>
              <w:spacing w:after="0" w:line="250" w:lineRule="auto"/>
            </w:pPr>
            <w:r>
              <w:rPr>
                <w:color w:val="000000"/>
                <w:sz w:val="20"/>
              </w:rPr>
              <w:t>F1 intake, channel, approval and PO</w:t>
            </w:r>
          </w:p>
        </w:tc>
        <w:tc>
          <w:tcPr>
            <w:tcW w:type="dxa" w:w="4320"/>
            <w:vAlign w:val="center"/>
            <w:shd w:fill="F3F6F8"/>
            <w:tcMar>
              <w:top w:w="80" w:type="dxa"/>
              <w:bottom w:w="80" w:type="dxa"/>
              <w:left w:w="90" w:type="dxa"/>
              <w:right w:w="90" w:type="dxa"/>
            </w:tcMar>
          </w:tcPr>
          <w:p>
            <w:pPr>
              <w:spacing w:after="0" w:line="250" w:lineRule="auto"/>
            </w:pPr>
            <w:r>
              <w:rPr>
                <w:color w:val="000000"/>
                <w:sz w:val="20"/>
              </w:rPr>
              <w:t>New Request and case workspace</w:t>
            </w:r>
          </w:p>
        </w:tc>
      </w:tr>
      <w:tr>
        <w:trPr>
          <w:cantSplit/>
        </w:trPr>
        <w:tc>
          <w:tcPr>
            <w:tcW w:type="dxa" w:w="1584"/>
            <w:vAlign w:val="center"/>
            <w:shd w:fill="FFFFFF"/>
            <w:tcMar>
              <w:top w:w="80" w:type="dxa"/>
              <w:bottom w:w="80" w:type="dxa"/>
              <w:left w:w="90" w:type="dxa"/>
              <w:right w:w="90" w:type="dxa"/>
            </w:tcMar>
          </w:tcPr>
          <w:p>
            <w:pPr>
              <w:spacing w:after="0" w:line="250" w:lineRule="auto"/>
            </w:pPr>
            <w:r>
              <w:rPr>
                <w:color w:val="000000"/>
                <w:sz w:val="20"/>
              </w:rPr>
              <w:t>6 and 14</w:t>
            </w:r>
          </w:p>
        </w:tc>
        <w:tc>
          <w:tcPr>
            <w:tcW w:type="dxa" w:w="4176"/>
            <w:vAlign w:val="center"/>
            <w:shd w:fill="FFFFFF"/>
            <w:tcMar>
              <w:top w:w="80" w:type="dxa"/>
              <w:bottom w:w="80" w:type="dxa"/>
              <w:left w:w="90" w:type="dxa"/>
              <w:right w:w="90" w:type="dxa"/>
            </w:tcMar>
          </w:tcPr>
          <w:p>
            <w:pPr>
              <w:spacing w:after="0" w:line="250" w:lineRule="auto"/>
            </w:pPr>
            <w:r>
              <w:rPr>
                <w:color w:val="000000"/>
                <w:sz w:val="20"/>
              </w:rPr>
              <w:t>F2 competition, evaluation, BAFO and award</w:t>
            </w:r>
          </w:p>
        </w:tc>
        <w:tc>
          <w:tcPr>
            <w:tcW w:type="dxa" w:w="4320"/>
            <w:vAlign w:val="center"/>
            <w:shd w:fill="FFFFFF"/>
            <w:tcMar>
              <w:top w:w="80" w:type="dxa"/>
              <w:bottom w:w="80" w:type="dxa"/>
              <w:left w:w="90" w:type="dxa"/>
              <w:right w:w="90" w:type="dxa"/>
            </w:tcMar>
          </w:tcPr>
          <w:p>
            <w:pPr>
              <w:spacing w:after="0" w:line="250" w:lineRule="auto"/>
            </w:pPr>
            <w:r>
              <w:rPr>
                <w:color w:val="000000"/>
                <w:sz w:val="20"/>
              </w:rPr>
              <w:t>ST02/ST05 and renewal branch</w:t>
            </w:r>
          </w:p>
        </w:tc>
      </w:tr>
      <w:tr>
        <w:trPr>
          <w:cantSplit/>
        </w:trPr>
        <w:tc>
          <w:tcPr>
            <w:tcW w:type="dxa" w:w="1584"/>
            <w:vAlign w:val="center"/>
            <w:shd w:fill="F3F6F8"/>
            <w:tcMar>
              <w:top w:w="80" w:type="dxa"/>
              <w:bottom w:w="80" w:type="dxa"/>
              <w:left w:w="90" w:type="dxa"/>
              <w:right w:w="90" w:type="dxa"/>
            </w:tcMar>
          </w:tcPr>
          <w:p>
            <w:pPr>
              <w:spacing w:after="0" w:line="250" w:lineRule="auto"/>
            </w:pPr>
            <w:r>
              <w:rPr>
                <w:color w:val="000000"/>
                <w:sz w:val="20"/>
              </w:rPr>
              <w:t>7 and 15</w:t>
            </w:r>
          </w:p>
        </w:tc>
        <w:tc>
          <w:tcPr>
            <w:tcW w:type="dxa" w:w="4176"/>
            <w:vAlign w:val="center"/>
            <w:shd w:fill="F3F6F8"/>
            <w:tcMar>
              <w:top w:w="80" w:type="dxa"/>
              <w:bottom w:w="80" w:type="dxa"/>
              <w:left w:w="90" w:type="dxa"/>
              <w:right w:w="90" w:type="dxa"/>
            </w:tcMar>
          </w:tcPr>
          <w:p>
            <w:pPr>
              <w:spacing w:after="0" w:line="250" w:lineRule="auto"/>
            </w:pPr>
            <w:r>
              <w:rPr>
                <w:color w:val="000000"/>
                <w:sz w:val="20"/>
              </w:rPr>
              <w:t>F3 clause bands and repository gate</w:t>
            </w:r>
          </w:p>
        </w:tc>
        <w:tc>
          <w:tcPr>
            <w:tcW w:type="dxa" w:w="4320"/>
            <w:vAlign w:val="center"/>
            <w:shd w:fill="F3F6F8"/>
            <w:tcMar>
              <w:top w:w="80" w:type="dxa"/>
              <w:bottom w:w="80" w:type="dxa"/>
              <w:left w:w="90" w:type="dxa"/>
              <w:right w:w="90" w:type="dxa"/>
            </w:tcMar>
          </w:tcPr>
          <w:p>
            <w:pPr>
              <w:spacing w:after="0" w:line="250" w:lineRule="auto"/>
            </w:pPr>
            <w:r>
              <w:rPr>
                <w:color w:val="000000"/>
                <w:sz w:val="20"/>
              </w:rPr>
              <w:t>ST04 contract workbench</w:t>
            </w:r>
          </w:p>
        </w:tc>
      </w:tr>
      <w:tr>
        <w:trPr>
          <w:cantSplit/>
        </w:trPr>
        <w:tc>
          <w:tcPr>
            <w:tcW w:type="dxa" w:w="1584"/>
            <w:vAlign w:val="center"/>
            <w:shd w:fill="FFFFFF"/>
            <w:tcMar>
              <w:top w:w="80" w:type="dxa"/>
              <w:bottom w:w="80" w:type="dxa"/>
              <w:left w:w="90" w:type="dxa"/>
              <w:right w:w="90" w:type="dxa"/>
            </w:tcMar>
          </w:tcPr>
          <w:p>
            <w:pPr>
              <w:spacing w:after="0" w:line="250" w:lineRule="auto"/>
            </w:pPr>
            <w:r>
              <w:rPr>
                <w:color w:val="000000"/>
                <w:sz w:val="20"/>
              </w:rPr>
              <w:t>8 and 16</w:t>
            </w:r>
          </w:p>
        </w:tc>
        <w:tc>
          <w:tcPr>
            <w:tcW w:type="dxa" w:w="4176"/>
            <w:vAlign w:val="center"/>
            <w:shd w:fill="FFFFFF"/>
            <w:tcMar>
              <w:top w:w="80" w:type="dxa"/>
              <w:bottom w:w="80" w:type="dxa"/>
              <w:left w:w="90" w:type="dxa"/>
              <w:right w:w="90" w:type="dxa"/>
            </w:tcMar>
          </w:tcPr>
          <w:p>
            <w:pPr>
              <w:spacing w:after="0" w:line="250" w:lineRule="auto"/>
            </w:pPr>
            <w:r>
              <w:rPr>
                <w:color w:val="000000"/>
                <w:sz w:val="20"/>
              </w:rPr>
              <w:t>F4 panels, onboarding, bank and risk</w:t>
            </w:r>
          </w:p>
        </w:tc>
        <w:tc>
          <w:tcPr>
            <w:tcW w:type="dxa" w:w="4320"/>
            <w:vAlign w:val="center"/>
            <w:shd w:fill="FFFFFF"/>
            <w:tcMar>
              <w:top w:w="80" w:type="dxa"/>
              <w:bottom w:w="80" w:type="dxa"/>
              <w:left w:w="90" w:type="dxa"/>
              <w:right w:w="90" w:type="dxa"/>
            </w:tcMar>
          </w:tcPr>
          <w:p>
            <w:pPr>
              <w:spacing w:after="0" w:line="250" w:lineRule="auto"/>
            </w:pPr>
            <w:r>
              <w:rPr>
                <w:color w:val="000000"/>
                <w:sz w:val="20"/>
              </w:rPr>
              <w:t>ST03 supplier workbench</w:t>
            </w:r>
          </w:p>
        </w:tc>
      </w:tr>
      <w:tr>
        <w:trPr>
          <w:cantSplit/>
        </w:trPr>
        <w:tc>
          <w:tcPr>
            <w:tcW w:type="dxa" w:w="1584"/>
            <w:vAlign w:val="center"/>
            <w:shd w:fill="F3F6F8"/>
            <w:tcMar>
              <w:top w:w="80" w:type="dxa"/>
              <w:bottom w:w="80" w:type="dxa"/>
              <w:left w:w="90" w:type="dxa"/>
              <w:right w:w="90" w:type="dxa"/>
            </w:tcMar>
          </w:tcPr>
          <w:p>
            <w:pPr>
              <w:spacing w:after="0" w:line="250" w:lineRule="auto"/>
            </w:pPr>
            <w:r>
              <w:rPr>
                <w:color w:val="000000"/>
                <w:sz w:val="20"/>
              </w:rPr>
              <w:t>9 and 17</w:t>
            </w:r>
          </w:p>
        </w:tc>
        <w:tc>
          <w:tcPr>
            <w:tcW w:type="dxa" w:w="4176"/>
            <w:vAlign w:val="center"/>
            <w:shd w:fill="F3F6F8"/>
            <w:tcMar>
              <w:top w:w="80" w:type="dxa"/>
              <w:bottom w:w="80" w:type="dxa"/>
              <w:left w:w="90" w:type="dxa"/>
              <w:right w:w="90" w:type="dxa"/>
            </w:tcMar>
          </w:tcPr>
          <w:p>
            <w:pPr>
              <w:spacing w:after="0" w:line="250" w:lineRule="auto"/>
            </w:pPr>
            <w:r>
              <w:rPr>
                <w:color w:val="000000"/>
                <w:sz w:val="20"/>
              </w:rPr>
              <w:t>F5 invoice evidence, Finance and council</w:t>
            </w:r>
          </w:p>
        </w:tc>
        <w:tc>
          <w:tcPr>
            <w:tcW w:type="dxa" w:w="4320"/>
            <w:vAlign w:val="center"/>
            <w:shd w:fill="F3F6F8"/>
            <w:tcMar>
              <w:top w:w="80" w:type="dxa"/>
              <w:bottom w:w="80" w:type="dxa"/>
              <w:left w:w="90" w:type="dxa"/>
              <w:right w:w="90" w:type="dxa"/>
            </w:tcMar>
          </w:tcPr>
          <w:p>
            <w:pPr>
              <w:spacing w:after="0" w:line="250" w:lineRule="auto"/>
            </w:pPr>
            <w:r>
              <w:rPr>
                <w:color w:val="000000"/>
                <w:sz w:val="20"/>
              </w:rPr>
              <w:t>Value Assurance and Governance</w:t>
            </w:r>
          </w:p>
        </w:tc>
      </w:tr>
      <w:tr>
        <w:trPr>
          <w:cantSplit/>
        </w:trPr>
        <w:tc>
          <w:tcPr>
            <w:tcW w:type="dxa" w:w="1584"/>
            <w:vAlign w:val="center"/>
            <w:shd w:fill="FFFFFF"/>
            <w:tcMar>
              <w:top w:w="80" w:type="dxa"/>
              <w:bottom w:w="80" w:type="dxa"/>
              <w:left w:w="90" w:type="dxa"/>
              <w:right w:w="90" w:type="dxa"/>
            </w:tcMar>
          </w:tcPr>
          <w:p>
            <w:pPr>
              <w:spacing w:after="0" w:line="250" w:lineRule="auto"/>
            </w:pPr>
            <w:r>
              <w:rPr>
                <w:color w:val="000000"/>
                <w:sz w:val="20"/>
              </w:rPr>
              <w:t>10–11</w:t>
            </w:r>
          </w:p>
        </w:tc>
        <w:tc>
          <w:tcPr>
            <w:tcW w:type="dxa" w:w="4176"/>
            <w:vAlign w:val="center"/>
            <w:shd w:fill="FFFFFF"/>
            <w:tcMar>
              <w:top w:w="80" w:type="dxa"/>
              <w:bottom w:w="80" w:type="dxa"/>
              <w:left w:w="90" w:type="dxa"/>
              <w:right w:w="90" w:type="dxa"/>
            </w:tcMar>
          </w:tcPr>
          <w:p>
            <w:pPr>
              <w:spacing w:after="0" w:line="250" w:lineRule="auto"/>
            </w:pPr>
            <w:r>
              <w:rPr>
                <w:color w:val="000000"/>
                <w:sz w:val="20"/>
              </w:rPr>
              <w:t>Agent roster, confidence and value-band gates</w:t>
            </w:r>
          </w:p>
        </w:tc>
        <w:tc>
          <w:tcPr>
            <w:tcW w:type="dxa" w:w="4320"/>
            <w:vAlign w:val="center"/>
            <w:shd w:fill="FFFFFF"/>
            <w:tcMar>
              <w:top w:w="80" w:type="dxa"/>
              <w:bottom w:w="80" w:type="dxa"/>
              <w:left w:w="90" w:type="dxa"/>
              <w:right w:w="90" w:type="dxa"/>
            </w:tcMar>
          </w:tcPr>
          <w:p>
            <w:pPr>
              <w:spacing w:after="0" w:line="250" w:lineRule="auto"/>
            </w:pPr>
            <w:r>
              <w:rPr>
                <w:color w:val="000000"/>
                <w:sz w:val="20"/>
              </w:rPr>
              <w:t>Central decision engine</w:t>
            </w:r>
          </w:p>
        </w:tc>
      </w:tr>
      <w:tr>
        <w:trPr>
          <w:cantSplit/>
        </w:trPr>
        <w:tc>
          <w:tcPr>
            <w:tcW w:type="dxa" w:w="1584"/>
            <w:vAlign w:val="center"/>
            <w:shd w:fill="F3F6F8"/>
            <w:tcMar>
              <w:top w:w="80" w:type="dxa"/>
              <w:bottom w:w="80" w:type="dxa"/>
              <w:left w:w="90" w:type="dxa"/>
              <w:right w:w="90" w:type="dxa"/>
            </w:tcMar>
          </w:tcPr>
          <w:p>
            <w:pPr>
              <w:spacing w:after="0" w:line="250" w:lineRule="auto"/>
            </w:pPr>
            <w:r>
              <w:rPr>
                <w:color w:val="000000"/>
                <w:sz w:val="20"/>
              </w:rPr>
              <w:t>18–19</w:t>
            </w:r>
          </w:p>
        </w:tc>
        <w:tc>
          <w:tcPr>
            <w:tcW w:type="dxa" w:w="4176"/>
            <w:vAlign w:val="center"/>
            <w:shd w:fill="F3F6F8"/>
            <w:tcMar>
              <w:top w:w="80" w:type="dxa"/>
              <w:bottom w:w="80" w:type="dxa"/>
              <w:left w:w="90" w:type="dxa"/>
              <w:right w:w="90" w:type="dxa"/>
            </w:tcMar>
          </w:tcPr>
          <w:p>
            <w:pPr>
              <w:spacing w:after="0" w:line="250" w:lineRule="auto"/>
            </w:pPr>
            <w:r>
              <w:rPr>
                <w:color w:val="000000"/>
                <w:sz w:val="20"/>
              </w:rPr>
              <w:t>Decisions, approval ladder and escalation</w:t>
            </w:r>
          </w:p>
        </w:tc>
        <w:tc>
          <w:tcPr>
            <w:tcW w:type="dxa" w:w="4320"/>
            <w:vAlign w:val="center"/>
            <w:shd w:fill="F3F6F8"/>
            <w:tcMar>
              <w:top w:w="80" w:type="dxa"/>
              <w:bottom w:w="80" w:type="dxa"/>
              <w:left w:w="90" w:type="dxa"/>
              <w:right w:w="90" w:type="dxa"/>
            </w:tcMar>
          </w:tcPr>
          <w:p>
            <w:pPr>
              <w:spacing w:after="0" w:line="250" w:lineRule="auto"/>
            </w:pPr>
            <w:r>
              <w:rPr>
                <w:color w:val="000000"/>
                <w:sz w:val="20"/>
              </w:rPr>
              <w:t>Role tasks and audit</w:t>
            </w:r>
          </w:p>
        </w:tc>
      </w:tr>
      <w:tr>
        <w:trPr>
          <w:cantSplit/>
        </w:trPr>
        <w:tc>
          <w:tcPr>
            <w:tcW w:type="dxa" w:w="1584"/>
            <w:vAlign w:val="center"/>
            <w:shd w:fill="FFFFFF"/>
            <w:tcMar>
              <w:top w:w="80" w:type="dxa"/>
              <w:bottom w:w="80" w:type="dxa"/>
              <w:left w:w="90" w:type="dxa"/>
              <w:right w:w="90" w:type="dxa"/>
            </w:tcMar>
          </w:tcPr>
          <w:p>
            <w:pPr>
              <w:spacing w:after="0" w:line="250" w:lineRule="auto"/>
            </w:pPr>
            <w:r>
              <w:rPr>
                <w:color w:val="000000"/>
                <w:sz w:val="20"/>
              </w:rPr>
              <w:t>20</w:t>
            </w:r>
          </w:p>
        </w:tc>
        <w:tc>
          <w:tcPr>
            <w:tcW w:type="dxa" w:w="4176"/>
            <w:vAlign w:val="center"/>
            <w:shd w:fill="FFFFFF"/>
            <w:tcMar>
              <w:top w:w="80" w:type="dxa"/>
              <w:bottom w:w="80" w:type="dxa"/>
              <w:left w:w="90" w:type="dxa"/>
              <w:right w:w="90" w:type="dxa"/>
            </w:tcMar>
          </w:tcPr>
          <w:p>
            <w:pPr>
              <w:spacing w:after="0" w:line="250" w:lineRule="auto"/>
            </w:pPr>
            <w:r>
              <w:rPr>
                <w:color w:val="000000"/>
                <w:sz w:val="20"/>
              </w:rPr>
              <w:t>Ten hard constraints and friction protocol</w:t>
            </w:r>
          </w:p>
        </w:tc>
        <w:tc>
          <w:tcPr>
            <w:tcW w:type="dxa" w:w="4320"/>
            <w:vAlign w:val="center"/>
            <w:shd w:fill="FFFFFF"/>
            <w:tcMar>
              <w:top w:w="80" w:type="dxa"/>
              <w:bottom w:w="80" w:type="dxa"/>
              <w:left w:w="90" w:type="dxa"/>
              <w:right w:w="90" w:type="dxa"/>
            </w:tcMar>
          </w:tcPr>
          <w:p>
            <w:pPr>
              <w:spacing w:after="0" w:line="250" w:lineRule="auto"/>
            </w:pPr>
            <w:r>
              <w:rPr>
                <w:color w:val="000000"/>
                <w:sz w:val="20"/>
              </w:rPr>
              <w:t>Gate service, failure branches and AC tests</w:t>
            </w:r>
          </w:p>
        </w:tc>
      </w:tr>
      <w:tr>
        <w:trPr>
          <w:cantSplit/>
        </w:trPr>
        <w:tc>
          <w:tcPr>
            <w:tcW w:type="dxa" w:w="1584"/>
            <w:vAlign w:val="center"/>
            <w:shd w:fill="F3F6F8"/>
            <w:tcMar>
              <w:top w:w="80" w:type="dxa"/>
              <w:bottom w:w="80" w:type="dxa"/>
              <w:left w:w="90" w:type="dxa"/>
              <w:right w:w="90" w:type="dxa"/>
            </w:tcMar>
          </w:tcPr>
          <w:p>
            <w:pPr>
              <w:spacing w:after="0" w:line="250" w:lineRule="auto"/>
            </w:pPr>
            <w:r>
              <w:rPr>
                <w:color w:val="000000"/>
                <w:sz w:val="20"/>
              </w:rPr>
              <w:t>21</w:t>
            </w:r>
          </w:p>
        </w:tc>
        <w:tc>
          <w:tcPr>
            <w:tcW w:type="dxa" w:w="4176"/>
            <w:vAlign w:val="center"/>
            <w:shd w:fill="F3F6F8"/>
            <w:tcMar>
              <w:top w:w="80" w:type="dxa"/>
              <w:bottom w:w="80" w:type="dxa"/>
              <w:left w:w="90" w:type="dxa"/>
              <w:right w:w="90" w:type="dxa"/>
            </w:tcMar>
          </w:tcPr>
          <w:p>
            <w:pPr>
              <w:spacing w:after="0" w:line="250" w:lineRule="auto"/>
            </w:pPr>
            <w:r>
              <w:rPr>
                <w:color w:val="000000"/>
                <w:sz w:val="20"/>
              </w:rPr>
              <w:t>Measures, knowledge, case and governed learning memory</w:t>
            </w:r>
          </w:p>
        </w:tc>
        <w:tc>
          <w:tcPr>
            <w:tcW w:type="dxa" w:w="4320"/>
            <w:vAlign w:val="center"/>
            <w:shd w:fill="F3F6F8"/>
            <w:tcMar>
              <w:top w:w="80" w:type="dxa"/>
              <w:bottom w:w="80" w:type="dxa"/>
              <w:left w:w="90" w:type="dxa"/>
              <w:right w:w="90" w:type="dxa"/>
            </w:tcMar>
          </w:tcPr>
          <w:p>
            <w:pPr>
              <w:spacing w:after="0" w:line="250" w:lineRule="auto"/>
            </w:pPr>
            <w:r>
              <w:rPr>
                <w:color w:val="000000"/>
                <w:sz w:val="20"/>
              </w:rPr>
              <w:t>Analytics, versions and value records</w:t>
            </w:r>
          </w:p>
        </w:tc>
      </w:tr>
    </w:tbl>
    <w:p>
      <w:pPr>
        <w:spacing w:after="20"/>
      </w:pPr>
    </w:p>
    <w:p>
      <w:r>
        <w:rPr>
          <w:color w:val="000000"/>
        </w:rPr>
        <w:t>The five-story matrix maps source row 6 to ST01, 9 to ST02, 4 to ST03, 10 to ST04 and 2 to ST05. Its application/security and technical-owner controls extend the role model. The user's four explicit UI restrictions map to UI01–UI04 and AC31–AC35. Physical slide numbering takes priority over footer labels in this trace.</w:t>
      </w:r>
    </w:p>
    <w:p>
      <w:pPr>
        <w:pStyle w:val="Heading2"/>
      </w:pPr>
      <w:r>
        <w:t>23 2 Public product evidence</w:t>
      </w:r>
    </w:p>
    <w:p>
      <w:pPr>
        <w:pStyle w:val="ListBullet"/>
      </w:pPr>
      <w:r>
        <w:rPr>
          <w:color w:val="000000"/>
        </w:rPr>
        <w:t>SKF product data for model 6205, including 25 mm bore, 52 mm outside diameter and 15 mm width: https://cdn.skfmediahub.skf.com/api/public/094f3ab4599ba988/pdf_preview_medium/094f3ab4599ba988_pdf_preview_medium.pdf</w:t>
      </w:r>
    </w:p>
    <w:p>
      <w:pPr>
        <w:pStyle w:val="ListBullet"/>
      </w:pPr>
      <w:r>
        <w:rPr>
          <w:color w:val="000000"/>
        </w:rPr>
        <w:t>Schaeffler FAG Generation C catalogue, model 6205-C dimension table on printed page 15: https://www.schaeffler.com/remotemedien/media/_shared_media/08_media_library/01_publications/schaeffler_2/tpi/downloads_8/tpi_165_de_en.pdf</w:t>
      </w:r>
    </w:p>
    <w:p>
      <w:pPr>
        <w:pStyle w:val="ListBullet"/>
      </w:pPr>
      <w:r>
        <w:rPr>
          <w:color w:val="000000"/>
        </w:rPr>
        <w:t>Optional 3M 6055 product identity: https://www.3m.co.uk/3M/en_GB/p/d/v000078858/</w:t>
      </w:r>
    </w:p>
    <w:p>
      <w:pPr>
        <w:pStyle w:val="ListBullet"/>
      </w:pPr>
      <w:r>
        <w:rPr>
          <w:color w:val="000000"/>
        </w:rPr>
        <w:t>Optional 3M 6055 four-pair pack identity: https://www.3m.co.uk/3M/en_GB/p/d/v101711020/</w:t>
      </w:r>
    </w:p>
    <w:p>
      <w:r>
        <w:rPr>
          <w:color w:val="000000"/>
        </w:rPr>
        <w:t>Product references establish designations and published attributes. They do not establish client installation, technical equivalence, negotiated pricing, supplier approval or safety suitability. Those are explicit demo evidence and approval records. The anonymous site registry does not expose customer branding.</w:t>
      </w:r>
    </w:p>
    <w:p>
      <w:r>
        <w:br w:type="page"/>
      </w:r>
    </w:p>
    <w:p>
      <w:pPr>
        <w:pStyle w:val="Heading1"/>
      </w:pPr>
      <w:r>
        <w:t>24 Instructions for Claude build execution</w:t>
      </w:r>
    </w:p>
    <w:p>
      <w:r>
        <w:rPr>
          <w:color w:val="000000"/>
        </w:rPr>
        <w:t>Use this PRD as the build contract. Read the active entry, MRO store/state, intake, workspace, case files and reusable components before changing the implementation. Preserve the existing interaction and visual conventions while replacing the domain fixtures and adding missing workflows.</w:t>
      </w:r>
    </w:p>
    <w:p>
      <w:r>
        <w:rPr>
          <w:color w:val="000000"/>
        </w:rPr>
        <w:t>Implement the five stories exactly as functional cases. Connect them through six TOM flows, not five disconnected mockup pages. Keep New Request primary. ST04 must work both from ST02's award and standalone with seeded upstream evidence. Every approval and external mock event must update the same domain store used by dashboards and documents.</w:t>
      </w:r>
    </w:p>
    <w:p>
      <w:r>
        <w:rPr>
          <w:color w:val="000000"/>
        </w:rPr>
        <w:t>Reuse the section 18 components and the beat-by-beat mappings in section 13. Where a component is missing, create it using current Panel/card/modal/icon/motion tokens. Adapt reused components for equal dynamic row heights, one-line UI items, complete action/entry feedback and concise factual copy. Do not introduce explanatory prose to cover missing behavior.</w:t>
      </w:r>
    </w:p>
    <w:p>
      <w:r>
        <w:rPr>
          <w:color w:val="000000"/>
        </w:rPr>
        <w:t>Treat HC01–HC10 and UI01–UI04 as mandatory. All story values, current states, scores and outcomes derive from canonical records. Keep real manufacturer identifiers separate from illustrative prices and application approvals. Keep the actual customer's name/logo out of UI and generated artifacts. Do not call an unsigned saving validated, a scheduled payment paid, or a manually approved case fully touchless.</w:t>
      </w:r>
    </w:p>
    <w:p>
      <w:r>
        <w:rPr>
          <w:color w:val="000000"/>
        </w:rPr>
        <w:t>Build in the section 21 order. Run targeted domain checks, project build/lint and visual interaction acceptance. Deliver working code, data, story controls and the updated presenter script. Record actual verification results and unresolved limitations. Do not finish with agent profiles, placeholder workbenches, generic success notifications or benefit claims in place of implemented workflows.</w:t>
      </w:r>
    </w:p>
    <w:sectPr w:rsidR="00FC693F" w:rsidRPr="0006063C" w:rsidSect="00034616">
      <w:headerReference w:type="default" r:id="rId9"/>
      <w:footerReference w:type="default" r:id="rId10"/>
      <w:pgSz w:w="12240" w:h="15840"/>
      <w:pgMar w:top="1008" w:right="1080" w:bottom="1008"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Automotive Procurement   Build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Automotive Indirect Procurement Demo Build PRD</dc:title>
  <dc:subject>Five demonstration stories and six procurement operating-model flows</dc:subject>
  <dc:creator/>
  <cp:keywords>procurement, build PRD, component reuse, workflow, demo</cp:keywords>
  <dc:description>generated by python-docx</dc:description>
  <cp:lastModifiedBy/>
  <cp:revision>1</cp:revision>
  <dcterms:created xsi:type="dcterms:W3CDTF">2013-12-23T23:15:00Z</dcterms:created>
  <dcterms:modified xsi:type="dcterms:W3CDTF">2013-12-23T23:15:00Z</dcterms:modified>
  <cp:category/>
</cp:coreProperties>
</file>