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Beamer</w:t>
      </w:r>
      <w:r>
        <w:t xml:space="preserve"> </w:t>
      </w:r>
      <w:r>
        <w:t xml:space="preserve">Slides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Wai-Shing</w:t>
      </w:r>
      <w:r>
        <w:t xml:space="preserve"> </w:t>
      </w:r>
      <w:r>
        <w:t xml:space="preserve">Luk</w:t>
      </w:r>
    </w:p>
    <w:p>
      <w:pPr>
        <w:pStyle w:val="Date"/>
      </w:pPr>
    </w:p>
    <w:bookmarkStart w:id="24" w:name="introduction"/>
    <w:p>
      <w:pPr>
        <w:pStyle w:val="Heading1"/>
      </w:pPr>
      <w:r>
        <w:t xml:space="preserve">Introduction</w:t>
      </w:r>
    </w:p>
    <w:bookmarkStart w:id="22" w:name="sec:intro"/>
    <w:p>
      <w:pPr>
        <w:pStyle w:val="Heading2"/>
      </w:pPr>
      <w:r>
        <w:t xml:space="preserve">Why and Why not</w:t>
      </w:r>
    </w:p>
    <w:bookmarkStart w:id="20" w:name="why-markup-language"/>
    <w:p>
      <w:pPr>
        <w:pStyle w:val="Heading3"/>
      </w:pPr>
      <w:r>
        <w:t xml:space="preserve">Why Markup Language?</w:t>
      </w:r>
    </w:p>
    <w:p>
      <w:pPr>
        <w:numPr>
          <w:ilvl w:val="0"/>
          <w:numId w:val="1001"/>
        </w:numPr>
        <w:pStyle w:val="Compact"/>
      </w:pPr>
      <w:r>
        <w:t xml:space="preserve">Separate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style</w:t>
      </w:r>
      <w:r>
        <w:t xml:space="preserve">”</w:t>
      </w:r>
      <w:r>
        <w:t xml:space="preserve">.</w:t>
      </w:r>
    </w:p>
    <w:bookmarkEnd w:id="20"/>
    <w:bookmarkStart w:id="21" w:name="why-pandoc-and-beamer"/>
    <w:p>
      <w:pPr>
        <w:pStyle w:val="Heading3"/>
      </w:pPr>
      <w:r>
        <w:t xml:space="preserve">Why Pandoc and Beamer?</w:t>
      </w:r>
    </w:p>
    <w:p>
      <w:pPr>
        <w:numPr>
          <w:ilvl w:val="0"/>
          <w:numId w:val="1002"/>
        </w:numPr>
        <w:pStyle w:val="Compact"/>
      </w:pPr>
      <w:r>
        <w:t xml:space="preserve">For professional presentation.</w:t>
      </w:r>
    </w:p>
    <w:p>
      <w:pPr>
        <w:numPr>
          <w:ilvl w:val="0"/>
          <w:numId w:val="1002"/>
        </w:numPr>
        <w:pStyle w:val="Compact"/>
      </w:pPr>
      <w:r>
        <w:t xml:space="preserve">Tikz diagrams.</w:t>
      </w:r>
    </w:p>
    <w:p>
      <w:pPr>
        <w:numPr>
          <w:ilvl w:val="0"/>
          <w:numId w:val="1002"/>
        </w:numPr>
        <w:pStyle w:val="Compact"/>
      </w:pPr>
      <w:r>
        <w:t xml:space="preserve">Cross reference</w:t>
      </w:r>
    </w:p>
    <w:bookmarkEnd w:id="21"/>
    <w:bookmarkEnd w:id="22"/>
    <w:bookmarkStart w:id="23" w:name="a-simple-example-intro.md"/>
    <w:p>
      <w:pPr>
        <w:pStyle w:val="Heading2"/>
      </w:pPr>
      <w:r>
        <w:t xml:space="preserve">A simple example</w:t>
      </w:r>
      <w:r>
        <w:t xml:space="preserve"> </w:t>
      </w:r>
      <w:r>
        <w:rPr>
          <w:rStyle w:val="VerbatimChar"/>
        </w:rPr>
        <w:t xml:space="preserve">intro.md</w:t>
      </w:r>
    </w:p>
    <w:p>
      <w:pPr>
        <w:pStyle w:val="SourceCode"/>
      </w:pPr>
      <w:r>
        <w:rPr>
          <w:rStyle w:val="CommentTok"/>
        </w:rPr>
        <w:t xml:space="preserve">---</w:t>
      </w:r>
      <w:r>
        <w:br/>
      </w:r>
      <w:r>
        <w:rPr>
          <w:rStyle w:val="AnnotationTok"/>
        </w:rPr>
        <w:t xml:space="preserve">title:</w:t>
      </w:r>
      <w:r>
        <w:rPr>
          <w:rStyle w:val="CommentTok"/>
        </w:rPr>
        <w:t xml:space="preserve"> Beamer Slides using Pandoc and Markdown</w:t>
      </w:r>
      <w:r>
        <w:br/>
      </w:r>
      <w:r>
        <w:rPr>
          <w:rStyle w:val="AnnotationTok"/>
        </w:rPr>
        <w:t xml:space="preserve">author:</w:t>
      </w:r>
      <w:r>
        <w:rPr>
          <w:rStyle w:val="CommentTok"/>
        </w:rPr>
        <w:t xml:space="preserve"> Wai-Shing Luk</w:t>
      </w:r>
      <w:r>
        <w:br/>
      </w:r>
      <w:r>
        <w:rPr>
          <w:rStyle w:val="AnnotationTok"/>
        </w:rPr>
        <w:t xml:space="preserve">bibliography:</w:t>
      </w:r>
      <w:r>
        <w:rPr>
          <w:rStyle w:val="CommentTok"/>
        </w:rPr>
        <w:t xml:space="preserve"> papers.bib</w:t>
      </w:r>
      <w:r>
        <w:br/>
      </w:r>
      <w:r>
        <w:rPr>
          <w:rStyle w:val="CommentTok"/>
        </w:rPr>
        <w:t xml:space="preserve">...</w:t>
      </w:r>
      <w:r>
        <w:br/>
      </w:r>
      <w:r>
        <w:br/>
      </w:r>
      <w:r>
        <w:rPr>
          <w:rStyle w:val="FunctionTok"/>
        </w:rPr>
        <w:t xml:space="preserve"># Introduction {#sec:intro}</w:t>
      </w:r>
      <w:r>
        <w:br/>
      </w:r>
      <w:r>
        <w:br/>
      </w:r>
      <w:r>
        <w:rPr>
          <w:rStyle w:val="FunctionTok"/>
        </w:rPr>
        <w:t xml:space="preserve">## Why and Why not</w:t>
      </w:r>
      <w:r>
        <w:br/>
      </w:r>
      <w:r>
        <w:br/>
      </w:r>
      <w:r>
        <w:rPr>
          <w:rStyle w:val="FunctionTok"/>
        </w:rPr>
        <w:t xml:space="preserve">### Why Markup Language?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Separate "content" with "style".</w:t>
      </w:r>
      <w:r>
        <w:br/>
      </w:r>
      <w:r>
        <w:br/>
      </w:r>
      <w:r>
        <w:rPr>
          <w:rStyle w:val="FunctionTok"/>
        </w:rPr>
        <w:t xml:space="preserve">### Why Beamer?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For professional presentation.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Tikz diagrams.</w:t>
      </w:r>
    </w:p>
    <w:bookmarkEnd w:id="23"/>
    <w:bookmarkEnd w:id="24"/>
    <w:bookmarkStart w:id="45" w:name="pandoc"/>
    <w:p>
      <w:pPr>
        <w:pStyle w:val="Heading1"/>
      </w:pPr>
      <w:r>
        <w:rPr>
          <w:rStyle w:val="VerbatimChar"/>
        </w:rPr>
        <w:t xml:space="preserve">pandoc</w:t>
      </w:r>
    </w:p>
    <w:bookmarkStart w:id="26" w:name="sec:pandoc"/>
    <w:p>
      <w:pPr>
        <w:pStyle w:val="Heading2"/>
      </w:pPr>
      <w:r>
        <w:t xml:space="preserve">pandoc</w:t>
      </w:r>
    </w:p>
    <w:p>
      <w:pPr>
        <w:pStyle w:val="FirstParagraph"/>
      </w:pPr>
      <w:r>
        <w:t xml:space="preserve">Pandoc is a Haskell library for converting from one markup format to</w:t>
      </w:r>
      <w:r>
        <w:t xml:space="preserve"> </w:t>
      </w:r>
      <w:r>
        <w:t xml:space="preserve">another</w:t>
      </w:r>
      <w:r>
        <w:rPr>
          <w:rStyle w:val="FootnoteReference"/>
        </w:rPr>
        <w:footnoteReference w:id="25"/>
      </w:r>
      <w:r>
        <w:t xml:space="preserve">, and a command-line tool that uses this library. It can read</w:t>
      </w:r>
      <w:r>
        <w:t xml:space="preserve"> </w:t>
      </w:r>
      <w:r>
        <w:t xml:space="preserve">Markdown and write</w:t>
      </w:r>
      <w:r>
        <w:t xml:space="preserve"> </w:t>
      </w:r>
      <w:r>
        <w:t xml:space="preserve"> or Beamer.</w:t>
      </w:r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intro.md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intro.tex</w:t>
      </w:r>
    </w:p>
    <w:p>
      <w:pPr>
        <w:pStyle w:val="FirstParagraph"/>
      </w:pPr>
      <w:r>
        <w:t xml:space="preserve">or directly to a pdf file: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intro.md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26"/>
    <w:bookmarkStart w:id="27" w:name="a-simple-header-beamer.yaml"/>
    <w:p>
      <w:pPr>
        <w:pStyle w:val="Heading2"/>
      </w:pPr>
      <w:r>
        <w:t xml:space="preserve">A simple header</w:t>
      </w:r>
      <w:r>
        <w:t xml:space="preserve"> </w:t>
      </w:r>
      <w:r>
        <w:rPr>
          <w:rStyle w:val="VerbatimChar"/>
        </w:rPr>
        <w:t xml:space="preserve">beamer.yaml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10pt</w:t>
      </w:r>
      <w:r>
        <w:br/>
      </w:r>
      <w:r>
        <w:rPr>
          <w:rStyle w:val="FunctionTok"/>
        </w:rPr>
        <w:t xml:space="preserve">classoption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serif,onlymath</w:t>
      </w:r>
      <w:r>
        <w:br/>
      </w:r>
      <w:r>
        <w:rPr>
          <w:rStyle w:val="FunctionTok"/>
        </w:rPr>
        <w:t xml:space="preserve">institute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Fudan University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\today</w:t>
      </w:r>
      <w:r>
        <w:br/>
      </w:r>
      <w:r>
        <w:rPr>
          <w:rStyle w:val="FunctionTok"/>
        </w:rPr>
        <w:t xml:space="preserve">link-citations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colorlinks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header-includes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\usetheme{default}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\usepackage{tikz,pgf,pgfplots}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\usetikzlibrary{arrows}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\definecolor{qqqqff}{rgb}{0.,0.,1.}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\newcommand{\columnsbegin}{\begin{columns}}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\newcommand{\columnsend}{\end{columns}}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\newcommand{\col}[1]{\column{</w:t>
      </w:r>
      <w:r>
        <w:rPr>
          <w:rStyle w:val="CommentTok"/>
        </w:rPr>
        <w:t xml:space="preserve">#1}}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\pgfdeclareimage[height=0.5cm]{fudan-logo}{fudan-logo.jpg}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\logo{\pgfuseimage{fudan-logo}}</w:t>
      </w:r>
      <w:r>
        <w:br/>
      </w:r>
      <w:r>
        <w:rPr>
          <w:rStyle w:val="CommentTok"/>
        </w:rPr>
        <w:t xml:space="preserve">...</w:t>
      </w:r>
    </w:p>
    <w:bookmarkEnd w:id="27"/>
    <w:bookmarkStart w:id="28" w:name="render-equations-using-latex"/>
    <w:p>
      <w:pPr>
        <w:pStyle w:val="Heading2"/>
      </w:pPr>
      <w:r>
        <w:t xml:space="preserve">Render Equations using LaTeX</w:t>
      </w:r>
    </w:p>
    <w:p>
      <w:pPr>
        <w:pStyle w:val="SourceCode"/>
      </w:pPr>
      <w:r>
        <w:rPr>
          <w:rStyle w:val="NormalTok"/>
        </w:rPr>
        <w:t xml:space="preserve">Consider the following problem:</w:t>
      </w:r>
      <w:r>
        <w:br/>
      </w:r>
      <w:r>
        <w:br/>
      </w:r>
      <w:r>
        <w:rPr>
          <w:rStyle w:val="SpecialStringTok"/>
        </w:rPr>
        <w:t xml:space="preserve">$$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{ll}</w:t>
      </w:r>
      <w:r>
        <w:br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{minimize}</w:t>
      </w:r>
      <w:r>
        <w:rPr>
          <w:rStyle w:val="SpecialStringTok"/>
        </w:rPr>
        <w:t xml:space="preserve">    &amp; f_0(x),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{subject to}</w:t>
      </w:r>
      <w:r>
        <w:rPr>
          <w:rStyle w:val="SpecialStringTok"/>
        </w:rPr>
        <w:t xml:space="preserve">  &amp; F(x)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0,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$$</w:t>
      </w:r>
      <w:r>
        <w:rPr>
          <w:rStyle w:val="NormalTok"/>
        </w:rPr>
        <w:t xml:space="preserve"> {#eq:semidef}</w:t>
      </w:r>
      <w:r>
        <w:br/>
      </w:r>
      <w:r>
        <w:br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$F(x)$</w:t>
      </w:r>
      <w:r>
        <w:rPr>
          <w:rStyle w:val="NormalTok"/>
        </w:rPr>
        <w:t xml:space="preserve">: a matrix-valued function</w:t>
      </w:r>
      <w:r>
        <w:br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$A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0$</w:t>
      </w:r>
      <w:r>
        <w:rPr>
          <w:rStyle w:val="NormalTok"/>
        </w:rPr>
        <w:t xml:space="preserve"> denotes </w:t>
      </w:r>
      <w:r>
        <w:rPr>
          <w:rStyle w:val="SpecialStringTok"/>
        </w:rPr>
        <w:t xml:space="preserve">$A$</w:t>
      </w:r>
      <w:r>
        <w:rPr>
          <w:rStyle w:val="NormalTok"/>
        </w:rPr>
        <w:t xml:space="preserve"> is</w:t>
      </w:r>
      <w:r>
        <w:br/>
      </w:r>
      <w:r>
        <w:rPr>
          <w:rStyle w:val="NormalTok"/>
        </w:rPr>
        <w:t xml:space="preserve">  positive semidefinite.</w:t>
      </w:r>
    </w:p>
    <w:bookmarkEnd w:id="28"/>
    <w:bookmarkStart w:id="30" w:name="render-equations-using-latex-result"/>
    <w:p>
      <w:pPr>
        <w:pStyle w:val="Heading2"/>
      </w:pPr>
      <w:r>
        <w:t xml:space="preserve">Render Equations using LaTeX (result)</w:t>
      </w:r>
    </w:p>
    <w:p>
      <w:pPr>
        <w:pStyle w:val="FirstParagraph"/>
      </w:pPr>
      <w:r>
        <w:t xml:space="preserve">Consider the following problem:</w:t>
      </w:r>
    </w:p>
    <w:p>
      <w:pPr>
        <w:pStyle w:val="BodyText"/>
      </w:pPr>
      <w:bookmarkStart w:id="29" w:name="eq:semidef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≽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9"/>
    </w:p>
    <w:p>
      <w:pPr>
        <w:numPr>
          <w:ilvl w:val="0"/>
          <w:numId w:val="100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a matrix-valued function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≽</m:t>
        </m:r>
        <m:r>
          <m:t>0</m:t>
        </m:r>
      </m:oMath>
      <w:r>
        <w:t xml:space="preserve"> </w:t>
      </w:r>
      <w:r>
        <w:t xml:space="preserve">denotes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semidefinite.</w:t>
      </w:r>
    </w:p>
    <w:bookmarkEnd w:id="30"/>
    <w:bookmarkStart w:id="31" w:name="how-to-make-a-two-column-slide"/>
    <w:p>
      <w:pPr>
        <w:pStyle w:val="Heading2"/>
      </w:pPr>
      <w:r>
        <w:t xml:space="preserve">How to make a two-column slide</w:t>
      </w:r>
    </w:p>
    <w:p>
      <w:pPr>
        <w:pStyle w:val="SourceCode"/>
      </w:pPr>
      <w:r>
        <w:rPr>
          <w:rStyle w:val="NormalTok"/>
        </w:rPr>
        <w:t xml:space="preserve">\columnsbegin</w:t>
      </w:r>
      <w:r>
        <w:br/>
      </w:r>
      <w:r>
        <w:br/>
      </w:r>
      <w:r>
        <w:rPr>
          <w:rStyle w:val="NormalTok"/>
        </w:rPr>
        <w:t xml:space="preserve">\col{0.5\textwidth}</w:t>
      </w:r>
      <w:r>
        <w:br/>
      </w:r>
      <w:r>
        <w:br/>
      </w:r>
      <w:r>
        <w:rPr>
          <w:rStyle w:val="NormalTok"/>
        </w:rPr>
        <w:t xml:space="preserve">  Left-hand side</w:t>
      </w:r>
      <w:r>
        <w:br/>
      </w:r>
      <w:r>
        <w:br/>
      </w:r>
      <w:r>
        <w:rPr>
          <w:rStyle w:val="NormalTok"/>
        </w:rPr>
        <w:t xml:space="preserve">\col{0.5\textwidth}</w:t>
      </w:r>
      <w:r>
        <w:br/>
      </w:r>
      <w:r>
        <w:br/>
      </w:r>
      <w:r>
        <w:rPr>
          <w:rStyle w:val="NormalTok"/>
        </w:rPr>
        <w:t xml:space="preserve">  Right-hand side</w:t>
      </w:r>
      <w:r>
        <w:br/>
      </w:r>
      <w:r>
        <w:br/>
      </w:r>
      <w:r>
        <w:rPr>
          <w:rStyle w:val="NormalTok"/>
        </w:rPr>
        <w:t xml:space="preserve">\columnsend</w:t>
      </w:r>
    </w:p>
    <w:bookmarkEnd w:id="31"/>
    <w:bookmarkStart w:id="32" w:name="figures-markdown"/>
    <w:p>
      <w:pPr>
        <w:pStyle w:val="Heading2"/>
      </w:pPr>
      <w:r>
        <w:t xml:space="preserve">Figures (markdown)</w:t>
      </w:r>
    </w:p>
    <w:p>
      <w:pPr>
        <w:pStyle w:val="FirstParagraph"/>
      </w:pPr>
      <w:r>
        <w:t xml:space="preserve">An image occurring by itself in a paragraph will be rendered as a figure</w:t>
      </w:r>
      <w:r>
        <w:t xml:space="preserve"> </w:t>
      </w:r>
      <w:r>
        <w:t xml:space="preserve">with a caption.</w:t>
      </w:r>
    </w:p>
    <w:p>
      <w:pPr>
        <w:pStyle w:val="SourceCode"/>
      </w:pPr>
      <w:r>
        <w:rPr>
          <w:rStyle w:val="AlertTok"/>
        </w:rPr>
        <w:t xml:space="preserve">![This is the caption](media/image2.jpeg)</w:t>
      </w:r>
      <w:r>
        <w:rPr>
          <w:rStyle w:val="NormalTok"/>
        </w:rPr>
        <w:t xml:space="preserve">{#fig:figure0}</w:t>
      </w:r>
    </w:p>
    <w:bookmarkEnd w:id="32"/>
    <w:bookmarkStart w:id="36" w:name="figures-result"/>
    <w:p>
      <w:pPr>
        <w:pStyle w:val="Heading2"/>
      </w:pPr>
      <w:r>
        <w:t xml:space="preserve">Figures (result)</w:t>
      </w:r>
    </w:p>
    <w:p>
      <w:pPr>
        <w:pStyle w:val="CaptionedFigure"/>
      </w:pPr>
      <w:r>
        <w:drawing>
          <wp:inline>
            <wp:extent cx="2107276" cy="1201189"/>
            <wp:effectExtent b="0" l="0" r="0" t="0"/>
            <wp:docPr descr="This is the caption" title="" id="34" name="Picture"/>
            <a:graphic>
              <a:graphicData uri="http://schemas.openxmlformats.org/drawingml/2006/picture">
                <pic:pic>
                  <pic:nvPicPr>
                    <pic:cNvPr descr="media/image2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</w:t>
      </w:r>
    </w:p>
    <w:bookmarkEnd w:id="36"/>
    <w:bookmarkStart w:id="37" w:name="figures-contd"/>
    <w:p>
      <w:pPr>
        <w:pStyle w:val="Heading2"/>
      </w:pPr>
      <w:r>
        <w:t xml:space="preserve">Figures (cont’d)</w:t>
      </w:r>
    </w:p>
    <w:p>
      <w:pPr>
        <w:pStyle w:val="FirstParagraph"/>
      </w:pPr>
      <w:r>
        <w:t xml:space="preserve">If you just want a regular inline image, just make sure it is not the</w:t>
      </w:r>
      <w:r>
        <w:t xml:space="preserve"> </w:t>
      </w:r>
      <w:r>
        <w:t xml:space="preserve">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AlertTok"/>
        </w:rPr>
        <w:t xml:space="preserve">![No caption](media/image2.jpeg)</w:t>
      </w:r>
      <w:r>
        <w:rPr>
          <w:rStyle w:val="NormalTok"/>
        </w:rPr>
        <w:t xml:space="preserve">\</w:t>
      </w:r>
    </w:p>
    <w:bookmarkEnd w:id="37"/>
    <w:bookmarkStart w:id="40" w:name="figures-result-1"/>
    <w:p>
      <w:pPr>
        <w:pStyle w:val="Heading2"/>
      </w:pPr>
      <w:r>
        <w:t xml:space="preserve">Figures (result)</w:t>
      </w:r>
    </w:p>
    <w:p>
      <w:pPr>
        <w:pStyle w:val="FirstParagraph"/>
      </w:pPr>
      <w:r>
        <w:drawing>
          <wp:inline>
            <wp:extent cx="2107276" cy="1201189"/>
            <wp:effectExtent b="0" l="0" r="0" t="0"/>
            <wp:docPr descr="No caption" title="" id="38" name="Picture"/>
            <a:graphic>
              <a:graphicData uri="http://schemas.openxmlformats.org/drawingml/2006/picture">
                <pic:pic>
                  <pic:nvPicPr>
                    <pic:cNvPr descr="media/image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render-diagrams-using-tikz-markdown"/>
    <w:p>
      <w:pPr>
        <w:pStyle w:val="Heading2"/>
      </w:pPr>
      <w:r>
        <w:t xml:space="preserve">Render Diagrams using Tikz (markdown)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}[hp]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FunctionTok"/>
        </w:rPr>
        <w:t xml:space="preserve">\input</w:t>
      </w:r>
      <w:r>
        <w:rPr>
          <w:rStyle w:val="NormalTok"/>
        </w:rPr>
        <w:t xml:space="preserve">{pole2polar.tikz}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{Example of constructing</w:t>
      </w:r>
      <w:r>
        <w:br/>
      </w:r>
      <w:r>
        <w:rPr>
          <w:rStyle w:val="NormalTok"/>
        </w:rPr>
        <w:t xml:space="preserve">    the polar of a point}</w:t>
      </w:r>
      <w:r>
        <w:rPr>
          <w:rStyle w:val="CommentTok"/>
        </w:rPr>
        <w:t xml:space="preserve">%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fig:pole2polar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41"/>
    <w:bookmarkStart w:id="42" w:name="render-diagrams-using-tikz-result"/>
    <w:p>
      <w:pPr>
        <w:pStyle w:val="Heading2"/>
      </w:pPr>
      <w:r>
        <w:t xml:space="preserve">Render Diagrams using Tikz (result)</w:t>
      </w:r>
    </w:p>
    <w:bookmarkEnd w:id="42"/>
    <w:bookmarkStart w:id="43" w:name="table-markdown"/>
    <w:p>
      <w:pPr>
        <w:pStyle w:val="Heading2"/>
      </w:pPr>
      <w:r>
        <w:t xml:space="preserve">Table (markdown)</w:t>
      </w:r>
    </w:p>
    <w:p>
      <w:pPr>
        <w:pStyle w:val="FirstParagraph"/>
      </w:pPr>
      <w:r>
        <w:t xml:space="preserve">Simple tables can be generated using Markdown.</w:t>
      </w:r>
    </w:p>
    <w:p>
      <w:pPr>
        <w:pStyle w:val="SourceCode"/>
      </w:pPr>
      <w:r>
        <w:rPr>
          <w:rStyle w:val="NormalTok"/>
        </w:rPr>
        <w:t xml:space="preserve">| Costs        | 28nm      | 20nm        |</w:t>
      </w:r>
      <w:r>
        <w:br/>
      </w:r>
      <w:r>
        <w:rPr>
          <w:rStyle w:val="NormalTok"/>
        </w:rPr>
        <w:t xml:space="preserve">| ------------ | --------- | ----------- |</w:t>
      </w:r>
      <w:r>
        <w:br/>
      </w:r>
      <w:r>
        <w:rPr>
          <w:rStyle w:val="NormalTok"/>
        </w:rPr>
        <w:t xml:space="preserve">| Fab Costs    | 3B        | 4B - 7B     |</w:t>
      </w:r>
      <w:r>
        <w:br/>
      </w:r>
      <w:r>
        <w:rPr>
          <w:rStyle w:val="NormalTok"/>
        </w:rPr>
        <w:t xml:space="preserve">| Process R&amp;D  | 1.2B      | 2.1B - 3B   |</w:t>
      </w:r>
      <w:r>
        <w:br/>
      </w:r>
      <w:r>
        <w:rPr>
          <w:rStyle w:val="NormalTok"/>
        </w:rPr>
        <w:t xml:space="preserve">| Mask Costs   | 2M - 3M   | 5M - 8M     |</w:t>
      </w:r>
      <w:r>
        <w:br/>
      </w:r>
      <w:r>
        <w:rPr>
          <w:rStyle w:val="NormalTok"/>
        </w:rPr>
        <w:t xml:space="preserve">| Design Costs | 50M - 90M | 120M - 500M |</w:t>
      </w:r>
      <w:r>
        <w:br/>
      </w:r>
      <w:r>
        <w:br/>
      </w:r>
      <w:r>
        <w:rPr>
          <w:rStyle w:val="NormalTok"/>
        </w:rPr>
        <w:t xml:space="preserve">: Fab, process, mask, and design</w:t>
      </w:r>
      <w:r>
        <w:br/>
      </w:r>
      <w:r>
        <w:rPr>
          <w:rStyle w:val="NormalTok"/>
        </w:rPr>
        <w:t xml:space="preserve">  costs {#tbl:fab}</w:t>
      </w:r>
    </w:p>
    <w:bookmarkEnd w:id="43"/>
    <w:bookmarkStart w:id="44" w:name="table-result"/>
    <w:p>
      <w:pPr>
        <w:pStyle w:val="Heading2"/>
      </w:pPr>
      <w:r>
        <w:t xml:space="preserve">Table (result)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20nm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4B - 7B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R&amp;D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2.1B - 3B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Mask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2M - 3M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5M - 8M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 - 90M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120M - 500M</w:t>
            </w:r>
          </w:p>
        </w:tc>
      </w:tr>
    </w:tbl>
    <w:bookmarkEnd w:id="44"/>
    <w:bookmarkEnd w:id="45"/>
    <w:bookmarkStart w:id="51" w:name="pandoc-crossref-filter"/>
    <w:p>
      <w:pPr>
        <w:pStyle w:val="Heading1"/>
      </w:pPr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</w:p>
    <w:bookmarkStart w:id="46" w:name="pandoc-crossref-filter-1"/>
    <w:p>
      <w:pPr>
        <w:pStyle w:val="Heading2"/>
      </w:pPr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</w:p>
    <w:p>
      <w:pPr>
        <w:pStyle w:val="FirstParagraph"/>
      </w:pPr>
      <w:r>
        <w:t xml:space="preserve">With this filter, you can cross-reference figures (see Fig. </w:t>
      </w:r>
      <w:hyperlink w:anchor="fig:figure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Fig.</w:t>
      </w:r>
      <w:r>
        <w:t xml:space="preserve"> </w:t>
      </w:r>
      <w:r>
        <w:t xml:space="preserve">), display equations (see Eq. </w:t>
      </w:r>
      <w:hyperlink w:anchor="eq:semidef">
        <w:r>
          <w:rPr>
            <w:rStyle w:val="Hyperlink"/>
          </w:rPr>
          <w:t xml:space="preserve">1</w:t>
        </w:r>
      </w:hyperlink>
      <w:r>
        <w:t xml:space="preserve">),</w:t>
      </w:r>
      <w:r>
        <w:t xml:space="preserve"> </w:t>
      </w:r>
      <w:r>
        <w:t xml:space="preserve">tables (see Table </w:t>
      </w:r>
      <w:r>
        <w:rPr>
          <w:bCs/>
          <w:b/>
        </w:rPr>
        <w:t xml:space="preserve">¿tbl:fab?</w:t>
      </w:r>
      <w:r>
        <w:t xml:space="preserve">) and sections § </w:t>
      </w:r>
      <w:hyperlink w:anchor="sec:intro">
        <w:r>
          <w:rPr>
            <w:rStyle w:val="Hyperlink"/>
          </w:rPr>
          <w:t xml:space="preserve">1.1</w:t>
        </w:r>
      </w:hyperlink>
      <w:r>
        <w:t xml:space="preserve">, § </w:t>
      </w:r>
      <w:hyperlink w:anchor="sec:pandoc">
        <w:r>
          <w:rPr>
            <w:rStyle w:val="Hyperlink"/>
          </w:rPr>
          <w:t xml:space="preserve">2.1</w:t>
        </w:r>
      </w:hyperlink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pandoc-crossref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beamer.yaml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crossref.yaml beamer.md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46"/>
    <w:bookmarkStart w:id="47" w:name="a-sample-crossref.yaml"/>
    <w:p>
      <w:pPr>
        <w:pStyle w:val="Heading2"/>
      </w:pPr>
      <w:r>
        <w:t xml:space="preserve">A sample</w:t>
      </w:r>
      <w:r>
        <w:t xml:space="preserve"> </w:t>
      </w:r>
      <w:r>
        <w:rPr>
          <w:rStyle w:val="VerbatimChar"/>
        </w:rPr>
        <w:t xml:space="preserve">crossref.yaml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cref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codeBlockCaptions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lofTitle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Figures"</w:t>
      </w:r>
      <w:r>
        <w:br/>
      </w:r>
      <w:r>
        <w:rPr>
          <w:rStyle w:val="FunctionTok"/>
        </w:rPr>
        <w:t xml:space="preserve">lotTitle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Tables"</w:t>
      </w:r>
      <w:r>
        <w:br/>
      </w:r>
      <w:r>
        <w:rPr>
          <w:rStyle w:val="FunctionTok"/>
        </w:rPr>
        <w:t xml:space="preserve">autoSectionLabels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figureTemplate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$$t$$</w:t>
      </w:r>
      <w:r>
        <w:br/>
      </w:r>
      <w:r>
        <w:rPr>
          <w:rStyle w:val="FunctionTok"/>
        </w:rPr>
        <w:t xml:space="preserve">tableTemplate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$$t$$</w:t>
      </w:r>
      <w:r>
        <w:br/>
      </w:r>
      <w:r>
        <w:rPr>
          <w:rStyle w:val="FunctionTok"/>
        </w:rPr>
        <w:t xml:space="preserve">figPrefix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"Fig."</w:t>
      </w:r>
      <w:r>
        <w:br/>
      </w:r>
      <w:r>
        <w:rPr>
          <w:rStyle w:val="FunctionTok"/>
        </w:rPr>
        <w:t xml:space="preserve">eqnPrefix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"Eq."</w:t>
      </w:r>
      <w:r>
        <w:br/>
      </w:r>
      <w:r>
        <w:rPr>
          <w:rStyle w:val="FunctionTok"/>
        </w:rPr>
        <w:t xml:space="preserve">tblPrefix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"Table"</w:t>
      </w:r>
      <w:r>
        <w:br/>
      </w:r>
      <w:r>
        <w:rPr>
          <w:rStyle w:val="FunctionTok"/>
        </w:rPr>
        <w:t xml:space="preserve">lstPrefix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"Listing"</w:t>
      </w:r>
      <w:r>
        <w:br/>
      </w:r>
      <w:r>
        <w:rPr>
          <w:rStyle w:val="FunctionTok"/>
        </w:rPr>
        <w:t xml:space="preserve">secPrefix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"§"</w:t>
      </w:r>
      <w:r>
        <w:br/>
      </w:r>
      <w:r>
        <w:rPr>
          <w:rStyle w:val="CommentTok"/>
        </w:rPr>
        <w:t xml:space="preserve">...</w:t>
      </w:r>
    </w:p>
    <w:bookmarkEnd w:id="47"/>
    <w:bookmarkStart w:id="48" w:name="code-blocks"/>
    <w:p>
      <w:pPr>
        <w:pStyle w:val="Heading2"/>
      </w:pPr>
      <w:r>
        <w:t xml:space="preserve">Code blocks</w:t>
      </w:r>
    </w:p>
    <w:p>
      <w:pPr>
        <w:pStyle w:val="FirstParagraph"/>
      </w:pPr>
      <w:r>
        <w:t xml:space="preserve">There are a couple options for code block labels. Those work only if</w:t>
      </w:r>
      <w:r>
        <w:t xml:space="preserve"> </w:t>
      </w:r>
      <w:r>
        <w:t xml:space="preserve">code block id starts with</w:t>
      </w:r>
      <w:r>
        <w:t xml:space="preserve"> </w:t>
      </w:r>
      <w:r>
        <w:rPr>
          <w:rStyle w:val="VerbatimChar"/>
        </w:rPr>
        <w:t xml:space="preserve">lst:</w:t>
      </w:r>
      <w:r>
        <w:t xml:space="preserve">, e.g. </w:t>
      </w:r>
      <w:r>
        <w:rPr>
          <w:rStyle w:val="VerbatimChar"/>
        </w:rPr>
        <w:t xml:space="preserve">{#lst:label}</w:t>
      </w:r>
    </w:p>
    <w:bookmarkEnd w:id="48"/>
    <w:bookmarkStart w:id="49" w:name="caption-attribute"/>
    <w:p>
      <w:pPr>
        <w:pStyle w:val="Heading2"/>
      </w:pPr>
      <w:r>
        <w:rPr>
          <w:rStyle w:val="VerbatimChar"/>
        </w:rPr>
        <w:t xml:space="preserve">caption</w:t>
      </w:r>
      <w:r>
        <w:t xml:space="preserve"> </w:t>
      </w:r>
      <w:r>
        <w:t xml:space="preserve">attribute</w:t>
      </w:r>
    </w:p>
    <w:p>
      <w:pPr>
        <w:pStyle w:val="FirstParagraph"/>
      </w:pPr>
      <w:r>
        <w:rPr>
          <w:rStyle w:val="VerbatimChar"/>
        </w:rPr>
        <w:t xml:space="preserve">caption</w:t>
      </w:r>
      <w:r>
        <w:t xml:space="preserve"> </w:t>
      </w:r>
      <w:r>
        <w:t xml:space="preserve">attribute will be treated as code block caption. If code block</w:t>
      </w:r>
      <w:r>
        <w:t xml:space="preserve"> </w:t>
      </w:r>
      <w:r>
        <w:t xml:space="preserve">has both id and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attributes, it will be treated as numbered</w:t>
      </w:r>
      <w:r>
        <w:t xml:space="preserve"> </w:t>
      </w:r>
      <w:r>
        <w:t xml:space="preserve">code block.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putStrLn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</w:p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NormalTok"/>
        </w:rPr>
        <w:t xml:space="preserve">{#lst:captionAttr .haskell caption="Listing caption A"}</w:t>
      </w:r>
    </w:p>
    <w:bookmarkEnd w:id="49"/>
    <w:bookmarkStart w:id="50" w:name="table-style-captions"/>
    <w:p>
      <w:pPr>
        <w:pStyle w:val="Heading2"/>
      </w:pPr>
      <w:r>
        <w:t xml:space="preserve">Table-style captions</w:t>
      </w:r>
    </w:p>
    <w:p>
      <w:pPr>
        <w:pStyle w:val="FirstParagraph"/>
      </w:pPr>
      <w:r>
        <w:t xml:space="preserve">Enabled with</w:t>
      </w:r>
      <w:r>
        <w:t xml:space="preserve"> </w:t>
      </w:r>
      <w:r>
        <w:rPr>
          <w:rStyle w:val="VerbatimChar"/>
        </w:rPr>
        <w:t xml:space="preserve">codeBlockCaptions</w:t>
      </w:r>
      <w:r>
        <w:t xml:space="preserve"> </w:t>
      </w:r>
      <w:r>
        <w:t xml:space="preserve">metadata option. If code block is</w:t>
      </w:r>
      <w:r>
        <w:t xml:space="preserve"> </w:t>
      </w:r>
      <w:r>
        <w:t xml:space="preserve">immediately adjacent to paragraph, starting with</w:t>
      </w:r>
      <w:r>
        <w:t xml:space="preserve"> </w:t>
      </w:r>
      <w:r>
        <w:rPr>
          <w:rStyle w:val="VerbatimChar"/>
        </w:rPr>
        <w:t xml:space="preserve">Listing: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</w:t>
      </w:r>
      <w:r>
        <w:t xml:space="preserve">, said</w:t>
      </w:r>
      <w:r>
        <w:t xml:space="preserve"> </w:t>
      </w:r>
      <w:r>
        <w:t xml:space="preserve">paragraph will be treated as code block caption.</w:t>
      </w:r>
    </w:p>
    <w:p>
      <w:pPr>
        <w:pStyle w:val="BodyText"/>
      </w:pPr>
      <w:r>
        <w:t xml:space="preserve">Listing: Listing caption B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putStrLn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</w:p>
    <w:bookmarkEnd w:id="50"/>
    <w:bookmarkEnd w:id="51"/>
    <w:bookmarkStart w:id="54" w:name="pandoc-citeproc-filter"/>
    <w:p>
      <w:pPr>
        <w:pStyle w:val="Heading1"/>
      </w:pPr>
      <w:r>
        <w:rPr>
          <w:rStyle w:val="VerbatimChar"/>
        </w:rPr>
        <w:t xml:space="preserve">pandoc-citeproc</w:t>
      </w:r>
      <w:r>
        <w:t xml:space="preserve"> </w:t>
      </w:r>
      <w:r>
        <w:t xml:space="preserve">filter</w:t>
      </w:r>
    </w:p>
    <w:bookmarkStart w:id="52" w:name="bibliography"/>
    <w:p>
      <w:pPr>
        <w:pStyle w:val="Heading2"/>
      </w:pPr>
      <w:r>
        <w:t xml:space="preserve">Bibliography</w:t>
      </w:r>
    </w:p>
    <w:p>
      <w:pPr>
        <w:numPr>
          <w:ilvl w:val="0"/>
          <w:numId w:val="1004"/>
        </w:numPr>
        <w:pStyle w:val="Compact"/>
      </w:pPr>
      <w:r>
        <w:t xml:space="preserve">See</w:t>
      </w:r>
      <w:r>
        <w:t xml:space="preserve"> </w:t>
      </w:r>
      <w:r>
        <w:t xml:space="preserve">[@Aalst-etal_2004]</w:t>
      </w:r>
      <w:r>
        <w:t xml:space="preserve">, or</w:t>
      </w:r>
    </w:p>
    <w:p>
      <w:pPr>
        <w:numPr>
          <w:ilvl w:val="0"/>
          <w:numId w:val="1004"/>
        </w:numPr>
        <w:pStyle w:val="Compact"/>
      </w:pPr>
      <w:r>
        <w:t xml:space="preserve">See</w:t>
      </w:r>
      <w:r>
        <w:t xml:space="preserve"> </w:t>
      </w:r>
      <w:r>
        <w:t xml:space="preserve">[@Baldi-etal_2008; @Canfora-Cerulo_2005a]</w:t>
      </w:r>
      <w:r>
        <w:t xml:space="preserve">.</w:t>
      </w:r>
    </w:p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See @Aalst-etal_2004, or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@Baldi-etal_2008;@Canfora-Cerulo_2005a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To compile: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pandoc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pandoc-crossref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beamer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beamer.yaml crossref.yaml beamer.md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intro.pdf</w:t>
      </w:r>
    </w:p>
    <w:bookmarkEnd w:id="52"/>
    <w:bookmarkStart w:id="53" w:name="references"/>
    <w:p>
      <w:pPr>
        <w:pStyle w:val="Heading2"/>
      </w:pPr>
      <w:r>
        <w:t xml:space="preserve">References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Beamer Slides using Pandoc and Markdown</dc:title>
  <dc:creator>Wai-Shing Luk</dc:creator>
  <cp:keywords/>
  <dcterms:created xsi:type="dcterms:W3CDTF">2023-10-02T11:23:36Z</dcterms:created>
  <dcterms:modified xsi:type="dcterms:W3CDTF">2023-10-02T11:23:36Z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papers.bib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lassoption">
    <vt:lpwstr/>
  </property>
  <property fmtid="{D5CDD505-2E9C-101B-9397-08002B2CF9AE}" pid="12" name="codeBlockCaptions">
    <vt:lpwstr>True</vt:lpwstr>
  </property>
  <property fmtid="{D5CDD505-2E9C-101B-9397-08002B2CF9AE}" pid="13" name="colorlinks">
    <vt:lpwstr>True</vt:lpwstr>
  </property>
  <property fmtid="{D5CDD505-2E9C-101B-9397-08002B2CF9AE}" pid="14" name="cref">
    <vt:lpwstr>True</vt:lpwstr>
  </property>
  <property fmtid="{D5CDD505-2E9C-101B-9397-08002B2CF9AE}" pid="15" name="crossrefYaml">
    <vt:lpwstr>pandoc-crossref.yaml</vt:lpwstr>
  </property>
  <property fmtid="{D5CDD505-2E9C-101B-9397-08002B2CF9AE}" pid="16" name="date">
    <vt:lpwstr/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t</vt:lpwstr>
  </property>
  <property fmtid="{D5CDD505-2E9C-101B-9397-08002B2CF9AE}" pid="29" name="figureTitle">
    <vt:lpwstr>Figure</vt:lpwstr>
  </property>
  <property fmtid="{D5CDD505-2E9C-101B-9397-08002B2CF9AE}" pid="30" name="fontsize">
    <vt:lpwstr>10pt</vt:lpwstr>
  </property>
  <property fmtid="{D5CDD505-2E9C-101B-9397-08002B2CF9AE}" pid="31" name="header-includes">
    <vt:lpwstr/>
  </property>
  <property fmtid="{D5CDD505-2E9C-101B-9397-08002B2CF9AE}" pid="32" name="institute">
    <vt:lpwstr>Fudan University</vt:lpwstr>
  </property>
  <property fmtid="{D5CDD505-2E9C-101B-9397-08002B2CF9AE}" pid="33" name="lastDelim">
    <vt:lpwstr>, </vt:lpwstr>
  </property>
  <property fmtid="{D5CDD505-2E9C-101B-9397-08002B2CF9AE}" pid="34" name="link-citations">
    <vt:lpwstr>True</vt:lpwstr>
  </property>
  <property fmtid="{D5CDD505-2E9C-101B-9397-08002B2CF9AE}" pid="35" name="linkReferences">
    <vt:lpwstr>True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## 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## 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tableEqns">
    <vt:lpwstr>False</vt:lpwstr>
  </property>
  <property fmtid="{D5CDD505-2E9C-101B-9397-08002B2CF9AE}" pid="70" name="tableTemplate">
    <vt:lpwstr>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</Properties>
</file>