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Finding</w:t>
      </w:r>
      <w:r>
        <w:t xml:space="preserve"> </w:t>
      </w:r>
      <w:r>
        <w:t xml:space="preserve">the</w:t>
      </w:r>
      <w:r>
        <w:t xml:space="preserve"> </w:t>
      </w:r>
      <w:r>
        <w:t xml:space="preserve">roots</w:t>
      </w:r>
      <w:r>
        <w:t xml:space="preserve"> </w:t>
      </w:r>
      <w:r>
        <w:t xml:space="preserve">of</w:t>
      </w:r>
      <w:r>
        <w:t xml:space="preserve"> </w:t>
      </w:r>
      <w:r>
        <w:t xml:space="preserve">a</w:t>
      </w:r>
      <w:r>
        <w:t xml:space="preserve"> </w:t>
      </w:r>
      <w:r>
        <w:t xml:space="preserve">real</w:t>
      </w:r>
      <w:r>
        <w:t xml:space="preserve"> </w:t>
      </w:r>
      <w:r>
        <w:t xml:space="preserve">polynomial</w:t>
      </w:r>
      <w:r>
        <w:t xml:space="preserve"> </w:t>
      </w:r>
      <w:r>
        <w:t xml:space="preserve">simultaneously</w:t>
      </w:r>
      <w:r>
        <w:t xml:space="preserve"> </w:t>
      </w:r>
      <w:r>
        <w:t xml:space="preserve">using</w:t>
      </w:r>
      <w:r>
        <w:t xml:space="preserve"> </w:t>
      </w:r>
      <w:r>
        <w:t xml:space="preserve">Bairstow's</w:t>
      </w:r>
      <w:r>
        <w:t xml:space="preserve"> </w:t>
      </w:r>
      <w:r>
        <w:t xml:space="preserve">method</w:t>
      </w:r>
    </w:p>
    <w:p>
      <w:pPr>
        <w:pStyle w:val="Author"/>
      </w:pPr>
      <w:r>
        <w:t xml:space="preserve">Wai-Shing</w:t>
      </w:r>
      <w:r>
        <w:t xml:space="preserve"> </w:t>
      </w:r>
      <w:r>
        <w:t xml:space="preserve">Luk</w:t>
      </w:r>
    </w:p>
    <w:bookmarkStart w:id="26" w:name="abstract"/>
    <w:p>
      <w:pPr>
        <w:pStyle w:val="Heading1"/>
      </w:pPr>
      <w:r>
        <w:t xml:space="preserve">Abstract</w:t>
      </w:r>
    </w:p>
    <w:p>
      <w:pPr>
        <w:pStyle w:val="FirstParagraph"/>
      </w:pPr>
      <w:r>
        <w:t xml:space="preserve">Aberth's method of finding the roots of polynomials is shown to be robust. However, in this method, complex arithmetic is required even if the polynomial is real, since it starts with a complex initial approximation. For real polynomials, we propose a new method that does not require any complex arithmetic in the iterative process. It is based on the observation that Aberth's method is a system use of Newton’s methods. Then, in the proposed method, a similar technique is applied to Bairstow's procedure. As a result, the method requires half as much computation per iteration as Aberth's method. Numerical experiments show that the new method exhibits competitive overall performance for the polynomials tested.</w:t>
      </w:r>
    </w:p>
    <w:bookmarkStart w:id="20" w:name="introduction"/>
    <w:p>
      <w:pPr>
        <w:pStyle w:val="Heading2"/>
      </w:pPr>
      <w:r>
        <w:t xml:space="preserve">Introduction</w:t>
      </w:r>
    </w:p>
    <w:p>
      <w:pPr>
        <w:pStyle w:val="FirstParagraph"/>
      </w:pPr>
      <w:r>
        <w:t xml:space="preserve">Consider a problem of finding the roots of a real polynomial</w:t>
      </w:r>
      <w:r>
        <w:t xml:space="preserve"> </w:t>
      </w:r>
      <m:oMath>
        <m:r>
          <m:t>P</m:t>
        </m:r>
        <m:d>
          <m:dPr>
            <m:begChr m:val="("/>
            <m:endChr m:val=")"/>
            <m:sepChr m:val=""/>
            <m:grow/>
          </m:dPr>
          <m:e>
            <m:r>
              <m:t>X</m:t>
            </m:r>
          </m:e>
        </m:d>
      </m:oMath>
      <w:r>
        <w:t xml:space="preserve">. As described in many numerical textbooks, deflation is a standard technique. An alternative approach is to use the formula given by Weierstrass (see [10] and references therein).</w:t>
      </w:r>
    </w:p>
    <w:p>
      <w:pPr>
        <w:pStyle w:val="BodyText"/>
      </w:pPr>
      <w:r>
        <w:t xml:space="preserve">where</w:t>
      </w:r>
      <w:r>
        <w:t xml:space="preserve"> </w:t>
      </w:r>
      <m:oMath>
        <m:r>
          <m:t>N</m:t>
        </m:r>
      </m:oMath>
      <w:r>
        <w:t xml:space="preserve"> </w:t>
      </w:r>
      <w:r>
        <w:t xml:space="preserve">is the degree of the polynomial and</w:t>
      </w:r>
      <w:r>
        <w:t xml:space="preserve"> </w:t>
      </w:r>
      <m:oMath>
        <m:sSup>
          <m:e>
            <m:r>
              <m:t>​</m:t>
            </m:r>
          </m:e>
          <m:sup>
            <m:d>
              <m:dPr>
                <m:begChr m:val="("/>
                <m:endChr m:val=")"/>
                <m:sepChr m:val=""/>
                <m:grow/>
              </m:dPr>
              <m:e>
                <m:r>
                  <m:t>n</m:t>
                </m:r>
              </m:e>
            </m:d>
          </m:sup>
        </m:sSup>
      </m:oMath>
      <w:r>
        <w:t xml:space="preserve"> </w:t>
      </w:r>
      <w:r>
        <w:t xml:space="preserve">denotes the iteration index, used to find the zeros simultaneously. Note that the order of convergence of this method is quadratic. A related method for finding quadratic factors was given by Dvorciuk [6]. In 1973, Aberth proposed another method with a cubic rate of convergence [1].</w:t>
      </w:r>
    </w:p>
    <w:p>
      <w:pPr>
        <w:pStyle w:val="BodyText"/>
      </w:pPr>
      <w:r>
        <w:t xml:space="preserve">which</w:t>
      </w:r>
      <w:r>
        <w:t xml:space="preserve"> </w:t>
      </w:r>
      <m:oMath>
        <m:r>
          <m:t>P</m:t>
        </m:r>
        <m:r>
          <m:rPr>
            <m:sty m:val="p"/>
          </m:rPr>
          <m:t>′</m:t>
        </m:r>
        <m:d>
          <m:dPr>
            <m:begChr m:val="("/>
            <m:endChr m:val=")"/>
            <m:sepChr m:val=""/>
            <m:grow/>
          </m:dPr>
          <m:e>
            <m:r>
              <m:t>x</m:t>
            </m:r>
          </m:e>
        </m:d>
      </m:oMath>
      <w:r>
        <w:t xml:space="preserve"> </w:t>
      </w:r>
      <w:r>
        <w:t xml:space="preserve">denotes the dervative of</w:t>
      </w:r>
      <w:r>
        <w:t xml:space="preserve"> </w:t>
      </w:r>
      <m:oMath>
        <m:r>
          <m:t>P</m:t>
        </m:r>
        <m:d>
          <m:dPr>
            <m:begChr m:val="("/>
            <m:endChr m:val=")"/>
            <m:sepChr m:val=""/>
            <m:grow/>
          </m:dPr>
          <m:e>
            <m:r>
              <m:t>x</m:t>
            </m:r>
          </m:e>
        </m:d>
      </m:oMath>
      <w:r>
        <w:t xml:space="preserve">. These methods have recently been studied for parallel implementations [5, 4, 7]. In a previous discussion [3], it was pointed out that Aberth's method can be seen as a modification of Maehly's proceduce [11, p. 259], simply replacing the computed zeros with all other iterates. We call this generalized idea the</w:t>
      </w:r>
      <w:r>
        <w:t xml:space="preserve"> </w:t>
      </w:r>
      <w:r>
        <w:rPr>
          <w:iCs/>
          <w:i/>
        </w:rPr>
        <w:t xml:space="preserve">Parallel Anticipatory Implicit Deflation</w:t>
      </w:r>
      <w:r>
        <w:t xml:space="preserve"> </w:t>
      </w:r>
      <w:r>
        <w:t xml:space="preserve">(PAID) method.</w:t>
      </w:r>
    </w:p>
    <w:p>
      <w:pPr>
        <w:pStyle w:val="BodyText"/>
      </w:pPr>
      <w:r>
        <w:t xml:space="preserve">As mentioned by Aberth, the symmetry problem can be overcome by using asymmetric iterates for Aberth's method [1]. However, in this configuration, complex arithmetics cannot be avoided even if the polynomial is real. In this paper, we will not consider the possibility of symmetric iterates using this approach. Instead, we try to use the PAID idea and Bairstow's method to overcome this drawback. The idea is similar to the one in the literature [13], but the resulting method is simpler, which makes it more competitive with Aberth's method.</w:t>
      </w:r>
    </w:p>
    <w:p>
      <w:pPr>
        <w:pStyle w:val="BodyText"/>
      </w:pPr>
      <w:r>
        <w:t xml:space="preserve">Recall that Bairstow's method avoids complex arithmetic by seeking quadratic factors</w:t>
      </w:r>
      <w:r>
        <w:t xml:space="preserve"> </w:t>
      </w:r>
      <m:oMath>
        <m:d>
          <m:dPr>
            <m:begChr m:val="("/>
            <m:endChr m:val=")"/>
            <m:sepChr m:val=""/>
            <m:grow/>
          </m:dPr>
          <m:e>
            <m:sSup>
              <m:e>
                <m:r>
                  <m:t>x</m:t>
                </m:r>
              </m:e>
              <m:sup>
                <m:r>
                  <m:t>2</m:t>
                </m:r>
              </m:sup>
            </m:sSup>
            <m:r>
              <m:rPr>
                <m:sty m:val="p"/>
              </m:rPr>
              <m:t>−</m:t>
            </m:r>
            <m:r>
              <m:t>r</m:t>
            </m:r>
            <m:r>
              <m:rPr>
                <m:sty m:val="p"/>
              </m:rPr>
              <m:t>⋅</m:t>
            </m:r>
            <m:r>
              <m:t>x</m:t>
            </m:r>
            <m:r>
              <m:rPr>
                <m:sty m:val="p"/>
              </m:rPr>
              <m:t>−</m:t>
            </m:r>
            <m:r>
              <m:t>q</m:t>
            </m:r>
          </m:e>
        </m:d>
      </m:oMath>
      <w:r>
        <w:t xml:space="preserve"> </w:t>
      </w:r>
      <w:r>
        <w:t xml:space="preserve">of</w:t>
      </w:r>
      <w:r>
        <w:t xml:space="preserve"> </w:t>
      </w:r>
      <m:oMath>
        <m:r>
          <m:t>P</m:t>
        </m:r>
        <m:d>
          <m:dPr>
            <m:begChr m:val="("/>
            <m:endChr m:val=")"/>
            <m:sepChr m:val=""/>
            <m:grow/>
          </m:dPr>
          <m:e>
            <m:r>
              <m:t>x</m:t>
            </m:r>
          </m:e>
        </m:d>
      </m:oMath>
      <w:r>
        <w:t xml:space="preserve"> </w:t>
      </w:r>
      <w:r>
        <w:t xml:space="preserve">[11, pp. 301-303]. Let</w:t>
      </w:r>
      <w:r>
        <w:t xml:space="preserve"> </w:t>
      </w:r>
      <m:oMath>
        <m:d>
          <m:dPr>
            <m:begChr m:val="("/>
            <m:endChr m:val=")"/>
            <m:sepChr m:val=""/>
            <m:grow/>
          </m:dPr>
          <m:e>
            <m:r>
              <m:t>A</m:t>
            </m:r>
            <m:r>
              <m:rPr>
                <m:sty m:val="p"/>
              </m:rPr>
              <m:t>,</m:t>
            </m:r>
            <m:r>
              <m:t>B</m:t>
            </m:r>
          </m:e>
        </m:d>
      </m:oMath>
      <w:r>
        <w:t xml:space="preserve"> </w:t>
      </w:r>
      <w:r>
        <w:t xml:space="preserve">be the coefficients of the linear remainder of</w:t>
      </w:r>
      <w:r>
        <w:t xml:space="preserve"> </w:t>
      </w:r>
      <m:oMath>
        <m:r>
          <m:t>P</m:t>
        </m:r>
        <m:d>
          <m:dPr>
            <m:begChr m:val="("/>
            <m:endChr m:val=")"/>
            <m:sepChr m:val=""/>
            <m:grow/>
          </m:dPr>
          <m:e>
            <m:r>
              <m:t>x</m:t>
            </m:r>
          </m:e>
        </m:d>
      </m:oMath>
      <w:r>
        <w:t xml:space="preserve"> </w:t>
      </w:r>
      <w:r>
        <w:t xml:space="preserve">such that:</w:t>
      </w:r>
    </w:p>
    <w:p>
      <w:pPr>
        <w:pStyle w:val="BodyText"/>
      </w:pPr>
      <m:oMathPara>
        <m:oMathParaPr>
          <m:jc m:val="center"/>
        </m:oMathParaPr>
        <m:oMath>
          <m:r>
            <m:t>P</m:t>
          </m:r>
          <m:d>
            <m:dPr>
              <m:begChr m:val="("/>
              <m:endChr m:val=")"/>
              <m:sepChr m:val=""/>
              <m:grow/>
            </m:dPr>
            <m:e>
              <m:r>
                <m:t>x</m:t>
              </m:r>
            </m:e>
          </m:d>
          <m:r>
            <m:rPr>
              <m:sty m:val="p"/>
            </m:rPr>
            <m:t>=</m:t>
          </m:r>
          <m:d>
            <m:dPr>
              <m:begChr m:val="("/>
              <m:endChr m:val=")"/>
              <m:sepChr m:val=""/>
              <m:grow/>
            </m:dPr>
            <m:e>
              <m:sSup>
                <m:e>
                  <m:r>
                    <m:t>x</m:t>
                  </m:r>
                </m:e>
                <m:sup>
                  <m:r>
                    <m:t>2</m:t>
                  </m:r>
                </m:sup>
              </m:sSup>
              <m:r>
                <m:rPr>
                  <m:sty m:val="p"/>
                </m:rPr>
                <m:t>−</m:t>
              </m:r>
              <m:r>
                <m:t>r</m:t>
              </m:r>
              <m:r>
                <m:rPr>
                  <m:sty m:val="p"/>
                </m:rPr>
                <m:t>⋅</m:t>
              </m:r>
              <m:r>
                <m:t>x</m:t>
              </m:r>
              <m:r>
                <m:rPr>
                  <m:sty m:val="p"/>
                </m:rPr>
                <m:t>−</m:t>
              </m:r>
              <m:r>
                <m:t>q</m:t>
              </m:r>
            </m:e>
          </m:d>
          <m:sSub>
            <m:e>
              <m:r>
                <m:t>P</m:t>
              </m:r>
            </m:e>
            <m:sub>
              <m:r>
                <m:t>1</m:t>
              </m:r>
            </m:sub>
          </m:sSub>
          <m:d>
            <m:dPr>
              <m:begChr m:val="("/>
              <m:endChr m:val=")"/>
              <m:sepChr m:val=""/>
              <m:grow/>
            </m:dPr>
            <m:e>
              <m:r>
                <m:t>x</m:t>
              </m:r>
            </m:e>
          </m:d>
          <m:r>
            <m:rPr>
              <m:sty m:val="p"/>
            </m:rPr>
            <m:t>+</m:t>
          </m:r>
          <m:r>
            <m:t>A</m:t>
          </m:r>
          <m:r>
            <m:t>x</m:t>
          </m:r>
          <m:r>
            <m:rPr>
              <m:sty m:val="p"/>
            </m:rPr>
            <m:t>+</m:t>
          </m:r>
          <m:r>
            <m:t>B</m:t>
          </m:r>
          <m:r>
            <m:rPr>
              <m:sty m:val="p"/>
            </m:rPr>
            <m:t>.</m:t>
          </m:r>
        </m:oMath>
      </m:oMathPara>
    </w:p>
    <w:p>
      <w:pPr>
        <w:pStyle w:val="FirstParagraph"/>
      </w:pPr>
      <w:r>
        <w:t xml:space="preserve">and</w:t>
      </w:r>
      <w:r>
        <w:t xml:space="preserve"> </w:t>
      </w:r>
      <m:oMath>
        <m:d>
          <m:dPr>
            <m:begChr m:val="("/>
            <m:endChr m:val=")"/>
            <m:sepChr m:val=""/>
            <m:grow/>
          </m:dPr>
          <m:e>
            <m:sSub>
              <m:e>
                <m:r>
                  <m:t>A</m:t>
                </m:r>
              </m:e>
              <m:sub>
                <m:r>
                  <m:t>1</m:t>
                </m:r>
              </m:sub>
            </m:sSub>
            <m:r>
              <m:rPr>
                <m:sty m:val="p"/>
              </m:rPr>
              <m:t>,</m:t>
            </m:r>
            <m:sSub>
              <m:e>
                <m:r>
                  <m:t>B</m:t>
                </m:r>
              </m:e>
              <m:sub>
                <m:r>
                  <m:t>1</m:t>
                </m:r>
              </m:sub>
            </m:sSub>
          </m:e>
        </m:d>
      </m:oMath>
      <w:r>
        <w:t xml:space="preserve"> </w:t>
      </w:r>
      <w:r>
        <w:t xml:space="preserve">the coefficients of the linear remainder of</w:t>
      </w:r>
      <w:r>
        <w:t xml:space="preserve"> </w:t>
      </w:r>
      <m:oMath>
        <m:sSub>
          <m:e>
            <m:r>
              <m:t>P</m:t>
            </m:r>
          </m:e>
          <m:sub>
            <m:r>
              <m:t>1</m:t>
            </m:r>
          </m:sub>
        </m:sSub>
        <m:d>
          <m:dPr>
            <m:begChr m:val="("/>
            <m:endChr m:val=")"/>
            <m:sepChr m:val=""/>
            <m:grow/>
          </m:dPr>
          <m:e>
            <m:r>
              <m:t>x</m:t>
            </m:r>
          </m:e>
        </m:d>
      </m:oMath>
      <w:r>
        <w:t xml:space="preserve"> </w:t>
      </w:r>
      <w:r>
        <w:t xml:space="preserve">such that:</w:t>
      </w:r>
    </w:p>
    <w:p>
      <w:pPr>
        <w:pStyle w:val="BodyText"/>
      </w:pPr>
      <m:oMathPara>
        <m:oMathParaPr>
          <m:jc m:val="center"/>
        </m:oMathParaPr>
        <m:oMath>
          <m:sSub>
            <m:e>
              <m:r>
                <m:t>P</m:t>
              </m:r>
            </m:e>
            <m:sub>
              <m:r>
                <m:t>1</m:t>
              </m:r>
            </m:sub>
          </m:sSub>
          <m:d>
            <m:dPr>
              <m:begChr m:val="("/>
              <m:endChr m:val=")"/>
              <m:sepChr m:val=""/>
              <m:grow/>
            </m:dPr>
            <m:e>
              <m:r>
                <m:t>x</m:t>
              </m:r>
            </m:e>
          </m:d>
          <m:r>
            <m:rPr>
              <m:sty m:val="p"/>
            </m:rPr>
            <m:t>=</m:t>
          </m:r>
          <m:d>
            <m:dPr>
              <m:begChr m:val="("/>
              <m:endChr m:val=")"/>
              <m:sepChr m:val=""/>
              <m:grow/>
            </m:dPr>
            <m:e>
              <m:sSup>
                <m:e>
                  <m:r>
                    <m:t>x</m:t>
                  </m:r>
                </m:e>
                <m:sup>
                  <m:r>
                    <m:t>2</m:t>
                  </m:r>
                </m:sup>
              </m:sSup>
              <m:r>
                <m:rPr>
                  <m:sty m:val="p"/>
                </m:rPr>
                <m:t>−</m:t>
              </m:r>
              <m:r>
                <m:t>r</m:t>
              </m:r>
              <m:r>
                <m:rPr>
                  <m:sty m:val="p"/>
                </m:rPr>
                <m:t>⋅</m:t>
              </m:r>
              <m:r>
                <m:t>x</m:t>
              </m:r>
              <m:r>
                <m:rPr>
                  <m:sty m:val="p"/>
                </m:rPr>
                <m:t>−</m:t>
              </m:r>
              <m:r>
                <m:t>q</m:t>
              </m:r>
            </m:e>
          </m:d>
          <m:sSub>
            <m:e>
              <m:r>
                <m:t>P</m:t>
              </m:r>
            </m:e>
            <m:sub>
              <m:r>
                <m:t>2</m:t>
              </m:r>
            </m:sub>
          </m:sSub>
          <m:d>
            <m:dPr>
              <m:begChr m:val="("/>
              <m:endChr m:val=")"/>
              <m:sepChr m:val=""/>
              <m:grow/>
            </m:dPr>
            <m:e>
              <m:r>
                <m:t>x</m:t>
              </m:r>
            </m:e>
          </m:d>
          <m:r>
            <m:rPr>
              <m:sty m:val="p"/>
            </m:rPr>
            <m:t>+</m:t>
          </m:r>
          <m:sSub>
            <m:e>
              <m:r>
                <m:t>A</m:t>
              </m:r>
            </m:e>
            <m:sub>
              <m:r>
                <m:t>1</m:t>
              </m:r>
            </m:sub>
          </m:sSub>
          <m:r>
            <m:t>x</m:t>
          </m:r>
          <m:r>
            <m:rPr>
              <m:sty m:val="p"/>
            </m:rPr>
            <m:t>+</m:t>
          </m:r>
          <m:sSub>
            <m:e>
              <m:r>
                <m:t>B</m:t>
              </m:r>
            </m:e>
            <m:sub>
              <m:r>
                <m:t>1</m:t>
              </m:r>
            </m:sub>
          </m:sSub>
          <m:r>
            <m:rPr>
              <m:sty m:val="p"/>
            </m:rPr>
            <m:t>.</m:t>
          </m:r>
        </m:oMath>
      </m:oMathPara>
    </w:p>
    <w:p>
      <w:pPr>
        <w:pStyle w:val="FirstParagraph"/>
      </w:pPr>
      <w:r>
        <w:t xml:space="preserve">Bairstow's method can be written as:</w:t>
      </w:r>
    </w:p>
    <w:p>
      <w:pPr>
        <w:pStyle w:val="BodyText"/>
      </w:pPr>
      <w:r>
        <w:t xml:space="preserve">Horner-type scheme is used to evaluate</w:t>
      </w:r>
      <w:r>
        <w:t xml:space="preserve"> </w:t>
      </w:r>
      <m:oMath>
        <m:d>
          <m:dPr>
            <m:begChr m:val="("/>
            <m:endChr m:val=")"/>
            <m:sepChr m:val=""/>
            <m:grow/>
          </m:dPr>
          <m:e>
            <m:r>
              <m:t>A</m:t>
            </m:r>
            <m:r>
              <m:rPr>
                <m:sty m:val="p"/>
              </m:rPr>
              <m:t>,</m:t>
            </m:r>
            <m:r>
              <m:t>B</m:t>
            </m:r>
          </m:e>
        </m:d>
      </m:oMath>
      <w:r>
        <w:t xml:space="preserve"> </w:t>
      </w:r>
      <w:r>
        <w:t xml:space="preserve">and</w:t>
      </w:r>
      <w:r>
        <w:t xml:space="preserve"> </w:t>
      </w:r>
      <m:oMath>
        <m:d>
          <m:dPr>
            <m:begChr m:val="("/>
            <m:endChr m:val=")"/>
            <m:sepChr m:val=""/>
            <m:grow/>
          </m:dPr>
          <m:e>
            <m:sSub>
              <m:e>
                <m:r>
                  <m:t>A</m:t>
                </m:r>
              </m:e>
              <m:sub>
                <m:r>
                  <m:t>1</m:t>
                </m:r>
              </m:sub>
            </m:sSub>
            <m:r>
              <m:rPr>
                <m:sty m:val="p"/>
              </m:rPr>
              <m:t>,</m:t>
            </m:r>
            <m:sSub>
              <m:e>
                <m:r>
                  <m:t>B</m:t>
                </m:r>
              </m:e>
              <m:sub>
                <m:r>
                  <m:t>1</m:t>
                </m:r>
              </m:sub>
            </m:sSub>
          </m:e>
        </m:d>
      </m:oMath>
      <w:r>
        <w:t xml:space="preserve">. By following the PAID approach, we construct a parallel method as follows. First, we use a method that suppresses the computation of quadratic factors. Details will be given in Section 2. Next, by replacing the computed quadratic factors with the trial factors of the suppression method, we obtain a simultaneous version of the Bairstow method, which will be described in Section 3. We will also discuss a simple method for selecting initial guesses in Section 4. Numerical results will be presented in Section 5. For the sake of simplicity, we will omit the superscript</w:t>
      </w:r>
      <w:r>
        <w:t xml:space="preserve"> </w:t>
      </w:r>
      <m:oMath>
        <m:sSup>
          <m:e>
            <m:r>
              <m:t>​</m:t>
            </m:r>
          </m:e>
          <m:sup>
            <m:d>
              <m:dPr>
                <m:begChr m:val="("/>
                <m:endChr m:val=")"/>
                <m:sepChr m:val=""/>
                <m:grow/>
              </m:dPr>
              <m:e>
                <m:r>
                  <m:t>n</m:t>
                </m:r>
              </m:e>
            </m:d>
          </m:sup>
        </m:sSup>
      </m:oMath>
      <w:r>
        <w:t xml:space="preserve"> </w:t>
      </w:r>
      <w:r>
        <w:t xml:space="preserve">We will omit superscripts in the following sections if they are understood.</w:t>
      </w:r>
    </w:p>
    <w:bookmarkEnd w:id="20"/>
    <w:bookmarkStart w:id="21" w:name="X5c2b9728b432f5af53aa17213c0b2ce0170d1be"/>
    <w:p>
      <w:pPr>
        <w:pStyle w:val="Heading2"/>
      </w:pPr>
      <w:r>
        <w:t xml:space="preserve">Suppression of computed quadratic factors</w:t>
      </w:r>
    </w:p>
    <w:p>
      <w:pPr>
        <w:pStyle w:val="FirstParagraph"/>
      </w:pPr>
      <w:r>
        <w:t xml:space="preserve">The first step of developing the novel algorithm is to find out a method of suppression, which was described in [8]. Assume that</w:t>
      </w:r>
      <w:r>
        <w:t xml:space="preserve"> </w:t>
      </w:r>
      <m:oMath>
        <m:d>
          <m:dPr>
            <m:begChr m:val="("/>
            <m:endChr m:val=")"/>
            <m:sepChr m:val=""/>
            <m:grow/>
          </m:dPr>
          <m:e>
            <m:sSup>
              <m:e>
                <m:r>
                  <m:t>x</m:t>
                </m:r>
              </m:e>
              <m:sup>
                <m:r>
                  <m:t>2</m:t>
                </m:r>
              </m:sup>
            </m:sSup>
            <m:r>
              <m:rPr>
                <m:sty m:val="p"/>
              </m:rPr>
              <m:t>−</m:t>
            </m:r>
            <m:acc>
              <m:accPr>
                <m:chr m:val="̃"/>
              </m:accPr>
              <m:e>
                <m:r>
                  <m:t>r</m:t>
                </m:r>
              </m:e>
            </m:acc>
            <m:r>
              <m:rPr>
                <m:sty m:val="p"/>
              </m:rPr>
              <m:t>⋅</m:t>
            </m:r>
            <m:r>
              <m:t>x</m:t>
            </m:r>
            <m:r>
              <m:rPr>
                <m:sty m:val="p"/>
              </m:rPr>
              <m:t>−</m:t>
            </m:r>
            <m:acc>
              <m:accPr>
                <m:chr m:val="̃"/>
              </m:accPr>
              <m:e>
                <m:r>
                  <m:t>q</m:t>
                </m:r>
              </m:e>
            </m:acc>
          </m:e>
        </m:d>
      </m:oMath>
      <w:r>
        <w:t xml:space="preserve"> </w:t>
      </w:r>
      <w:r>
        <w:t xml:space="preserve">has been found to be a factor of</w:t>
      </w:r>
      <w:r>
        <w:t xml:space="preserve"> </w:t>
      </w:r>
      <m:oMath>
        <m:r>
          <m:t>P</m:t>
        </m:r>
        <m:d>
          <m:dPr>
            <m:begChr m:val="("/>
            <m:endChr m:val=")"/>
            <m:sepChr m:val=""/>
            <m:grow/>
          </m:dPr>
          <m:e>
            <m:r>
              <m:t>x</m:t>
            </m:r>
          </m:e>
        </m:d>
      </m:oMath>
      <w:r>
        <w:t xml:space="preserve">. Let</w:t>
      </w:r>
      <w:r>
        <w:t xml:space="preserve"> </w:t>
      </w:r>
      <m:oMath>
        <m:acc>
          <m:accPr>
            <m:chr m:val="̃"/>
          </m:accPr>
          <m:e>
            <m:r>
              <m:t>P</m:t>
            </m:r>
          </m:e>
        </m:acc>
        <m:d>
          <m:dPr>
            <m:begChr m:val="("/>
            <m:endChr m:val=")"/>
            <m:sepChr m:val=""/>
            <m:grow/>
          </m:dPr>
          <m:e>
            <m:r>
              <m:t>x</m:t>
            </m:r>
          </m:e>
        </m:d>
        <m:r>
          <m:rPr>
            <m:sty m:val="p"/>
          </m:rPr>
          <m:t>=</m:t>
        </m:r>
        <m:r>
          <m:t>P</m:t>
        </m:r>
        <m:d>
          <m:dPr>
            <m:begChr m:val="("/>
            <m:endChr m:val=")"/>
            <m:sepChr m:val=""/>
            <m:grow/>
          </m:dPr>
          <m:e>
            <m:r>
              <m:t>x</m:t>
            </m:r>
          </m:e>
        </m:d>
        <m:r>
          <m:rPr>
            <m:sty m:val="p"/>
          </m:rPr>
          <m:t>/</m:t>
        </m:r>
        <m:d>
          <m:dPr>
            <m:begChr m:val="("/>
            <m:endChr m:val=")"/>
            <m:sepChr m:val=""/>
            <m:grow/>
          </m:dPr>
          <m:e>
            <m:sSup>
              <m:e>
                <m:r>
                  <m:t>x</m:t>
                </m:r>
              </m:e>
              <m:sup>
                <m:r>
                  <m:t>2</m:t>
                </m:r>
              </m:sup>
            </m:sSup>
            <m:r>
              <m:rPr>
                <m:sty m:val="p"/>
              </m:rPr>
              <m:t>−</m:t>
            </m:r>
            <m:acc>
              <m:accPr>
                <m:chr m:val="̃"/>
              </m:accPr>
              <m:e>
                <m:r>
                  <m:t>r</m:t>
                </m:r>
              </m:e>
            </m:acc>
            <m:r>
              <m:rPr>
                <m:sty m:val="p"/>
              </m:rPr>
              <m:t>⋅</m:t>
            </m:r>
            <m:r>
              <m:t>x</m:t>
            </m:r>
            <m:r>
              <m:rPr>
                <m:sty m:val="p"/>
              </m:rPr>
              <m:t>−</m:t>
            </m:r>
            <m:acc>
              <m:accPr>
                <m:chr m:val="̃"/>
              </m:accPr>
              <m:e>
                <m:r>
                  <m:t>q</m:t>
                </m:r>
              </m:e>
            </m:acc>
          </m:e>
        </m:d>
      </m:oMath>
      <w:r>
        <w:t xml:space="preserve"> </w:t>
      </w:r>
      <w:r>
        <w:t xml:space="preserve">be that deflated polynomial. The goal of suppression is to perform the Bairstow process without explicitly consructing</w:t>
      </w:r>
      <w:r>
        <w:t xml:space="preserve"> </w:t>
      </w:r>
      <m:oMath>
        <m:acc>
          <m:accPr>
            <m:chr m:val="̃"/>
          </m:accPr>
          <m:e>
            <m:r>
              <m:t>P</m:t>
            </m:r>
          </m:e>
        </m:acc>
        <m:d>
          <m:dPr>
            <m:begChr m:val="("/>
            <m:endChr m:val=")"/>
            <m:sepChr m:val=""/>
            <m:grow/>
          </m:dPr>
          <m:e>
            <m:r>
              <m:t>x</m:t>
            </m:r>
          </m:e>
        </m:d>
      </m:oMath>
      <w:r>
        <w:t xml:space="preserve">. Let</w:t>
      </w:r>
      <w:r>
        <w:t xml:space="preserve"> </w:t>
      </w:r>
      <m:oMath>
        <m:d>
          <m:dPr>
            <m:begChr m:val="("/>
            <m:endChr m:val=")"/>
            <m:sepChr m:val=""/>
            <m:grow/>
          </m:dPr>
          <m:e>
            <m:acc>
              <m:accPr>
                <m:chr m:val="̃"/>
              </m:accPr>
              <m:e>
                <m:r>
                  <m:t>A</m:t>
                </m:r>
              </m:e>
            </m:acc>
            <m:r>
              <m:rPr>
                <m:sty m:val="p"/>
              </m:rPr>
              <m:t>,</m:t>
            </m:r>
            <m:acc>
              <m:accPr>
                <m:chr m:val="̃"/>
              </m:accPr>
              <m:e>
                <m:r>
                  <m:t>B</m:t>
                </m:r>
              </m:e>
            </m:acc>
          </m:e>
        </m:d>
        <m:r>
          <m:rPr>
            <m:sty m:val="p"/>
          </m:rPr>
          <m:t>)</m:t>
        </m:r>
      </m:oMath>
      <w:r>
        <w:t xml:space="preserve"> </w:t>
      </w:r>
      <w:r>
        <w:t xml:space="preserve">be the coefficients of the linear remainder of</w:t>
      </w:r>
      <w:r>
        <w:t xml:space="preserve"> </w:t>
      </w:r>
      <m:oMath>
        <m:acc>
          <m:accPr>
            <m:chr m:val="̃"/>
          </m:accPr>
          <m:e>
            <m:r>
              <m:t>P</m:t>
            </m:r>
          </m:e>
        </m:acc>
        <m:d>
          <m:dPr>
            <m:begChr m:val="("/>
            <m:endChr m:val=")"/>
            <m:sepChr m:val=""/>
            <m:grow/>
          </m:dPr>
          <m:e>
            <m:r>
              <m:t>x</m:t>
            </m:r>
          </m:e>
        </m:d>
      </m:oMath>
      <w:r>
        <w:t xml:space="preserve"> </w:t>
      </w:r>
      <w:r>
        <w:t xml:space="preserve">and</w:t>
      </w:r>
      <w:r>
        <w:t xml:space="preserve"> </w:t>
      </w:r>
      <m:oMath>
        <m:d>
          <m:dPr>
            <m:begChr m:val="("/>
            <m:endChr m:val=")"/>
            <m:sepChr m:val=""/>
            <m:grow/>
          </m:dPr>
          <m:e>
            <m:sSub>
              <m:e>
                <m:acc>
                  <m:accPr>
                    <m:chr m:val="̃"/>
                  </m:accPr>
                  <m:e>
                    <m:r>
                      <m:t>A</m:t>
                    </m:r>
                  </m:e>
                </m:acc>
              </m:e>
              <m:sub>
                <m:r>
                  <m:t>1</m:t>
                </m:r>
              </m:sub>
            </m:sSub>
            <m:r>
              <m:rPr>
                <m:sty m:val="p"/>
              </m:rPr>
              <m:t>,</m:t>
            </m:r>
            <m:sSub>
              <m:e>
                <m:acc>
                  <m:accPr>
                    <m:chr m:val="̃"/>
                  </m:accPr>
                  <m:e>
                    <m:r>
                      <m:t>B</m:t>
                    </m:r>
                  </m:e>
                </m:acc>
              </m:e>
              <m:sub>
                <m:r>
                  <m:t>1</m:t>
                </m:r>
              </m:sub>
            </m:sSub>
          </m:e>
        </m:d>
      </m:oMath>
      <w:r>
        <w:t xml:space="preserve"> </w:t>
      </w:r>
      <w:r>
        <w:t xml:space="preserve">be the coefficients of the linear remainder of</w:t>
      </w:r>
      <w:r>
        <w:t xml:space="preserve"> </w:t>
      </w:r>
      <m:oMath>
        <m:sSub>
          <m:e>
            <m:acc>
              <m:accPr>
                <m:chr m:val="̃"/>
              </m:accPr>
              <m:e>
                <m:r>
                  <m:t>P</m:t>
                </m:r>
              </m:e>
            </m:acc>
          </m:e>
          <m:sub>
            <m:r>
              <m:t>1</m:t>
            </m:r>
          </m:sub>
        </m:sSub>
      </m:oMath>
      <w:r>
        <w:t xml:space="preserve">. The relation between</w:t>
      </w:r>
      <w:r>
        <w:t xml:space="preserve"> </w:t>
      </w:r>
      <m:oMath>
        <m:r>
          <m:t>A</m:t>
        </m:r>
        <m:r>
          <m:rPr>
            <m:sty m:val="p"/>
          </m:rPr>
          <m:t>,</m:t>
        </m:r>
        <m:r>
          <m:t>B</m:t>
        </m:r>
        <m:r>
          <m:rPr>
            <m:sty m:val="p"/>
          </m:rPr>
          <m:t>,</m:t>
        </m:r>
        <m:sSub>
          <m:e>
            <m:r>
              <m:t>A</m:t>
            </m:r>
          </m:e>
          <m:sub>
            <m:r>
              <m:t>1</m:t>
            </m:r>
          </m:sub>
        </m:sSub>
        <m:r>
          <m:rPr>
            <m:sty m:val="p"/>
          </m:rPr>
          <m:t>,</m:t>
        </m:r>
        <m:sSub>
          <m:e>
            <m:r>
              <m:t>B</m:t>
            </m:r>
          </m:e>
          <m:sub>
            <m:r>
              <m:t>1</m:t>
            </m:r>
          </m:sub>
        </m:sSub>
      </m:oMath>
      <w:r>
        <w:t xml:space="preserve"> </w:t>
      </w:r>
      <w:r>
        <w:t xml:space="preserve">and</w:t>
      </w:r>
      <w:r>
        <w:t xml:space="preserve"> </w:t>
      </w:r>
      <m:oMath>
        <m:acc>
          <m:accPr>
            <m:chr m:val="̃"/>
          </m:accPr>
          <m:e>
            <m:r>
              <m:t>A</m:t>
            </m:r>
          </m:e>
        </m:acc>
        <m:r>
          <m:rPr>
            <m:sty m:val="p"/>
          </m:rPr>
          <m:t>,</m:t>
        </m:r>
        <m:acc>
          <m:accPr>
            <m:chr m:val="̃"/>
          </m:accPr>
          <m:e>
            <m:r>
              <m:t>B</m:t>
            </m:r>
          </m:e>
        </m:acc>
        <m:r>
          <m:rPr>
            <m:sty m:val="p"/>
          </m:rPr>
          <m:t>,</m:t>
        </m:r>
        <m:sSub>
          <m:e>
            <m:acc>
              <m:accPr>
                <m:chr m:val="̃"/>
              </m:accPr>
              <m:e>
                <m:r>
                  <m:t>A</m:t>
                </m:r>
              </m:e>
            </m:acc>
          </m:e>
          <m:sub>
            <m:r>
              <m:t>1</m:t>
            </m:r>
          </m:sub>
        </m:sSub>
        <m:r>
          <m:rPr>
            <m:sty m:val="p"/>
          </m:rPr>
          <m:t>,</m:t>
        </m:r>
        <m:sSub>
          <m:e>
            <m:acc>
              <m:accPr>
                <m:chr m:val="̃"/>
              </m:accPr>
              <m:e>
                <m:r>
                  <m:t>B</m:t>
                </m:r>
              </m:e>
            </m:acc>
          </m:e>
          <m:sub>
            <m:r>
              <m:t>1</m:t>
            </m:r>
          </m:sub>
        </m:sSub>
      </m:oMath>
      <w:r>
        <w:t xml:space="preserve"> </w:t>
      </w:r>
      <w:r>
        <w:t xml:space="preserve">can be expressed in the form [8]:</w:t>
      </w:r>
    </w:p>
    <w:p>
      <w:pPr>
        <w:pStyle w:val="BodyText"/>
      </w:pPr>
      <w:r>
        <w:t xml:space="preserve">where</w:t>
      </w:r>
      <w:r>
        <w:t xml:space="preserve"> </w:t>
      </w:r>
      <m:oMath>
        <m:r>
          <m:t>a</m:t>
        </m:r>
      </m:oMath>
      <w:r>
        <w:t xml:space="preserve">,</w:t>
      </w:r>
      <w:r>
        <w:t xml:space="preserve"> </w:t>
      </w:r>
      <m:oMath>
        <m:r>
          <m:t>b</m:t>
        </m:r>
      </m:oMath>
      <w:r>
        <w:t xml:space="preserve">,</w:t>
      </w:r>
      <w:r>
        <w:t xml:space="preserve"> </w:t>
      </w:r>
      <m:oMath>
        <m:r>
          <m:t>c</m:t>
        </m:r>
      </m:oMath>
      <w:r>
        <w:t xml:space="preserve">,</w:t>
      </w:r>
      <w:r>
        <w:t xml:space="preserve"> </w:t>
      </w:r>
      <m:oMath>
        <m:r>
          <m:t>d</m:t>
        </m:r>
      </m:oMath>
      <w:r>
        <w:t xml:space="preserve">,</w:t>
      </w:r>
      <w:r>
        <w:t xml:space="preserve"> </w:t>
      </w:r>
      <m:oMath>
        <m:r>
          <m:t>e</m:t>
        </m:r>
      </m:oMath>
      <w:r>
        <w:t xml:space="preserve">,</w:t>
      </w:r>
      <w:r>
        <w:t xml:space="preserve"> </w:t>
      </w:r>
      <m:oMath>
        <m:r>
          <m:t>f</m:t>
        </m:r>
      </m:oMath>
      <w:r>
        <w:t xml:space="preserve">,</w:t>
      </w:r>
      <w:r>
        <w:t xml:space="preserve"> </w:t>
      </w:r>
      <m:oMath>
        <m:r>
          <m:t>l</m:t>
        </m:r>
      </m:oMath>
      <w:r>
        <w:t xml:space="preserve">, and</w:t>
      </w:r>
      <w:r>
        <w:t xml:space="preserve"> </w:t>
      </w:r>
      <m:oMath>
        <m:r>
          <m:t>p</m:t>
        </m:r>
      </m:oMath>
      <w:r>
        <w:t xml:space="preserve"> </w:t>
      </w:r>
      <w:r>
        <w:t xml:space="preserve">are intermediate variables. A second quadratic factor can be suppressed by repeating the process starting with</w:t>
      </w:r>
      <w:r>
        <w:t xml:space="preserve"> </w:t>
      </w:r>
      <m:oMath>
        <m:acc>
          <m:accPr>
            <m:chr m:val="̃"/>
          </m:accPr>
          <m:e>
            <m:r>
              <m:t>A</m:t>
            </m:r>
          </m:e>
        </m:acc>
        <m:r>
          <m:rPr>
            <m:sty m:val="p"/>
          </m:rPr>
          <m:t>,</m:t>
        </m:r>
        <m:acc>
          <m:accPr>
            <m:chr m:val="̃"/>
          </m:accPr>
          <m:e>
            <m:r>
              <m:t>B</m:t>
            </m:r>
          </m:e>
        </m:acc>
        <m:r>
          <m:rPr>
            <m:sty m:val="p"/>
          </m:rPr>
          <m:t>,</m:t>
        </m:r>
        <m:sSub>
          <m:e>
            <m:acc>
              <m:accPr>
                <m:chr m:val="̃"/>
              </m:accPr>
              <m:e>
                <m:r>
                  <m:t>A</m:t>
                </m:r>
              </m:e>
            </m:acc>
          </m:e>
          <m:sub>
            <m:r>
              <m:t>1</m:t>
            </m:r>
          </m:sub>
        </m:sSub>
        <m:r>
          <m:rPr>
            <m:sty m:val="p"/>
          </m:rPr>
          <m:t>,</m:t>
        </m:r>
        <m:sSub>
          <m:e>
            <m:acc>
              <m:accPr>
                <m:chr m:val="̃"/>
              </m:accPr>
              <m:e>
                <m:r>
                  <m:t>B</m:t>
                </m:r>
              </m:e>
            </m:acc>
          </m:e>
          <m:sub>
            <m:r>
              <m:t>1</m:t>
            </m:r>
          </m:sub>
        </m:sSub>
      </m:oMath>
      <w:r>
        <w:t xml:space="preserve"> </w:t>
      </w:r>
      <w:r>
        <w:t xml:space="preserve">and so on.</w:t>
      </w:r>
    </w:p>
    <w:bookmarkEnd w:id="21"/>
    <w:bookmarkStart w:id="22" w:name="modified-bairstow-method"/>
    <w:p>
      <w:pPr>
        <w:pStyle w:val="Heading2"/>
      </w:pPr>
      <w:r>
        <w:t xml:space="preserve">Modified Bairstow method</w:t>
      </w:r>
    </w:p>
    <w:p>
      <w:pPr>
        <w:pStyle w:val="FirstParagraph"/>
      </w:pPr>
      <w:r>
        <w:t xml:space="preserve">A simultaneous version of Bairstow’s method can now be obtained by replacing</w:t>
      </w:r>
      <w:r>
        <w:t xml:space="preserve"> </w:t>
      </w:r>
      <m:oMath>
        <m:d>
          <m:dPr>
            <m:begChr m:val="("/>
            <m:endChr m:val=")"/>
            <m:sepChr m:val=""/>
            <m:grow/>
          </m:dPr>
          <m:e>
            <m:acc>
              <m:accPr>
                <m:chr m:val="̃"/>
              </m:accPr>
              <m:e>
                <m:r>
                  <m:t>r</m:t>
                </m:r>
              </m:e>
            </m:acc>
            <m:r>
              <m:rPr>
                <m:sty m:val="p"/>
              </m:rPr>
              <m:t>,</m:t>
            </m:r>
            <m:acc>
              <m:accPr>
                <m:chr m:val="̃"/>
              </m:accPr>
              <m:e>
                <m:r>
                  <m:t>q</m:t>
                </m:r>
              </m:e>
            </m:acc>
          </m:e>
        </m:d>
      </m:oMath>
      <w:r>
        <w:t xml:space="preserve"> </w:t>
      </w:r>
      <w:r>
        <w:t xml:space="preserve">in (2.3) with the trial factors in case of even-degree polynomials, i.e.,</w:t>
      </w:r>
      <w:r>
        <w:t xml:space="preserve"> </w:t>
      </w:r>
      <m:oMath>
        <m:r>
          <m:t>N</m:t>
        </m:r>
        <m:r>
          <m:rPr>
            <m:sty m:val="p"/>
          </m:rPr>
          <m:t>=</m:t>
        </m:r>
        <m:r>
          <m:t>2</m:t>
        </m:r>
        <m:r>
          <m:t>M</m:t>
        </m:r>
      </m:oMath>
      <w:r>
        <w:t xml:space="preserve">. Starting with</w:t>
      </w:r>
      <w:r>
        <w:t xml:space="preserve"> </w:t>
      </w:r>
      <m:oMath>
        <m:r>
          <m:t>M</m:t>
        </m:r>
      </m:oMath>
      <w:r>
        <w:t xml:space="preserve"> </w:t>
      </w:r>
      <w:r>
        <w:t xml:space="preserve">trial factors</w:t>
      </w:r>
      <w:r>
        <w:t xml:space="preserve"> </w:t>
      </w:r>
      <m:oMath>
        <m:d>
          <m:dPr>
            <m:begChr m:val="("/>
            <m:endChr m:val=")"/>
            <m:sepChr m:val=""/>
            <m:grow/>
          </m:dPr>
          <m:e>
            <m:sSup>
              <m:e>
                <m:r>
                  <m:t>x</m:t>
                </m:r>
              </m:e>
              <m:sup>
                <m:r>
                  <m:t>2</m:t>
                </m:r>
              </m:sup>
            </m:sSup>
            <m:r>
              <m:rPr>
                <m:sty m:val="p"/>
              </m:rPr>
              <m:t>−</m:t>
            </m:r>
            <m:sSubSup>
              <m:e>
                <m:r>
                  <m:t>r</m:t>
                </m:r>
              </m:e>
              <m:sub>
                <m:r>
                  <m:t>i</m:t>
                </m:r>
              </m:sub>
              <m:sup>
                <m:d>
                  <m:dPr>
                    <m:begChr m:val="("/>
                    <m:endChr m:val=")"/>
                    <m:sepChr m:val=""/>
                    <m:grow/>
                  </m:dPr>
                  <m:e>
                    <m:r>
                      <m:t>0</m:t>
                    </m:r>
                  </m:e>
                </m:d>
              </m:sup>
            </m:sSubSup>
            <m:r>
              <m:t>x</m:t>
            </m:r>
            <m:r>
              <m:rPr>
                <m:sty m:val="p"/>
              </m:rPr>
              <m:t>−</m:t>
            </m:r>
            <m:sSubSup>
              <m:e>
                <m:r>
                  <m:t>q</m:t>
                </m:r>
              </m:e>
              <m:sub>
                <m:r>
                  <m:t>i</m:t>
                </m:r>
              </m:sub>
              <m:sup>
                <m:d>
                  <m:dPr>
                    <m:begChr m:val="("/>
                    <m:endChr m:val=")"/>
                    <m:sepChr m:val=""/>
                    <m:grow/>
                  </m:dPr>
                  <m:e>
                    <m:r>
                      <m:t>0</m:t>
                    </m:r>
                  </m:e>
                </m:d>
              </m:sup>
            </m:sSubSup>
          </m:e>
        </m:d>
      </m:oMath>
      <w:r>
        <w:t xml:space="preserve">,</w:t>
      </w:r>
      <w:r>
        <w:t xml:space="preserve"> </w:t>
      </w:r>
      <m:oMath>
        <m:r>
          <m:t>i</m:t>
        </m:r>
        <m:r>
          <m:rPr>
            <m:sty m:val="p"/>
          </m:rPr>
          <m:t>=</m:t>
        </m:r>
        <m:r>
          <m:t>1</m:t>
        </m:r>
        <m:r>
          <m:rPr>
            <m:sty m:val="p"/>
          </m:rPr>
          <m:t>,</m:t>
        </m:r>
        <m:r>
          <m:rPr>
            <m:sty m:val="p"/>
          </m:rPr>
          <m:t>⋯</m:t>
        </m:r>
        <m:r>
          <m:rPr>
            <m:sty m:val="p"/>
          </m:rPr>
          <m:t>,</m:t>
        </m:r>
        <m:r>
          <m:t>M</m:t>
        </m:r>
      </m:oMath>
      <w:r>
        <w:t xml:space="preserve">, the Bairstow iteration is applied to each trial factor in parallel, treating all other factors as computed and performing the suppression process according to (2.3). An overview of the modified Bairstow method is shown in Figure 3.1.</w:t>
      </w:r>
    </w:p>
    <w:p>
      <w:pPr>
        <w:pStyle w:val="BodyText"/>
      </w:pPr>
      <w:r>
        <w:t xml:space="preserve">In the case of polynomials of odd degree, we need to make the following special treatment. Before applying to the formula, an extra root is added to the polynomial so that the resulting polynomial is of even degree. In our scheme, for convenience, we choose the root of the origin as the extra root. Thus, if there are any roots of the origin in the original polynomial, they should be removed at the beginning and remembered as part of the solution. The entire algorithm is summarized below.</w:t>
      </w:r>
    </w:p>
    <w:p>
      <w:pPr>
        <w:numPr>
          <w:ilvl w:val="0"/>
          <w:numId w:val="1001"/>
        </w:numPr>
        <w:pStyle w:val="Compact"/>
      </w:pPr>
      <w:r>
        <w:t xml:space="preserve">Remove any roots at the origin from the polynomial and remember them as part of the solution.</w:t>
      </w:r>
    </w:p>
    <w:p>
      <w:pPr>
        <w:numPr>
          <w:ilvl w:val="0"/>
          <w:numId w:val="1001"/>
        </w:numPr>
        <w:pStyle w:val="Compact"/>
      </w:pPr>
      <w:r>
        <w:t xml:space="preserve">If the resulting polynomial is of odd degree, insert a root at the origin to make it of even degree.:</w:t>
      </w:r>
    </w:p>
    <w:p>
      <w:pPr>
        <w:numPr>
          <w:ilvl w:val="0"/>
          <w:numId w:val="1001"/>
        </w:numPr>
        <w:pStyle w:val="Compact"/>
      </w:pPr>
      <w:r>
        <w:t xml:space="preserve">Iterate according to the algorithm shown in Figure 3.1 to find the root.</w:t>
      </w:r>
    </w:p>
    <w:p>
      <w:pPr>
        <w:numPr>
          <w:ilvl w:val="0"/>
          <w:numId w:val="1001"/>
        </w:numPr>
        <w:pStyle w:val="Compact"/>
      </w:pPr>
      <w:r>
        <w:t xml:space="preserve">If the original polynomial is of odd degree, delete the root at the origin inserted in step 2.</w:t>
      </w:r>
    </w:p>
    <w:p>
      <w:pPr>
        <w:numPr>
          <w:ilvl w:val="0"/>
          <w:numId w:val="1001"/>
        </w:numPr>
        <w:pStyle w:val="Compact"/>
      </w:pPr>
      <w:r>
        <w:t xml:space="preserve">Add the roots at the origin stored in step 1.</w:t>
      </w:r>
    </w:p>
    <w:p>
      <w:pPr>
        <w:pStyle w:val="FirstParagraph"/>
      </w:pPr>
      <w:r>
        <w:t xml:space="preserve">At first glance, the method appears to be inferior to Aberth's method because of the high cost of suppressing the quadratic factors. However, as we mentioned before, the method is actually more economical due to the avoidance of complex arithmetic. Table 3.1 shows the amount of computation required per iteration for both methods. Only the leading terms are counted. The first row of the table shows the cost of the Horner type of evaluation. It includes the evaluation of</w:t>
      </w:r>
      <w:r>
        <w:t xml:space="preserve"> </w:t>
      </w:r>
      <m:oMath>
        <m:r>
          <m:t>P</m:t>
        </m:r>
        <m:d>
          <m:dPr>
            <m:begChr m:val="("/>
            <m:endChr m:val=")"/>
            <m:sepChr m:val=""/>
            <m:grow/>
          </m:dPr>
          <m:e>
            <m:sSub>
              <m:e>
                <m:r>
                  <m:t>x</m:t>
                </m:r>
              </m:e>
              <m:sub>
                <m:r>
                  <m:t>i</m:t>
                </m:r>
              </m:sub>
            </m:sSub>
          </m:e>
        </m:d>
      </m:oMath>
      <w:r>
        <w:t xml:space="preserve"> </w:t>
      </w:r>
      <w:r>
        <w:t xml:space="preserve">and</w:t>
      </w:r>
      <w:r>
        <w:t xml:space="preserve"> </w:t>
      </w:r>
      <m:oMath>
        <m:r>
          <m:t>P</m:t>
        </m:r>
        <m:r>
          <m:rPr>
            <m:sty m:val="p"/>
          </m:rPr>
          <m:t>′</m:t>
        </m:r>
        <m:d>
          <m:dPr>
            <m:begChr m:val="("/>
            <m:endChr m:val=")"/>
            <m:sepChr m:val=""/>
            <m:grow/>
          </m:dPr>
          <m:e>
            <m:sSub>
              <m:e>
                <m:r>
                  <m:t>x</m:t>
                </m:r>
              </m:e>
              <m:sub>
                <m:r>
                  <m:t>i</m:t>
                </m:r>
              </m:sub>
            </m:sSub>
          </m:e>
        </m:d>
      </m:oMath>
      <w:r>
        <w:t xml:space="preserve"> </w:t>
      </w:r>
      <w:r>
        <w:t xml:space="preserve">of the evaluation, and in Aberth’s method for</w:t>
      </w:r>
      <w:r>
        <w:t xml:space="preserve"> </w:t>
      </w:r>
      <m:oMath>
        <m:d>
          <m:dPr>
            <m:begChr m:val="("/>
            <m:endChr m:val=")"/>
            <m:sepChr m:val=""/>
            <m:grow/>
          </m:dPr>
          <m:e>
            <m:r>
              <m:t>A</m:t>
            </m:r>
            <m:r>
              <m:rPr>
                <m:sty m:val="p"/>
              </m:rPr>
              <m:t>,</m:t>
            </m:r>
            <m:r>
              <m:t>B</m:t>
            </m:r>
          </m:e>
        </m:d>
      </m:oMath>
      <w:r>
        <w:t xml:space="preserve"> </w:t>
      </w:r>
      <w:r>
        <w:t xml:space="preserve">and</w:t>
      </w:r>
      <w:r>
        <w:t xml:space="preserve"> </w:t>
      </w:r>
      <m:oMath>
        <m:d>
          <m:dPr>
            <m:begChr m:val="("/>
            <m:endChr m:val=")"/>
            <m:sepChr m:val=""/>
            <m:grow/>
          </m:dPr>
          <m:e>
            <m:sSub>
              <m:e>
                <m:r>
                  <m:t>A</m:t>
                </m:r>
              </m:e>
              <m:sub>
                <m:r>
                  <m:t>1</m:t>
                </m:r>
              </m:sub>
            </m:sSub>
            <m:r>
              <m:rPr>
                <m:sty m:val="p"/>
              </m:rPr>
              <m:t>,</m:t>
            </m:r>
            <m:sSub>
              <m:e>
                <m:r>
                  <m:t>B</m:t>
                </m:r>
              </m:e>
              <m:sub>
                <m:r>
                  <m:t>1</m:t>
                </m:r>
              </m:sub>
            </m:sSub>
          </m:e>
        </m:d>
      </m:oMath>
      <w:r>
        <w:t xml:space="preserve"> </w:t>
      </w:r>
      <w:r>
        <w:t xml:space="preserve">of the evaluation. The second row indicates the cost of suppressing the zeros/quadratic factors.</w:t>
      </w:r>
    </w:p>
    <w:p>
      <w:pPr>
        <w:pStyle w:val="BodyText"/>
      </w:pPr>
      <w:r>
        <w:t xml:space="preserve">It includes the evaluations of</w:t>
      </w:r>
      <w:r>
        <w:t xml:space="preserve"> </w:t>
      </w:r>
      <m:oMath>
        <m:r>
          <m:t>1</m:t>
        </m:r>
        <m:r>
          <m:rPr>
            <m:sty m:val="p"/>
          </m:rPr>
          <m:t>/</m:t>
        </m:r>
        <m:d>
          <m:dPr>
            <m:begChr m:val="("/>
            <m:endChr m:val=")"/>
            <m:sepChr m:val=""/>
            <m:grow/>
          </m:dPr>
          <m:e>
            <m:sSub>
              <m:e>
                <m:r>
                  <m:t>x</m:t>
                </m:r>
              </m:e>
              <m:sub>
                <m:r>
                  <m:t>i</m:t>
                </m:r>
              </m:sub>
            </m:sSub>
            <m:r>
              <m:rPr>
                <m:sty m:val="p"/>
              </m:rPr>
              <m:t>−</m:t>
            </m:r>
            <m:sSub>
              <m:e>
                <m:r>
                  <m:t>x</m:t>
                </m:r>
              </m:e>
              <m:sub>
                <m:r>
                  <m:t>j</m:t>
                </m:r>
              </m:sub>
            </m:sSub>
          </m:e>
        </m:d>
      </m:oMath>
      <w:r>
        <w:t xml:space="preserve"> </w:t>
      </w:r>
      <w:r>
        <w:t xml:space="preserve">in Aberth’s method and the evaluations of equation (2.3) in the proposed method. Inf addition, subtraction, multiplication or division is counted as one</w:t>
      </w:r>
      <w:r>
        <w:t xml:space="preserve"> </w:t>
      </w:r>
      <w:r>
        <w:rPr>
          <w:iCs/>
          <w:i/>
        </w:rPr>
        <w:t xml:space="preserve">flop</w:t>
      </w:r>
      <w:r>
        <w:t xml:space="preserve"> </w:t>
      </w:r>
      <w:r>
        <w:t xml:space="preserve">(floationg-point operation), the total flops per iteration of Aberth’s method are</w:t>
      </w:r>
      <w:r>
        <w:t xml:space="preserve"> </w:t>
      </w:r>
      <m:oMath>
        <m:r>
          <m:t>23</m:t>
        </m:r>
        <m:sSup>
          <m:e>
            <m:r>
              <m:t>N</m:t>
            </m:r>
          </m:e>
          <m:sup>
            <m:r>
              <m:t>2</m:t>
            </m:r>
          </m:sup>
        </m:sSup>
        <m:r>
          <m:rPr>
            <m:sty m:val="p"/>
          </m:rPr>
          <m:t>+</m:t>
        </m:r>
        <m:r>
          <m:t>O</m:t>
        </m:r>
        <m:d>
          <m:dPr>
            <m:begChr m:val="("/>
            <m:endChr m:val=")"/>
            <m:sepChr m:val=""/>
            <m:grow/>
          </m:dPr>
          <m:e>
            <m:r>
              <m:t>N</m:t>
            </m:r>
          </m:e>
        </m:d>
      </m:oMath>
      <w:r>
        <w:t xml:space="preserve"> </w:t>
      </w:r>
      <w:r>
        <w:t xml:space="preserve">and those of the proposed method are</w:t>
      </w:r>
      <w:r>
        <w:t xml:space="preserve"> </w:t>
      </w:r>
      <m:oMath>
        <m:r>
          <m:t>46</m:t>
        </m:r>
        <m:sSup>
          <m:e>
            <m:r>
              <m:t>M</m:t>
            </m:r>
          </m:e>
          <m:sup>
            <m:r>
              <m:t>2</m:t>
            </m:r>
          </m:sup>
        </m:sSup>
        <m:r>
          <m:rPr>
            <m:sty m:val="p"/>
          </m:rPr>
          <m:t>+</m:t>
        </m:r>
        <m:r>
          <m:t>O</m:t>
        </m:r>
        <m:d>
          <m:dPr>
            <m:begChr m:val="("/>
            <m:endChr m:val=")"/>
            <m:sepChr m:val=""/>
            <m:grow/>
          </m:dPr>
          <m:e>
            <m:r>
              <m:t>N</m:t>
            </m:r>
          </m:e>
        </m:d>
      </m:oMath>
      <w:r>
        <w:t xml:space="preserve">. Hence roughly a factor of two improvement will be expected.</w:t>
      </w:r>
    </w:p>
    <w:bookmarkEnd w:id="22"/>
    <w:bookmarkStart w:id="23" w:name="choosing-the-initial-guesses"/>
    <w:p>
      <w:pPr>
        <w:pStyle w:val="Heading2"/>
      </w:pPr>
      <w:r>
        <w:t xml:space="preserve">Choosing the initial guesses</w:t>
      </w:r>
    </w:p>
    <w:p>
      <w:pPr>
        <w:pStyle w:val="FirstParagraph"/>
      </w:pPr>
      <w:r>
        <w:t xml:space="preserve">We follow Aberth’s suggestion that the initial guesses should be evenly distributed on a circle with the center</w:t>
      </w:r>
      <w:r>
        <w:t xml:space="preserve"> </w:t>
      </w:r>
      <m:oMath>
        <m:r>
          <m:t>C</m:t>
        </m:r>
      </m:oMath>
      <w:r>
        <w:t xml:space="preserve"> </w:t>
      </w:r>
      <w:r>
        <w:t xml:space="preserve">which euqals to the cenetroid of zeros [1]:</w:t>
      </w:r>
    </w:p>
    <w:p>
      <w:pPr>
        <w:pStyle w:val="BodyText"/>
      </w:pPr>
      <m:oMathPara>
        <m:oMathParaPr>
          <m:jc m:val="center"/>
        </m:oMathParaPr>
        <m:oMath>
          <m:sSubSup>
            <m:e>
              <m:r>
                <m:t>z</m:t>
              </m:r>
            </m:e>
            <m:sub>
              <m:r>
                <m:t>j</m:t>
              </m:r>
            </m:sub>
            <m:sup>
              <m:d>
                <m:dPr>
                  <m:begChr m:val="("/>
                  <m:endChr m:val=")"/>
                  <m:sepChr m:val=""/>
                  <m:grow/>
                </m:dPr>
                <m:e>
                  <m:r>
                    <m:t>0</m:t>
                  </m:r>
                </m:e>
              </m:d>
            </m:sup>
          </m:sSubSup>
          <m:r>
            <m:rPr>
              <m:sty m:val="p"/>
            </m:rPr>
            <m:t>=</m:t>
          </m:r>
          <m:r>
            <m:t>C</m:t>
          </m:r>
          <m:r>
            <m:rPr>
              <m:sty m:val="p"/>
            </m:rPr>
            <m:t>+</m:t>
          </m:r>
          <m:r>
            <m:t>R</m:t>
          </m:r>
          <m:r>
            <m:rPr>
              <m:sty m:val="p"/>
            </m:rPr>
            <m:t>⋅</m:t>
          </m:r>
          <m:r>
            <m:rPr>
              <m:nor/>
              <m:sty m:val="p"/>
            </m:rPr>
            <m:t>exp</m:t>
          </m:r>
          <m:d>
            <m:dPr>
              <m:begChr m:val="("/>
              <m:endChr m:val=")"/>
              <m:sepChr m:val=""/>
              <m:grow/>
            </m:dPr>
            <m:e>
              <m:r>
                <m:t>2</m:t>
              </m:r>
              <m:r>
                <m:t>π</m:t>
              </m:r>
              <m:r>
                <m:t>i</m:t>
              </m:r>
              <m:r>
                <m:t>j</m:t>
              </m:r>
              <m:r>
                <m:rPr>
                  <m:sty m:val="p"/>
                </m:rPr>
                <m:t>/</m:t>
              </m:r>
              <m:r>
                <m:t>N</m:t>
              </m:r>
              <m:r>
                <m:rPr>
                  <m:sty m:val="p"/>
                </m:rPr>
                <m:t>+</m:t>
              </m:r>
              <m:r>
                <m:t>i</m:t>
              </m:r>
              <m:r>
                <m:t>ϕ</m:t>
              </m:r>
            </m:e>
          </m:d>
          <m:r>
            <m:t> </m:t>
          </m:r>
          <m:r>
            <m:t>j</m:t>
          </m:r>
          <m:r>
            <m:rPr>
              <m:sty m:val="p"/>
            </m:rPr>
            <m:t>=</m:t>
          </m:r>
          <m:r>
            <m:t>1</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i</m:t>
        </m:r>
        <m:r>
          <m:rPr>
            <m:sty m:val="p"/>
          </m:rPr>
          <m:t>=</m:t>
        </m:r>
        <m:rad>
          <m:radPr>
            <m:degHide m:val="1"/>
          </m:radPr>
          <m:deg/>
          <m:e>
            <m:r>
              <m:rPr>
                <m:sty m:val="p"/>
              </m:rPr>
              <m:t>−</m:t>
            </m:r>
            <m:r>
              <m:t>1</m:t>
            </m:r>
          </m:e>
        </m:rad>
      </m:oMath>
      <w:r>
        <w:t xml:space="preserve">.</w:t>
      </w:r>
      <w:r>
        <w:t xml:space="preserve"> </w:t>
      </w:r>
      <m:oMath>
        <m:r>
          <m:t>C</m:t>
        </m:r>
      </m:oMath>
      <w:r>
        <w:t xml:space="preserve"> </w:t>
      </w:r>
      <w:r>
        <w:t xml:space="preserve">can be determined by the formula</w:t>
      </w:r>
      <w:r>
        <w:t xml:space="preserve"> </w:t>
      </w:r>
      <m:oMath>
        <m:r>
          <m:rPr>
            <m:sty m:val="p"/>
          </m:rPr>
          <m:t>−</m:t>
        </m:r>
        <m:sSub>
          <m:e>
            <m:r>
              <m:t>a</m:t>
            </m:r>
          </m:e>
          <m:sub>
            <m:r>
              <m:t>N</m:t>
            </m:r>
            <m:r>
              <m:rPr>
                <m:sty m:val="p"/>
              </m:rPr>
              <m:t>−</m:t>
            </m:r>
            <m:r>
              <m:t>1</m:t>
            </m:r>
          </m:sub>
        </m:sSub>
        <m:r>
          <m:rPr>
            <m:sty m:val="p"/>
          </m:rPr>
          <m:t>/</m:t>
        </m:r>
        <m:d>
          <m:dPr>
            <m:begChr m:val="("/>
            <m:endChr m:val=")"/>
            <m:sepChr m:val=""/>
            <m:grow/>
          </m:dPr>
          <m:e>
            <m:r>
              <m:t>N</m:t>
            </m:r>
            <m:r>
              <m:rPr>
                <m:sty m:val="p"/>
              </m:rPr>
              <m:t>⋅</m:t>
            </m:r>
            <m:sSub>
              <m:e>
                <m:r>
                  <m:t>a</m:t>
                </m:r>
              </m:e>
              <m:sub>
                <m:r>
                  <m:t>N</m:t>
                </m:r>
              </m:sub>
            </m:sSub>
          </m:e>
        </m:d>
      </m:oMath>
      <w:r>
        <w:t xml:space="preserve">, where</w:t>
      </w:r>
      <w:r>
        <w:t xml:space="preserve"> </w:t>
      </w:r>
      <m:oMath>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w:t>
      </w:r>
      <w:r>
        <w:t xml:space="preserve">represent the coefficients of</w:t>
      </w:r>
      <w:r>
        <w:t xml:space="preserve"> </w:t>
      </w:r>
      <m:oMath>
        <m:sSup>
          <m:e>
            <m:r>
              <m:t>x</m:t>
            </m:r>
          </m:e>
          <m:sup>
            <m:r>
              <m:t>N</m:t>
            </m:r>
          </m:sup>
        </m:sSup>
      </m:oMath>
      <w:r>
        <w:t xml:space="preserve"> </w:t>
      </w:r>
      <w:r>
        <w:t xml:space="preserve">and</w:t>
      </w:r>
      <w:r>
        <w:t xml:space="preserve"> </w:t>
      </w:r>
      <m:oMath>
        <m:sSup>
          <m:e>
            <m:r>
              <m:t>x</m:t>
            </m:r>
          </m:e>
          <m:sup>
            <m:r>
              <m:t>N</m:t>
            </m:r>
            <m:r>
              <m:rPr>
                <m:sty m:val="p"/>
              </m:rPr>
              <m:t>−</m:t>
            </m:r>
            <m:r>
              <m:t>1</m:t>
            </m:r>
          </m:sup>
        </m:sSup>
      </m:oMath>
      <w:r>
        <w:t xml:space="preserve"> </w:t>
      </w:r>
      <w:r>
        <w:t xml:space="preserve">respectively. The angle</w:t>
      </w:r>
      <w:r>
        <w:t xml:space="preserve"> </w:t>
      </w:r>
      <m:oMath>
        <m:r>
          <m:t>ϕ</m:t>
        </m:r>
      </m:oMath>
      <w:r>
        <w:t xml:space="preserve"> </w:t>
      </w:r>
      <w:r>
        <w:t xml:space="preserve">is used to break the symmetry with respect to the real aixs, which is taken as</w:t>
      </w:r>
      <w:r>
        <w:t xml:space="preserve"> </w:t>
      </w:r>
      <m:oMath>
        <m:r>
          <m:t>π</m:t>
        </m:r>
        <m:r>
          <m:rPr>
            <m:sty m:val="p"/>
          </m:rPr>
          <m:t>/</m:t>
        </m:r>
        <m:r>
          <m:t>2</m:t>
        </m:r>
        <m:r>
          <m:t>N</m:t>
        </m:r>
      </m:oMath>
      <w:r>
        <w:t xml:space="preserve"> </w:t>
      </w:r>
      <w:r>
        <w:t xml:space="preserve">in Aberth’s discussion. For the parallel Bairstow method, we just put it as zero.</w:t>
      </w:r>
      <w:r>
        <w:t xml:space="preserve"> </w:t>
      </w:r>
      <m:oMath>
        <m:r>
          <m:t>R</m:t>
        </m:r>
      </m:oMath>
      <w:r>
        <w:t xml:space="preserve"> </w:t>
      </w:r>
      <w:r>
        <w:t xml:space="preserve">is taken as the effective radius</w:t>
      </w:r>
      <w:r>
        <w:t xml:space="preserve"> </w:t>
      </w:r>
      <m:oMath>
        <m:sSub>
          <m:e>
            <m:r>
              <m:t>R</m:t>
            </m:r>
          </m:e>
          <m:sub>
            <m:r>
              <m:t>e</m:t>
            </m:r>
          </m:sub>
        </m:sSub>
      </m:oMath>
      <w:r>
        <w:t xml:space="preserve"> </w:t>
      </w:r>
      <w:r>
        <w:t xml:space="preserve">by Chen [2]:</w:t>
      </w:r>
    </w:p>
    <w:p>
      <w:pPr>
        <w:pStyle w:val="BodyText"/>
      </w:pPr>
      <m:oMathPara>
        <m:oMathParaPr>
          <m:jc m:val="center"/>
        </m:oMathParaPr>
        <m:oMath>
          <m:r>
            <m:t>R</m:t>
          </m:r>
          <m:r>
            <m:rPr>
              <m:sty m:val="p"/>
            </m:rPr>
            <m:t>=</m:t>
          </m:r>
          <m:sSub>
            <m:e>
              <m:r>
                <m:t>R</m:t>
              </m:r>
            </m:e>
            <m:sub>
              <m:r>
                <m:t>e</m:t>
              </m:r>
            </m:sub>
          </m:sSub>
          <m:r>
            <m:rPr>
              <m:sty m:val="p"/>
            </m:rPr>
            <m:t>=</m:t>
          </m:r>
          <m:sSup>
            <m:e>
              <m:d>
                <m:dPr>
                  <m:begChr m:val="("/>
                  <m:endChr m:val=")"/>
                  <m:sepChr m:val=""/>
                  <m:grow/>
                </m:dPr>
                <m:e>
                  <m:r>
                    <m:rPr>
                      <m:sty m:val="p"/>
                    </m:rPr>
                    <m:t>−</m:t>
                  </m:r>
                  <m:r>
                    <m:t>P</m:t>
                  </m:r>
                  <m:d>
                    <m:dPr>
                      <m:begChr m:val="("/>
                      <m:endChr m:val=")"/>
                      <m:sepChr m:val=""/>
                      <m:grow/>
                    </m:dPr>
                    <m:e>
                      <m:r>
                        <m:t>C</m:t>
                      </m:r>
                    </m:e>
                  </m:d>
                </m:e>
              </m:d>
            </m:e>
            <m:sup>
              <m:r>
                <m:t>1</m:t>
              </m:r>
              <m:r>
                <m:rPr>
                  <m:sty m:val="p"/>
                </m:rPr>
                <m:t>/</m:t>
              </m:r>
              <m:r>
                <m:t>N</m:t>
              </m:r>
            </m:sup>
          </m:sSup>
        </m:oMath>
      </m:oMathPara>
    </w:p>
    <w:p>
      <w:pPr>
        <w:pStyle w:val="FirstParagraph"/>
      </w:pPr>
      <w:r>
        <w:t xml:space="preserve">for Aberth's method. Note that</w:t>
      </w:r>
      <w:r>
        <w:t xml:space="preserve"> </w:t>
      </w:r>
      <m:oMath>
        <m:sSub>
          <m:e>
            <m:r>
              <m:t>R</m:t>
            </m:r>
          </m:e>
          <m:sub>
            <m:r>
              <m:t>e</m:t>
            </m:r>
          </m:sub>
        </m:sSub>
      </m:oMath>
      <w:r>
        <w:t xml:space="preserve"> </w:t>
      </w:r>
      <w:r>
        <w:t xml:space="preserve">is a complex number. For the proposed method, since</w:t>
      </w:r>
      <w:r>
        <w:t xml:space="preserve"> </w:t>
      </w:r>
      <m:oMath>
        <m:r>
          <m:t>R</m:t>
        </m:r>
      </m:oMath>
      <w:r>
        <w:t xml:space="preserve"> </w:t>
      </w:r>
      <w:r>
        <w:t xml:space="preserve">must be a real number and therefore we use</w:t>
      </w:r>
      <w:r>
        <w:t xml:space="preserve"> </w:t>
      </w:r>
      <m:oMath>
        <m:r>
          <m:t>R</m:t>
        </m:r>
        <m:r>
          <m:rPr>
            <m:sty m:val="p"/>
          </m:rPr>
          <m:t>=</m:t>
        </m:r>
        <m:sSup>
          <m:e>
            <m:d>
              <m:dPr>
                <m:begChr m:val="|"/>
                <m:endChr m:val="|"/>
                <m:sepChr m:val=""/>
                <m:grow/>
              </m:dPr>
              <m:e>
                <m:r>
                  <m:t>P</m:t>
                </m:r>
                <m:d>
                  <m:dPr>
                    <m:begChr m:val="("/>
                    <m:endChr m:val=")"/>
                    <m:sepChr m:val=""/>
                    <m:grow/>
                  </m:dPr>
                  <m:e>
                    <m:r>
                      <m:t>C</m:t>
                    </m:r>
                  </m:e>
                </m:d>
              </m:e>
            </m:d>
          </m:e>
          <m:sup>
            <m:r>
              <m:t>1</m:t>
            </m:r>
            <m:r>
              <m:rPr>
                <m:sty m:val="p"/>
              </m:rPr>
              <m:t>/</m:t>
            </m:r>
            <m:r>
              <m:t>N</m:t>
            </m:r>
          </m:sup>
        </m:sSup>
      </m:oMath>
      <w:r>
        <w:t xml:space="preserve"> </w:t>
      </w:r>
      <w:r>
        <w:t xml:space="preserve">instead. As a result, the initial</w:t>
      </w:r>
      <w:r>
        <w:t xml:space="preserve"> </w:t>
      </w:r>
      <m:oMath>
        <m:r>
          <m:rPr>
            <m:sty m:val="p"/>
          </m:rPr>
          <m:t>{</m:t>
        </m:r>
        <m:sSubSup>
          <m:e>
            <m:r>
              <m:t>r</m:t>
            </m:r>
          </m:e>
          <m:sub>
            <m:r>
              <m:t>j</m:t>
            </m:r>
          </m:sub>
          <m:sup>
            <m:d>
              <m:dPr>
                <m:begChr m:val="("/>
                <m:endChr m:val=")"/>
                <m:sepChr m:val=""/>
                <m:grow/>
              </m:dPr>
              <m:e>
                <m:r>
                  <m:t>0</m:t>
                </m:r>
              </m:e>
            </m:d>
          </m:sup>
        </m:sSubSup>
        <m:r>
          <m:rPr>
            <m:sty m:val="p"/>
          </m:rPr>
          <m:t>,</m:t>
        </m:r>
        <m:sSubSup>
          <m:e>
            <m:r>
              <m:t>q</m:t>
            </m:r>
          </m:e>
          <m:sub>
            <m:r>
              <m:t>j</m:t>
            </m:r>
          </m:sub>
          <m:sup>
            <m:d>
              <m:dPr>
                <m:begChr m:val="("/>
                <m:endChr m:val=")"/>
                <m:sepChr m:val=""/>
                <m:grow/>
              </m:dPr>
              <m:e>
                <m:r>
                  <m:t>0</m:t>
                </m:r>
              </m:e>
            </m:d>
          </m:sup>
        </m:sSubSup>
        <m:r>
          <m:rPr>
            <m:sty m:val="p"/>
          </m:rPr>
          <m:t>}</m:t>
        </m:r>
      </m:oMath>
      <w:r>
        <w:t xml:space="preserve"> </w:t>
      </w:r>
      <w:r>
        <w:t xml:space="preserve">are given by:</w:t>
      </w:r>
    </w:p>
    <w:bookmarkEnd w:id="23"/>
    <w:bookmarkStart w:id="24" w:name="numerical-experiments"/>
    <w:p>
      <w:pPr>
        <w:pStyle w:val="Heading2"/>
      </w:pPr>
      <w:r>
        <w:t xml:space="preserve">Numerical experiments</w:t>
      </w:r>
    </w:p>
    <w:p>
      <w:pPr>
        <w:pStyle w:val="FirstParagraph"/>
      </w:pPr>
      <w:r>
        <w:t xml:space="preserve">We have written experimental programs in MATLAB to implement the modified Bairstow’s method described in Section 3 and Aberth’s method. The number of iterations (iter.) and the floating-point operation count (flops) were used to measure the performance. Since the stopping criterions of these two methods were different, we listed the maximum of the actual residual error (</w:t>
      </w:r>
      <m:oMath>
        <m:sSub>
          <m:e>
            <m:r>
              <m:t>ξ</m:t>
            </m:r>
          </m:e>
          <m:sub>
            <m:r>
              <m:rPr>
                <m:nor/>
                <m:sty m:val="p"/>
              </m:rPr>
              <m:t>max</m:t>
            </m:r>
          </m:sub>
        </m:sSub>
      </m:oMath>
      <w:r>
        <w:t xml:space="preserve">), which is defined as</w:t>
      </w:r>
      <w:r>
        <w:t xml:space="preserve"> </w:t>
      </w:r>
      <m:oMath>
        <m:sSub>
          <m:e>
            <m:r>
              <m:rPr>
                <m:nor/>
                <m:sty m:val="p"/>
              </m:rPr>
              <m:t>max</m:t>
            </m:r>
          </m:e>
          <m:sub>
            <m:r>
              <m:t>i</m:t>
            </m:r>
          </m:sub>
        </m:sSub>
        <m:d>
          <m:dPr>
            <m:begChr m:val="|"/>
            <m:endChr m:val="|"/>
            <m:sepChr m:val=""/>
            <m:grow/>
          </m:dPr>
          <m:e>
            <m:r>
              <m:t>P</m:t>
            </m:r>
            <m:d>
              <m:dPr>
                <m:begChr m:val="("/>
                <m:endChr m:val=")"/>
                <m:sepChr m:val=""/>
                <m:grow/>
              </m:dPr>
              <m:e>
                <m:sSub>
                  <m:e>
                    <m:r>
                      <m:t>x</m:t>
                    </m:r>
                  </m:e>
                  <m:sub>
                    <m:r>
                      <m:t>i</m:t>
                    </m:r>
                  </m:sub>
                </m:sSub>
              </m:e>
            </m:d>
          </m:e>
        </m:d>
      </m:oMath>
      <w:r>
        <w:t xml:space="preserve">, for comparison. We follow [7] that the test polynomials were taken form Table 1 of [9] (see also [12]).</w:t>
      </w:r>
    </w:p>
    <w:p>
      <w:pPr>
        <w:pStyle w:val="BodyText"/>
      </w:pPr>
      <w:r>
        <w:t xml:space="preserve">The programs were run on a DECstation 5000/133, form Digital Equipment Corporation and the results are listed in Table 5.1. We observed that the convergent rates of the two methods were quite similar except for some polynomials. At the following, we will discuss those problems. In Problem 3, 5, 6, 7, and 9, slower convergent rates were observed in Aberth’s method. It was because the corresponding polynomials contained either multiple roots or only real roots or both. However,the modified Bairstow method may not in all cases exhibit fast convergence. For example, in Problem 10, a slow convergent rate was also found. In Problem 31, the modified Bairstow method required 50 iterations to converge. We observed that in the first 44 iterations, one pair of iterates was just wandering but suddenly approached the roots quickly at the last several iterations. An appropriate explanation is still unknown howerver.</w:t>
      </w:r>
    </w:p>
    <w:bookmarkEnd w:id="24"/>
    <w:bookmarkStart w:id="25" w:name="conclusions"/>
    <w:p>
      <w:pPr>
        <w:pStyle w:val="Heading2"/>
      </w:pPr>
      <w:r>
        <w:t xml:space="preserve">Conclusions</w:t>
      </w:r>
    </w:p>
    <w:p>
      <w:pPr>
        <w:pStyle w:val="FirstParagraph"/>
      </w:pPr>
      <w:r>
        <w:t xml:space="preserve">In this paper, the general idea of the proposed method has been presented. The advantage of this method is that complex arithmetic can be avoided and inherently parallelizable. Numerical results have shown the robustness and the efficiency of this method.</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the roots of a real polynomial simultaneously using Bairstow's method</dc:title>
  <dc:creator>Wai-Shing Luk</dc:creator>
  <cp:keywords/>
  <dcterms:created xsi:type="dcterms:W3CDTF">2021-12-16T05:52:37Z</dcterms:created>
  <dcterms:modified xsi:type="dcterms:W3CDTF">2021-12-16T05:52:37Z</dcterms:modified>
</cp:coreProperties>
</file>

<file path=docProps/custom.xml><?xml version="1.0" encoding="utf-8"?>
<Properties xmlns="http://schemas.openxmlformats.org/officeDocument/2006/custom-properties" xmlns:vt="http://schemas.openxmlformats.org/officeDocument/2006/docPropsVTypes"/>
</file>