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Arial" w:cs="Arial" w:eastAsia="Arial" w:hAnsi="Arial"/>
          <w:b/>
          <w:bCs/>
          <w:color w:val="F5A800"/>
          <w:spacing w:val="200"/>
          <w:sz w:val="72"/>
          <w:szCs w:val="72"/>
        </w:rPr>
        <w:t xml:space="preserve">FORGE</w:t>
      </w:r>
    </w:p>
    <w:p>
      <w:pPr>
        <w:spacing w:after="60" w:before="0"/>
      </w:pPr>
      <w:r>
        <w:rPr>
          <w:rFonts w:ascii="Arial" w:cs="Arial" w:eastAsia="Arial" w:hAnsi="Arial"/>
          <w:color w:val="444444"/>
          <w:sz w:val="32"/>
          <w:szCs w:val="32"/>
        </w:rPr>
        <w:t xml:space="preserve">Family Finance Platform</w:t>
      </w:r>
    </w:p>
    <w:p>
      <w:pPr>
        <w:pBdr>
          <w:bottom w:val="single" w:color="F5A800" w:sz="6" w:space="4"/>
        </w:pBdr>
        <w:spacing w:after="600" w:before="0"/>
      </w:pPr>
      <w:r>
        <w:t xml:space="preserve"/>
      </w:r>
    </w:p>
    <w:p>
      <w:pPr>
        <w:spacing w:after="80" w:before="60"/>
        <w:jc w:val="center"/>
      </w:pPr>
      <w:r>
        <w:rPr>
          <w:rFonts w:ascii="Arial" w:cs="Arial" w:eastAsia="Arial" w:hAnsi="Arial"/>
          <w:color w:val="666666"/>
          <w:sz w:val="20"/>
          <w:szCs w:val="20"/>
        </w:rPr>
        <w:t xml:space="preserve">User Guide  ·  Version 4.0  ·  April 2026</w:t>
      </w:r>
    </w:p>
    <w:p>
      <w:pPr>
        <w:spacing w:after="80" w:before="60"/>
        <w:jc w:val="center"/>
      </w:pPr>
      <w:r>
        <w:rPr>
          <w:rFonts w:ascii="Arial" w:cs="Arial" w:eastAsia="Arial" w:hAnsi="Arial"/>
          <w:color w:val="666666"/>
          <w:sz w:val="20"/>
          <w:szCs w:val="20"/>
        </w:rPr>
        <w:t xml:space="preserve">luka731chris.github.io/Forge</w:t>
      </w:r>
    </w:p>
    <w:p>
      <w:r>
        <w:br w:type="page"/>
      </w:r>
    </w:p>
    <w:p>
      <w:pPr>
        <w:pStyle w:val="Heading1"/>
        <w:spacing w:after="120" w:before="360"/>
      </w:pPr>
      <w:r>
        <w:rPr>
          <w:rFonts w:ascii="Arial" w:cs="Arial" w:eastAsia="Arial" w:hAnsi="Arial"/>
          <w:b/>
          <w:bCs/>
          <w:color w:val="1A1A1A"/>
          <w:sz w:val="32"/>
          <w:szCs w:val="32"/>
        </w:rPr>
        <w:t xml:space="preserve">What Is Forge?</w:t>
      </w:r>
    </w:p>
    <w:p>
      <w:pPr>
        <w:spacing w:after="80" w:before="60"/>
        <w:jc w:val="left"/>
      </w:pPr>
      <w:r>
        <w:rPr>
          <w:rFonts w:ascii="Arial" w:cs="Arial" w:eastAsia="Arial" w:hAnsi="Arial"/>
          <w:color w:val="1A1A1A"/>
          <w:sz w:val="20"/>
          <w:szCs w:val="20"/>
        </w:rPr>
        <w:t xml:space="preserve">Forge is a private, self-hosted family finance platform built specifically for the Luka family. It reads exports from Quicken — the raw transaction data you already have — and transforms them into clear, actionable financial intelligence that Quicken’s own reporting never could.</w:t>
      </w:r>
    </w:p>
    <w:p>
      <w:pPr>
        <w:spacing w:after="80" w:before="60"/>
        <w:jc w:val="left"/>
      </w:pPr>
      <w:r>
        <w:rPr>
          <w:rFonts w:ascii="Arial" w:cs="Arial" w:eastAsia="Arial" w:hAnsi="Arial"/>
          <w:color w:val="1A1A1A"/>
          <w:sz w:val="20"/>
          <w:szCs w:val="20"/>
        </w:rPr>
        <w:t xml:space="preserve">No subscription. No ads. No third-party servers. Your data stays in your browser.</w:t>
      </w:r>
    </w:p>
    <w:p>
      <w:pPr>
        <w:pBdr>
          <w:bottom w:val="single" w:color="EEEEEE" w:sz="3" w:space="1"/>
        </w:pBdr>
        <w:spacing w:after="120" w:before="120"/>
      </w:pPr>
      <w:r>
        <w:t xml:space="preserve"/>
      </w:r>
    </w:p>
    <w:p>
      <w:pPr>
        <w:pStyle w:val="Heading2"/>
        <w:pBdr>
          <w:bottom w:val="single" w:color="F5A800" w:sz="4" w:space="4"/>
        </w:pBdr>
        <w:spacing w:after="80" w:before="240"/>
      </w:pPr>
      <w:r>
        <w:rPr>
          <w:rFonts w:ascii="Arial" w:cs="Arial" w:eastAsia="Arial" w:hAnsi="Arial"/>
          <w:b/>
          <w:bCs/>
          <w:color w:val="1A1A1A"/>
          <w:sz w:val="24"/>
          <w:szCs w:val="24"/>
        </w:rPr>
        <w:t xml:space="preserve">Core Principles</w:t>
      </w:r>
    </w:p>
    <w:p>
      <w:pPr>
        <w:pStyle w:val="ListParagraph"/>
        <w:numPr>
          <w:ilvl w:val="0"/>
          <w:numId w:val="2"/>
        </w:numPr>
        <w:spacing w:after="40" w:before="40"/>
      </w:pPr>
      <w:r>
        <w:rPr>
          <w:rFonts w:ascii="Arial" w:cs="Arial" w:eastAsia="Arial" w:hAnsi="Arial"/>
          <w:color w:val="1A1A1A"/>
          <w:sz w:val="20"/>
          <w:szCs w:val="20"/>
        </w:rPr>
        <w:t xml:space="preserve">Extreme clarity on where money actually goes — not just categories, but real payees and people</w:t>
      </w:r>
    </w:p>
    <w:p>
      <w:pPr>
        <w:pStyle w:val="ListParagraph"/>
        <w:numPr>
          <w:ilvl w:val="0"/>
          <w:numId w:val="2"/>
        </w:numPr>
        <w:spacing w:after="40" w:before="40"/>
      </w:pPr>
      <w:r>
        <w:rPr>
          <w:rFonts w:ascii="Arial" w:cs="Arial" w:eastAsia="Arial" w:hAnsi="Arial"/>
          <w:color w:val="1A1A1A"/>
          <w:sz w:val="20"/>
          <w:szCs w:val="20"/>
        </w:rPr>
        <w:t xml:space="preserve">No double-counting — internal transfers and credit card payments are correctly excluded from income and expense totals</w:t>
      </w:r>
    </w:p>
    <w:p>
      <w:pPr>
        <w:pStyle w:val="ListParagraph"/>
        <w:numPr>
          <w:ilvl w:val="0"/>
          <w:numId w:val="2"/>
        </w:numPr>
        <w:spacing w:after="40" w:before="40"/>
      </w:pPr>
      <w:r>
        <w:rPr>
          <w:rFonts w:ascii="Arial" w:cs="Arial" w:eastAsia="Arial" w:hAnsi="Arial"/>
          <w:color w:val="1A1A1A"/>
          <w:sz w:val="20"/>
          <w:szCs w:val="20"/>
        </w:rPr>
        <w:t xml:space="preserve">Purchaser attribution — every transaction is tied to a family member, not just an account</w:t>
      </w:r>
    </w:p>
    <w:p>
      <w:pPr>
        <w:pStyle w:val="ListParagraph"/>
        <w:numPr>
          <w:ilvl w:val="0"/>
          <w:numId w:val="2"/>
        </w:numPr>
        <w:spacing w:after="40" w:before="40"/>
      </w:pPr>
      <w:r>
        <w:rPr>
          <w:rFonts w:ascii="Arial" w:cs="Arial" w:eastAsia="Arial" w:hAnsi="Arial"/>
          <w:color w:val="1A1A1A"/>
          <w:sz w:val="20"/>
          <w:szCs w:val="20"/>
        </w:rPr>
        <w:t xml:space="preserve">Demo and real data never mix — loading new data wipes previous data completely</w:t>
      </w:r>
    </w:p>
    <w:p>
      <w:pPr>
        <w:pBdr>
          <w:bottom w:val="single" w:color="EEEEEE" w:sz="3" w:space="1"/>
        </w:pBdr>
        <w:spacing w:after="120" w:before="120"/>
      </w:pPr>
      <w:r>
        <w:t xml:space="preserve"/>
      </w:r>
    </w:p>
    <w:p>
      <w:pPr>
        <w:pStyle w:val="Heading2"/>
        <w:pBdr>
          <w:bottom w:val="single" w:color="F5A800" w:sz="4" w:space="4"/>
        </w:pBdr>
        <w:spacing w:after="80" w:before="240"/>
      </w:pPr>
      <w:r>
        <w:rPr>
          <w:rFonts w:ascii="Arial" w:cs="Arial" w:eastAsia="Arial" w:hAnsi="Arial"/>
          <w:b/>
          <w:bCs/>
          <w:color w:val="1A1A1A"/>
          <w:sz w:val="24"/>
          <w:szCs w:val="24"/>
        </w:rPr>
        <w:t xml:space="preserve">Two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Forge Desktop</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Full-featured web app. All charts, analytics, income statement, balance sheet, AI tools. Use on laptop or desktop at luka731chris.github.io/Forge</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Forge Pulse</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Mobile PWA. Gauge, P&amp;L, Net Worth, Analytics, Ask $id. Optimized for iPhone. Open forge-pulse.html in Safari and “Add to Home Screen.”</w:t>
            </w:r>
          </w:p>
        </w:tc>
      </w:tr>
    </w:tbl>
    <w:p>
      <w:pPr>
        <w:spacing w:after="80" w:before="60"/>
        <w:jc w:val="left"/>
      </w:pPr>
      <w:r>
        <w:rPr>
          <w:rFonts w:ascii="Arial" w:cs="Arial" w:eastAsia="Arial" w:hAnsi="Arial"/>
          <w:color w:val="1A1A1A"/>
          <w:sz w:val="20"/>
          <w:szCs w:val="20"/>
        </w:rPr>
        <w:t xml:space="preserve"/>
      </w:r>
    </w:p>
    <w:p>
      <w:r>
        <w:br w:type="page"/>
      </w:r>
    </w:p>
    <w:p>
      <w:pPr>
        <w:pStyle w:val="Heading1"/>
        <w:spacing w:after="120" w:before="360"/>
      </w:pPr>
      <w:r>
        <w:rPr>
          <w:rFonts w:ascii="Arial" w:cs="Arial" w:eastAsia="Arial" w:hAnsi="Arial"/>
          <w:b/>
          <w:bCs/>
          <w:color w:val="1A1A1A"/>
          <w:sz w:val="32"/>
          <w:szCs w:val="32"/>
        </w:rPr>
        <w:t xml:space="preserve">Importing Data</w:t>
      </w:r>
    </w:p>
    <w:p>
      <w:pPr>
        <w:pStyle w:val="Heading2"/>
        <w:pBdr>
          <w:bottom w:val="single" w:color="F5A800" w:sz="4" w:space="4"/>
        </w:pBdr>
        <w:spacing w:after="80" w:before="240"/>
      </w:pPr>
      <w:r>
        <w:rPr>
          <w:rFonts w:ascii="Arial" w:cs="Arial" w:eastAsia="Arial" w:hAnsi="Arial"/>
          <w:b/>
          <w:bCs/>
          <w:color w:val="1A1A1A"/>
          <w:sz w:val="24"/>
          <w:szCs w:val="24"/>
        </w:rPr>
        <w:t xml:space="preserve">From Quicken</w:t>
      </w:r>
    </w:p>
    <w:p>
      <w:pPr>
        <w:spacing w:after="80" w:before="60"/>
        <w:jc w:val="left"/>
      </w:pPr>
      <w:r>
        <w:rPr>
          <w:rFonts w:ascii="Arial" w:cs="Arial" w:eastAsia="Arial" w:hAnsi="Arial"/>
          <w:color w:val="1A1A1A"/>
          <w:sz w:val="20"/>
          <w:szCs w:val="20"/>
        </w:rPr>
        <w:t xml:space="preserve">Forge reads three types of Quicken exports. All are dropped into The Pour (the upload zone on the desktop app).</w:t>
      </w:r>
    </w:p>
    <w:p>
      <w:pPr>
        <w:spacing w:after="60" w:before="160"/>
      </w:pPr>
      <w:r>
        <w:rPr>
          <w:rFonts w:ascii="Arial" w:cs="Arial" w:eastAsia="Arial" w:hAnsi="Arial"/>
          <w:b/>
          <w:bCs/>
          <w:color w:val="444444"/>
          <w:sz w:val="22"/>
          <w:szCs w:val="22"/>
        </w:rPr>
        <w:t xml:space="preserve">Transaction Export (QIF or CSV)</w:t>
      </w:r>
    </w:p>
    <w:p>
      <w:pPr>
        <w:pStyle w:val="ListParagraph"/>
        <w:numPr>
          <w:ilvl w:val="0"/>
          <w:numId w:val="2"/>
        </w:numPr>
        <w:spacing w:after="40" w:before="40"/>
      </w:pPr>
      <w:r>
        <w:rPr>
          <w:rFonts w:ascii="Arial" w:cs="Arial" w:eastAsia="Arial" w:hAnsi="Arial"/>
          <w:color w:val="1A1A1A"/>
          <w:sz w:val="20"/>
          <w:szCs w:val="20"/>
        </w:rPr>
        <w:t xml:space="preserve">In Quicken: File → Export → Export to QIF or CSV</w:t>
      </w:r>
    </w:p>
    <w:p>
      <w:pPr>
        <w:pStyle w:val="ListParagraph"/>
        <w:numPr>
          <w:ilvl w:val="0"/>
          <w:numId w:val="2"/>
        </w:numPr>
        <w:spacing w:after="40" w:before="40"/>
      </w:pPr>
      <w:r>
        <w:rPr>
          <w:rFonts w:ascii="Arial" w:cs="Arial" w:eastAsia="Arial" w:hAnsi="Arial"/>
          <w:color w:val="1A1A1A"/>
          <w:sz w:val="20"/>
          <w:szCs w:val="20"/>
        </w:rPr>
        <w:t xml:space="preserve">Select date range and all accounts</w:t>
      </w:r>
    </w:p>
    <w:p>
      <w:pPr>
        <w:pStyle w:val="ListParagraph"/>
        <w:numPr>
          <w:ilvl w:val="0"/>
          <w:numId w:val="2"/>
        </w:numPr>
        <w:spacing w:after="40" w:before="40"/>
      </w:pPr>
      <w:r>
        <w:rPr>
          <w:rFonts w:ascii="Arial" w:cs="Arial" w:eastAsia="Arial" w:hAnsi="Arial"/>
          <w:color w:val="1A1A1A"/>
          <w:sz w:val="20"/>
          <w:szCs w:val="20"/>
        </w:rPr>
        <w:t xml:space="preserve">Drop the file on The Pour — Forge auto-detects the format</w:t>
      </w:r>
    </w:p>
    <w:p>
      <w:pPr>
        <w:pStyle w:val="ListParagraph"/>
        <w:numPr>
          <w:ilvl w:val="0"/>
          <w:numId w:val="2"/>
        </w:numPr>
        <w:spacing w:after="40" w:before="40"/>
      </w:pPr>
      <w:r>
        <w:rPr>
          <w:rFonts w:ascii="Arial" w:cs="Arial" w:eastAsia="Arial" w:hAnsi="Arial"/>
          <w:color w:val="1A1A1A"/>
          <w:sz w:val="20"/>
          <w:szCs w:val="20"/>
        </w:rPr>
        <w:t xml:space="preserve">Quicken preamble lines and split transactions are handled automatically</w:t>
      </w:r>
    </w:p>
    <w:p>
      <w:pPr>
        <w:spacing w:after="60" w:before="160"/>
      </w:pPr>
      <w:r>
        <w:rPr>
          <w:rFonts w:ascii="Arial" w:cs="Arial" w:eastAsia="Arial" w:hAnsi="Arial"/>
          <w:b/>
          <w:bCs/>
          <w:color w:val="444444"/>
          <w:sz w:val="22"/>
          <w:szCs w:val="22"/>
        </w:rPr>
        <w:t xml:space="preserve">Net Worth Report</w:t>
      </w:r>
    </w:p>
    <w:p>
      <w:pPr>
        <w:pStyle w:val="ListParagraph"/>
        <w:numPr>
          <w:ilvl w:val="0"/>
          <w:numId w:val="2"/>
        </w:numPr>
        <w:spacing w:after="40" w:before="40"/>
      </w:pPr>
      <w:r>
        <w:rPr>
          <w:rFonts w:ascii="Arial" w:cs="Arial" w:eastAsia="Arial" w:hAnsi="Arial"/>
          <w:color w:val="1A1A1A"/>
          <w:sz w:val="20"/>
          <w:szCs w:val="20"/>
        </w:rPr>
        <w:t xml:space="preserve">In Quicken: Reports → Net Worth → set date to the snapshot date</w:t>
      </w:r>
    </w:p>
    <w:p>
      <w:pPr>
        <w:pStyle w:val="ListParagraph"/>
        <w:numPr>
          <w:ilvl w:val="0"/>
          <w:numId w:val="2"/>
        </w:numPr>
        <w:spacing w:after="40" w:before="40"/>
      </w:pPr>
      <w:r>
        <w:rPr>
          <w:rFonts w:ascii="Arial" w:cs="Arial" w:eastAsia="Arial" w:hAnsi="Arial"/>
          <w:color w:val="1A1A1A"/>
          <w:sz w:val="20"/>
          <w:szCs w:val="20"/>
        </w:rPr>
        <w:t xml:space="preserve">File → Export → Export to CSV</w:t>
      </w:r>
    </w:p>
    <w:p>
      <w:pPr>
        <w:pStyle w:val="ListParagraph"/>
        <w:numPr>
          <w:ilvl w:val="0"/>
          <w:numId w:val="2"/>
        </w:numPr>
        <w:spacing w:after="40" w:before="40"/>
      </w:pPr>
      <w:r>
        <w:rPr>
          <w:rFonts w:ascii="Arial" w:cs="Arial" w:eastAsia="Arial" w:hAnsi="Arial"/>
          <w:color w:val="1A1A1A"/>
          <w:sz w:val="20"/>
          <w:szCs w:val="20"/>
        </w:rPr>
        <w:t xml:space="preserve">Suggested naming: NetWorth_260331.csv (YY MM DD format)</w:t>
      </w:r>
    </w:p>
    <w:p>
      <w:pPr>
        <w:pStyle w:val="ListParagraph"/>
        <w:numPr>
          <w:ilvl w:val="0"/>
          <w:numId w:val="2"/>
        </w:numPr>
        <w:spacing w:after="40" w:before="40"/>
      </w:pPr>
      <w:r>
        <w:rPr>
          <w:rFonts w:ascii="Arial" w:cs="Arial" w:eastAsia="Arial" w:hAnsi="Arial"/>
          <w:color w:val="1A1A1A"/>
          <w:sz w:val="20"/>
          <w:szCs w:val="20"/>
        </w:rPr>
        <w:t xml:space="preserve">Drop on The Pour. Forge reads account-by-account balances and stores the snapshot permanently in the browser. These survive “Clear Data.”</w:t>
      </w:r>
    </w:p>
    <w:p>
      <w:pPr>
        <w:spacing w:after="60" w:before="160"/>
      </w:pPr>
      <w:r>
        <w:rPr>
          <w:rFonts w:ascii="Arial" w:cs="Arial" w:eastAsia="Arial" w:hAnsi="Arial"/>
          <w:b/>
          <w:bCs/>
          <w:color w:val="444444"/>
          <w:sz w:val="22"/>
          <w:szCs w:val="22"/>
        </w:rPr>
        <w:t xml:space="preserve">Investment Performance Report</w:t>
      </w:r>
    </w:p>
    <w:p>
      <w:pPr>
        <w:pStyle w:val="ListParagraph"/>
        <w:numPr>
          <w:ilvl w:val="0"/>
          <w:numId w:val="2"/>
        </w:numPr>
        <w:spacing w:after="40" w:before="40"/>
      </w:pPr>
      <w:r>
        <w:rPr>
          <w:rFonts w:ascii="Arial" w:cs="Arial" w:eastAsia="Arial" w:hAnsi="Arial"/>
          <w:color w:val="1A1A1A"/>
          <w:sz w:val="20"/>
          <w:szCs w:val="20"/>
        </w:rPr>
        <w:t xml:space="preserve">In Quicken: Reports → Investing → Investment Performance → set date range</w:t>
      </w:r>
    </w:p>
    <w:p>
      <w:pPr>
        <w:pStyle w:val="ListParagraph"/>
        <w:numPr>
          <w:ilvl w:val="0"/>
          <w:numId w:val="2"/>
        </w:numPr>
        <w:spacing w:after="40" w:before="40"/>
      </w:pPr>
      <w:r>
        <w:rPr>
          <w:rFonts w:ascii="Arial" w:cs="Arial" w:eastAsia="Arial" w:hAnsi="Arial"/>
          <w:color w:val="1A1A1A"/>
          <w:sz w:val="20"/>
          <w:szCs w:val="20"/>
        </w:rPr>
        <w:t xml:space="preserve">Export to CSV</w:t>
      </w:r>
    </w:p>
    <w:p>
      <w:pPr>
        <w:pStyle w:val="ListParagraph"/>
        <w:numPr>
          <w:ilvl w:val="0"/>
          <w:numId w:val="2"/>
        </w:numPr>
        <w:spacing w:after="40" w:before="40"/>
      </w:pPr>
      <w:r>
        <w:rPr>
          <w:rFonts w:ascii="Arial" w:cs="Arial" w:eastAsia="Arial" w:hAnsi="Arial"/>
          <w:color w:val="1A1A1A"/>
          <w:sz w:val="20"/>
          <w:szCs w:val="20"/>
        </w:rPr>
        <w:t xml:space="preserve">Drop on The Pour. Forge reads ending market values per account and merges them into the same snapshot store as Net Worth reports</w:t>
      </w:r>
    </w:p>
    <w:p>
      <w:pPr>
        <w:pStyle w:val="ListParagraph"/>
        <w:numPr>
          <w:ilvl w:val="0"/>
          <w:numId w:val="2"/>
        </w:numPr>
        <w:spacing w:after="40" w:before="40"/>
      </w:pPr>
      <w:r>
        <w:rPr>
          <w:rFonts w:ascii="Arial" w:cs="Arial" w:eastAsia="Arial" w:hAnsi="Arial"/>
          <w:color w:val="1A1A1A"/>
          <w:sz w:val="20"/>
          <w:szCs w:val="20"/>
        </w:rPr>
        <w:t xml:space="preserve">Run this alongside each Net Worth snapshot for accurate retirement and investment account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5A800" w:sz="12"/>
              <w:bottom w:val="single" w:color="DDDDDD" w:sz="1"/>
              <w:right w:val="single" w:color="DDDDDD" w:sz="1"/>
            </w:tcBorders>
            <w:shd w:fill="FFF8E7" w:val="clear"/>
            <w:tcMar>
              <w:top w:type="dxa" w:w="80"/>
              <w:left w:type="dxa" w:w="180"/>
              <w:bottom w:type="dxa" w:w="80"/>
              <w:right w:type="dxa" w:w="180"/>
            </w:tcMar>
          </w:tcPr>
          <w:p>
            <w:r>
              <w:rPr>
                <w:rFonts w:ascii="Arial" w:cs="Arial" w:eastAsia="Arial" w:hAnsi="Arial"/>
                <w:b/>
                <w:bCs/>
                <w:color w:val="8B6914"/>
                <w:sz w:val="20"/>
                <w:szCs w:val="20"/>
              </w:rPr>
              <w:t xml:space="preserve">Why two reports?</w:t>
            </w:r>
          </w:p>
          <w:p>
            <w:pPr>
              <w:spacing w:before="40"/>
            </w:pPr>
            <w:r>
              <w:rPr>
                <w:rFonts w:ascii="Arial" w:cs="Arial" w:eastAsia="Arial" w:hAnsi="Arial"/>
                <w:color w:val="1A1A1A"/>
                <w:sz w:val="20"/>
                <w:szCs w:val="20"/>
              </w:rPr>
              <w:t xml:space="preserve">The standard Net Worth report reads account register totals — accurate for cash and loans, but investment accounts show purchase-cost totals, not market value. The Investment Performance report gives you true ending market value per account. Forge merges both into one clean balance sheet.</w:t>
            </w:r>
          </w:p>
        </w:tc>
      </w:tr>
    </w:tbl>
    <w:p>
      <w:pPr>
        <w:spacing w:after="80" w:before="60"/>
        <w:jc w:val="left"/>
      </w:pPr>
      <w:r>
        <w:rPr>
          <w:rFonts w:ascii="Arial" w:cs="Arial" w:eastAsia="Arial" w:hAnsi="Arial"/>
          <w:color w:val="1A1A1A"/>
          <w:sz w:val="20"/>
          <w:szCs w:val="20"/>
        </w:rPr>
        <w:t xml:space="preserve"/>
      </w:r>
    </w:p>
    <w:p>
      <w:pPr>
        <w:pStyle w:val="Heading2"/>
        <w:pBdr>
          <w:bottom w:val="single" w:color="F5A800" w:sz="4" w:space="4"/>
        </w:pBdr>
        <w:spacing w:after="80" w:before="240"/>
      </w:pPr>
      <w:r>
        <w:rPr>
          <w:rFonts w:ascii="Arial" w:cs="Arial" w:eastAsia="Arial" w:hAnsi="Arial"/>
          <w:b/>
          <w:bCs/>
          <w:color w:val="1A1A1A"/>
          <w:sz w:val="24"/>
          <w:szCs w:val="24"/>
        </w:rPr>
        <w:t xml:space="preserve">Merchant Detail Files</w:t>
      </w:r>
    </w:p>
    <w:p>
      <w:pPr>
        <w:spacing w:after="80" w:before="60"/>
        <w:jc w:val="left"/>
      </w:pPr>
      <w:r>
        <w:rPr>
          <w:rFonts w:ascii="Arial" w:cs="Arial" w:eastAsia="Arial" w:hAnsi="Arial"/>
          <w:color w:val="1A1A1A"/>
          <w:sz w:val="20"/>
          <w:szCs w:val="20"/>
        </w:rPr>
        <w:t xml:space="preserve">Drop any of these alongside your Quicken export to see item-level detail behind lump-sum charges: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Amazon</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Download from amazon.com → Account → Order History → Request Report. Filename: amazon_chris.csv assigns all items to Chris.</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Apple Card</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Download from Wallet app → Apple Card → Statements → Export Transactions</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Home Depot</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Download order CSV from homedepot.com order history</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Venmo</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Download from venmo.com → Settings → Payment History → Download CSV</w:t>
            </w:r>
          </w:p>
        </w:tc>
      </w:tr>
    </w:tbl>
    <w:p>
      <w:pPr>
        <w:spacing w:after="80" w:before="60"/>
        <w:jc w:val="left"/>
      </w:pPr>
      <w:r>
        <w:rPr>
          <w:rFonts w:ascii="Arial" w:cs="Arial" w:eastAsia="Arial" w:hAnsi="Arial"/>
          <w:color w:val="1A1A1A"/>
          <w:sz w:val="20"/>
          <w:szCs w:val="20"/>
        </w:rPr>
        <w:t xml:space="preserve"/>
      </w:r>
    </w:p>
    <w:p>
      <w:pPr>
        <w:spacing w:after="80" w:before="60"/>
        <w:jc w:val="left"/>
      </w:pPr>
      <w:r>
        <w:rPr>
          <w:rFonts w:ascii="Arial" w:cs="Arial" w:eastAsia="Arial" w:hAnsi="Arial"/>
          <w:i/>
          <w:iCs/>
          <w:color w:val="666666"/>
          <w:sz w:val="20"/>
          <w:szCs w:val="20"/>
        </w:rPr>
        <w:t xml:space="preserve">Item detail (the actual product title, Venmo note, or Home Depot item description) shows in river-blue italic throughout the app wherever that transaction appears.</w:t>
      </w:r>
    </w:p>
    <w:p>
      <w:r>
        <w:br w:type="page"/>
      </w:r>
    </w:p>
    <w:p>
      <w:pPr>
        <w:pStyle w:val="Heading1"/>
        <w:spacing w:after="120" w:before="360"/>
      </w:pPr>
      <w:r>
        <w:rPr>
          <w:rFonts w:ascii="Arial" w:cs="Arial" w:eastAsia="Arial" w:hAnsi="Arial"/>
          <w:b/>
          <w:bCs/>
          <w:color w:val="1A1A1A"/>
          <w:sz w:val="32"/>
          <w:szCs w:val="32"/>
        </w:rPr>
        <w:t xml:space="preserve">Desktop App Pages</w:t>
      </w:r>
    </w:p>
    <w:p>
      <w:pPr>
        <w:pStyle w:val="Heading2"/>
        <w:pBdr>
          <w:bottom w:val="single" w:color="F5A800" w:sz="4" w:space="4"/>
        </w:pBdr>
        <w:spacing w:after="80" w:before="240"/>
      </w:pPr>
      <w:r>
        <w:rPr>
          <w:rFonts w:ascii="Arial" w:cs="Arial" w:eastAsia="Arial" w:hAnsi="Arial"/>
          <w:b/>
          <w:bCs/>
          <w:color w:val="1A1A1A"/>
          <w:sz w:val="24"/>
          <w:szCs w:val="24"/>
        </w:rPr>
        <w:t xml:space="preserve">The Pour — Import</w:t>
      </w:r>
    </w:p>
    <w:p>
      <w:pPr>
        <w:spacing w:after="80" w:before="60"/>
        <w:jc w:val="left"/>
      </w:pPr>
      <w:r>
        <w:rPr>
          <w:rFonts w:ascii="Arial" w:cs="Arial" w:eastAsia="Arial" w:hAnsi="Arial"/>
          <w:color w:val="1A1A1A"/>
          <w:sz w:val="20"/>
          <w:szCs w:val="20"/>
        </w:rPr>
        <w:t xml:space="preserve">Drop zone for all file types. Forge uses sniffFile() to auto-detect format from column headers. Status strip shows whether real data, demo data, or no data is loaded. Smart Scan (AI) activates as a fallback for photos, PDFs, and unknown formats.</w:t>
      </w:r>
    </w:p>
    <w:p>
      <w:pPr>
        <w:pStyle w:val="Heading2"/>
        <w:pBdr>
          <w:bottom w:val="single" w:color="F5A800" w:sz="4" w:space="4"/>
        </w:pBdr>
        <w:spacing w:after="80" w:before="240"/>
      </w:pPr>
      <w:r>
        <w:rPr>
          <w:rFonts w:ascii="Arial" w:cs="Arial" w:eastAsia="Arial" w:hAnsi="Arial"/>
          <w:b/>
          <w:bCs/>
          <w:color w:val="1A1A1A"/>
          <w:sz w:val="24"/>
          <w:szCs w:val="24"/>
        </w:rPr>
        <w:t xml:space="preserve">The Gauge — Dashboard</w:t>
      </w:r>
    </w:p>
    <w:p>
      <w:pPr>
        <w:spacing w:after="80" w:before="60"/>
        <w:jc w:val="left"/>
      </w:pPr>
      <w:r>
        <w:rPr>
          <w:rFonts w:ascii="Arial" w:cs="Arial" w:eastAsia="Arial" w:hAnsi="Arial"/>
          <w:color w:val="1A1A1A"/>
          <w:sz w:val="20"/>
          <w:szCs w:val="20"/>
        </w:rPr>
        <w:t xml:space="preserve">Four KPI tiles at top: Total Expenses, Total Income, Net Savings, and Savings Rate for the selected date range. Below: monthly Cash Flow bar chart (Income vs Expenses), Net line chart, a cash flow waterfall showing the cumulative flow from income through each spending category, and top merchant ranking.</w:t>
      </w:r>
    </w:p>
    <w:p>
      <w:pPr>
        <w:spacing w:after="80" w:before="60"/>
        <w:jc w:val="left"/>
      </w:pPr>
      <w:r>
        <w:rPr>
          <w:rFonts w:ascii="Arial" w:cs="Arial" w:eastAsia="Arial" w:hAnsi="Arial"/>
          <w:color w:val="1A1A1A"/>
          <w:sz w:val="20"/>
          <w:szCs w:val="20"/>
        </w:rPr>
        <w:t xml:space="preserve">Date range controls: 3M, 6M, 1Y, All. Account and year filters narrow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5A800" w:sz="12"/>
              <w:bottom w:val="single" w:color="DDDDDD" w:sz="1"/>
              <w:right w:val="single" w:color="DDDDDD" w:sz="1"/>
            </w:tcBorders>
            <w:shd w:fill="FFF8E7" w:val="clear"/>
            <w:tcMar>
              <w:top w:type="dxa" w:w="80"/>
              <w:left w:type="dxa" w:w="180"/>
              <w:bottom w:type="dxa" w:w="80"/>
              <w:right w:type="dxa" w:w="180"/>
            </w:tcMar>
          </w:tcPr>
          <w:p>
            <w:r>
              <w:rPr>
                <w:rFonts w:ascii="Arial" w:cs="Arial" w:eastAsia="Arial" w:hAnsi="Arial"/>
                <w:b/>
                <w:bCs/>
                <w:color w:val="8B6914"/>
                <w:sz w:val="20"/>
                <w:szCs w:val="20"/>
              </w:rPr>
              <w:t xml:space="preserve">Waterfall Chart</w:t>
            </w:r>
          </w:p>
          <w:p>
            <w:pPr>
              <w:spacing w:before="40"/>
            </w:pPr>
            <w:r>
              <w:rPr>
                <w:rFonts w:ascii="Arial" w:cs="Arial" w:eastAsia="Arial" w:hAnsi="Arial"/>
                <w:color w:val="1A1A1A"/>
                <w:sz w:val="20"/>
                <w:szCs w:val="20"/>
              </w:rPr>
              <w:t xml:space="preserve">The waterfall chart under Cash Flow shows how income flows through Savings, Fixed costs, Utilities, Necessities, Discretionary spending, to Net. Hover any bar to see the category total and running balance. Gold dots mark the running total at each step.</w:t>
            </w:r>
          </w:p>
        </w:tc>
      </w:tr>
    </w:tbl>
    <w:p>
      <w:pPr>
        <w:spacing w:after="80" w:before="60"/>
        <w:jc w:val="left"/>
      </w:pPr>
      <w:r>
        <w:rPr>
          <w:rFonts w:ascii="Arial" w:cs="Arial" w:eastAsia="Arial" w:hAnsi="Arial"/>
          <w:color w:val="1A1A1A"/>
          <w:sz w:val="20"/>
          <w:szCs w:val="20"/>
        </w:rPr>
        <w:t xml:space="preserve"/>
      </w:r>
    </w:p>
    <w:p>
      <w:pPr>
        <w:pStyle w:val="Heading2"/>
        <w:pBdr>
          <w:bottom w:val="single" w:color="F5A800" w:sz="4" w:space="4"/>
        </w:pBdr>
        <w:spacing w:after="80" w:before="240"/>
      </w:pPr>
      <w:r>
        <w:rPr>
          <w:rFonts w:ascii="Arial" w:cs="Arial" w:eastAsia="Arial" w:hAnsi="Arial"/>
          <w:b/>
          <w:bCs/>
          <w:color w:val="1A1A1A"/>
          <w:sz w:val="24"/>
          <w:szCs w:val="24"/>
        </w:rPr>
        <w:t xml:space="preserve">Income Statement</w:t>
      </w:r>
    </w:p>
    <w:p>
      <w:pPr>
        <w:spacing w:after="80" w:before="60"/>
        <w:jc w:val="left"/>
      </w:pPr>
      <w:r>
        <w:rPr>
          <w:rFonts w:ascii="Arial" w:cs="Arial" w:eastAsia="Arial" w:hAnsi="Arial"/>
          <w:color w:val="1A1A1A"/>
          <w:sz w:val="20"/>
          <w:szCs w:val="20"/>
        </w:rPr>
        <w:t xml:space="preserve">Full waterfall P&amp;L for the selected period. Sections collapse and expand. Click any section to see the buckets within it; click a bucket to see individual transactions with date, payee, item detail, and amount.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Sections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Household Income, Auto-Save, Fixed, Utilities, Necessities, Discretionary, Other</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Buckets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35+ specific categories within each section (e.g., Groceries, Restaurants, Streaming, Fuel)</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Item detail</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Amazon product names, Apple Card descriptions, Venmo notes — all shown in river blue</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Transfers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Internal transfers and credit card payments are excluded from all totals</w:t>
            </w:r>
          </w:p>
        </w:tc>
      </w:tr>
    </w:tbl>
    <w:p>
      <w:pPr>
        <w:spacing w:after="80" w:before="60"/>
        <w:jc w:val="left"/>
      </w:pPr>
      <w:r>
        <w:rPr>
          <w:rFonts w:ascii="Arial" w:cs="Arial" w:eastAsia="Arial" w:hAnsi="Arial"/>
          <w:color w:val="1A1A1A"/>
          <w:sz w:val="20"/>
          <w:szCs w:val="20"/>
        </w:rPr>
        <w:t xml:space="preserve"/>
      </w:r>
    </w:p>
    <w:p>
      <w:pPr>
        <w:pStyle w:val="Heading2"/>
        <w:pBdr>
          <w:bottom w:val="single" w:color="F5A800" w:sz="4" w:space="4"/>
        </w:pBdr>
        <w:spacing w:after="80" w:before="240"/>
      </w:pPr>
      <w:r>
        <w:rPr>
          <w:rFonts w:ascii="Arial" w:cs="Arial" w:eastAsia="Arial" w:hAnsi="Arial"/>
          <w:b/>
          <w:bCs/>
          <w:color w:val="1A1A1A"/>
          <w:sz w:val="24"/>
          <w:szCs w:val="24"/>
        </w:rPr>
        <w:t xml:space="preserve">Balance Sheet</w:t>
      </w:r>
    </w:p>
    <w:p>
      <w:pPr>
        <w:spacing w:after="80" w:before="60"/>
        <w:jc w:val="left"/>
      </w:pPr>
      <w:r>
        <w:rPr>
          <w:rFonts w:ascii="Arial" w:cs="Arial" w:eastAsia="Arial" w:hAnsi="Arial"/>
          <w:color w:val="1A1A1A"/>
          <w:sz w:val="20"/>
          <w:szCs w:val="20"/>
        </w:rPr>
        <w:t xml:space="preserve">Snapshot-based net worth view. Current values come from the most recently uploaded Net Worth and Investment Performance reports. Compare to any prior snapshot using the dropdown — this is built dynamically from every snapshot you’ve ever uploaded.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KPI Tiles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Net Worth (with YoY delta), Total Assets, Total Liabilities, Home Equity</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Liquidity Row</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Current Assets, Current Liabilities, Current Ratio (target ≥2×)</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Leverage Row</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Debt-to-Asset %, Debt-to-Income %, Liquid Coverage in months</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Compare Dropdown</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YE 2024, YE 2025, Q1–Q3 of each year, plus every uploaded snapshot date</w:t>
            </w:r>
          </w:p>
        </w:tc>
      </w:tr>
    </w:tbl>
    <w:p>
      <w:pPr>
        <w:spacing w:after="80" w:before="60"/>
        <w:jc w:val="left"/>
      </w:pPr>
      <w:r>
        <w:rPr>
          <w:rFonts w:ascii="Arial" w:cs="Arial" w:eastAsia="Arial" w:hAnsi="Arial"/>
          <w:color w:val="1A1A1A"/>
          <w:sz w:val="20"/>
          <w:szCs w:val="20"/>
        </w:rPr>
        <w:t xml:space="preserve"/>
      </w:r>
    </w:p>
    <w:p>
      <w:pPr>
        <w:pStyle w:val="Heading2"/>
        <w:pBdr>
          <w:bottom w:val="single" w:color="F5A800" w:sz="4" w:space="4"/>
        </w:pBdr>
        <w:spacing w:after="80" w:before="240"/>
      </w:pPr>
      <w:r>
        <w:rPr>
          <w:rFonts w:ascii="Arial" w:cs="Arial" w:eastAsia="Arial" w:hAnsi="Arial"/>
          <w:b/>
          <w:bCs/>
          <w:color w:val="1A1A1A"/>
          <w:sz w:val="24"/>
          <w:szCs w:val="24"/>
        </w:rPr>
        <w:t xml:space="preserve">The Bullpen — Intelligence</w:t>
      </w:r>
    </w:p>
    <w:p>
      <w:pPr>
        <w:spacing w:after="80" w:before="60"/>
        <w:jc w:val="left"/>
      </w:pPr>
      <w:r>
        <w:rPr>
          <w:rFonts w:ascii="Arial" w:cs="Arial" w:eastAsia="Arial" w:hAnsi="Arial"/>
          <w:color w:val="1A1A1A"/>
          <w:sz w:val="20"/>
          <w:szCs w:val="20"/>
        </w:rPr>
        <w:t xml:space="preserve">AI-generated alerts and pattern detection across five engines:</w:t>
      </w:r>
    </w:p>
    <w:p>
      <w:pPr>
        <w:pStyle w:val="ListParagraph"/>
        <w:numPr>
          <w:ilvl w:val="0"/>
          <w:numId w:val="2"/>
        </w:numPr>
        <w:spacing w:after="40" w:before="40"/>
      </w:pPr>
      <w:r>
        <w:rPr>
          <w:rFonts w:ascii="Arial" w:cs="Arial" w:eastAsia="Arial" w:hAnsi="Arial"/>
          <w:color w:val="1A1A1A"/>
          <w:sz w:val="20"/>
          <w:szCs w:val="20"/>
        </w:rPr>
        <w:t xml:space="preserve">Trend Alerts: 3-month vs prior 3-month, per person</w:t>
      </w:r>
    </w:p>
    <w:p>
      <w:pPr>
        <w:pStyle w:val="ListParagraph"/>
        <w:numPr>
          <w:ilvl w:val="0"/>
          <w:numId w:val="2"/>
        </w:numPr>
        <w:spacing w:after="40" w:before="40"/>
      </w:pPr>
      <w:r>
        <w:rPr>
          <w:rFonts w:ascii="Arial" w:cs="Arial" w:eastAsia="Arial" w:hAnsi="Arial"/>
          <w:color w:val="1A1A1A"/>
          <w:sz w:val="20"/>
          <w:szCs w:val="20"/>
        </w:rPr>
        <w:t xml:space="preserve">Budget Drift: projected month-end vs 12-month average</w:t>
      </w:r>
    </w:p>
    <w:p>
      <w:pPr>
        <w:pStyle w:val="ListParagraph"/>
        <w:numPr>
          <w:ilvl w:val="0"/>
          <w:numId w:val="2"/>
        </w:numPr>
        <w:spacing w:after="40" w:before="40"/>
      </w:pPr>
      <w:r>
        <w:rPr>
          <w:rFonts w:ascii="Arial" w:cs="Arial" w:eastAsia="Arial" w:hAnsi="Arial"/>
          <w:color w:val="1A1A1A"/>
          <w:sz w:val="20"/>
          <w:szCs w:val="20"/>
        </w:rPr>
        <w:t xml:space="preserve">Anomaly Detection: transactions more than 2σ above your category baseline</w:t>
      </w:r>
    </w:p>
    <w:p>
      <w:pPr>
        <w:pStyle w:val="ListParagraph"/>
        <w:numPr>
          <w:ilvl w:val="0"/>
          <w:numId w:val="2"/>
        </w:numPr>
        <w:spacing w:after="40" w:before="40"/>
      </w:pPr>
      <w:r>
        <w:rPr>
          <w:rFonts w:ascii="Arial" w:cs="Arial" w:eastAsia="Arial" w:hAnsi="Arial"/>
          <w:color w:val="1A1A1A"/>
          <w:sz w:val="20"/>
          <w:szCs w:val="20"/>
        </w:rPr>
        <w:t xml:space="preserve">Seasonal Patterns: flags expected seasonal spikes before they hit</w:t>
      </w:r>
    </w:p>
    <w:p>
      <w:pPr>
        <w:pStyle w:val="ListParagraph"/>
        <w:numPr>
          <w:ilvl w:val="0"/>
          <w:numId w:val="2"/>
        </w:numPr>
        <w:spacing w:after="40" w:before="40"/>
      </w:pPr>
      <w:r>
        <w:rPr>
          <w:rFonts w:ascii="Arial" w:cs="Arial" w:eastAsia="Arial" w:hAnsi="Arial"/>
          <w:color w:val="1A1A1A"/>
          <w:sz w:val="20"/>
          <w:szCs w:val="20"/>
        </w:rPr>
        <w:t xml:space="preserve">Recommended Actions: predictive per-person suggestions</w:t>
      </w:r>
    </w:p>
    <w:p>
      <w:pPr>
        <w:pStyle w:val="Heading2"/>
        <w:pBdr>
          <w:bottom w:val="single" w:color="F5A800" w:sz="4" w:space="4"/>
        </w:pBdr>
        <w:spacing w:after="80" w:before="240"/>
      </w:pPr>
      <w:r>
        <w:rPr>
          <w:rFonts w:ascii="Arial" w:cs="Arial" w:eastAsia="Arial" w:hAnsi="Arial"/>
          <w:b/>
          <w:bCs/>
          <w:color w:val="1A1A1A"/>
          <w:sz w:val="24"/>
          <w:szCs w:val="24"/>
        </w:rPr>
        <w:t xml:space="preserve">Detail Lens</w:t>
      </w:r>
    </w:p>
    <w:p>
      <w:pPr>
        <w:spacing w:after="80" w:before="60"/>
        <w:jc w:val="left"/>
      </w:pPr>
      <w:r>
        <w:rPr>
          <w:rFonts w:ascii="Arial" w:cs="Arial" w:eastAsia="Arial" w:hAnsi="Arial"/>
          <w:color w:val="1A1A1A"/>
          <w:sz w:val="20"/>
          <w:szCs w:val="20"/>
        </w:rPr>
        <w:t xml:space="preserve">Five tabs: Overview, By Category, All Items (filterable with purchaser and source badges), By Purchaser (individual spending cards, impulse rate, projected spend), vs. Total Spend.</w:t>
      </w:r>
    </w:p>
    <w:p>
      <w:pPr>
        <w:pStyle w:val="Heading2"/>
        <w:pBdr>
          <w:bottom w:val="single" w:color="F5A800" w:sz="4" w:space="4"/>
        </w:pBdr>
        <w:spacing w:after="80" w:before="240"/>
      </w:pPr>
      <w:r>
        <w:rPr>
          <w:rFonts w:ascii="Arial" w:cs="Arial" w:eastAsia="Arial" w:hAnsi="Arial"/>
          <w:b/>
          <w:bCs/>
          <w:color w:val="1A1A1A"/>
          <w:sz w:val="24"/>
          <w:szCs w:val="24"/>
        </w:rPr>
        <w:t xml:space="preserve">Analytics Studio</w:t>
      </w:r>
    </w:p>
    <w:p>
      <w:pPr>
        <w:spacing w:after="80" w:before="60"/>
        <w:jc w:val="left"/>
      </w:pPr>
      <w:r>
        <w:rPr>
          <w:rFonts w:ascii="Arial" w:cs="Arial" w:eastAsia="Arial" w:hAnsi="Arial"/>
          <w:color w:val="1A1A1A"/>
          <w:sz w:val="20"/>
          <w:szCs w:val="20"/>
        </w:rPr>
        <w:t xml:space="preserve">8 chart types × 8 dimensions × 6 metrics. Four always-on mini charts. Collapsible data table. PNG export. Chart types: Bar, Horizontal Bar, Line, Area, Donut, Scatter, Waterfall, Heatmap.</w:t>
      </w:r>
    </w:p>
    <w:p>
      <w:pPr>
        <w:spacing w:after="80" w:before="60"/>
        <w:jc w:val="left"/>
      </w:pPr>
      <w:r>
        <w:rPr>
          <w:rFonts w:ascii="Arial" w:cs="Arial" w:eastAsia="Arial" w:hAnsi="Arial"/>
          <w:color w:val="1A1A1A"/>
          <w:sz w:val="20"/>
          <w:szCs w:val="20"/>
        </w:rPr>
        <w:t xml:space="preserve">All chart tooltips show the full data for the hovered column or point — including income, expenses, and computed net in a single popup.</w:t>
      </w:r>
    </w:p>
    <w:p>
      <w:pPr>
        <w:pStyle w:val="Heading2"/>
        <w:pBdr>
          <w:bottom w:val="single" w:color="F5A800" w:sz="4" w:space="4"/>
        </w:pBdr>
        <w:spacing w:after="80" w:before="240"/>
      </w:pPr>
      <w:r>
        <w:rPr>
          <w:rFonts w:ascii="Arial" w:cs="Arial" w:eastAsia="Arial" w:hAnsi="Arial"/>
          <w:b/>
          <w:bCs/>
          <w:color w:val="1A1A1A"/>
          <w:sz w:val="24"/>
          <w:szCs w:val="24"/>
        </w:rPr>
        <w:t xml:space="preserve">The Confluence</w:t>
      </w:r>
    </w:p>
    <w:p>
      <w:pPr>
        <w:spacing w:after="80" w:before="60"/>
        <w:jc w:val="left"/>
      </w:pPr>
      <w:r>
        <w:rPr>
          <w:rFonts w:ascii="Arial" w:cs="Arial" w:eastAsia="Arial" w:hAnsi="Arial"/>
          <w:color w:val="1A1A1A"/>
          <w:sz w:val="20"/>
          <w:szCs w:val="20"/>
        </w:rPr>
        <w:t xml:space="preserve">Six-step monthly family review agenda. Per-person insights. PDF Blueprint export for your meeting.</w:t>
      </w:r>
    </w:p>
    <w:p>
      <w:r>
        <w:br w:type="page"/>
      </w:r>
    </w:p>
    <w:p>
      <w:pPr>
        <w:pStyle w:val="Heading1"/>
        <w:spacing w:after="120" w:before="360"/>
      </w:pPr>
      <w:r>
        <w:rPr>
          <w:rFonts w:ascii="Arial" w:cs="Arial" w:eastAsia="Arial" w:hAnsi="Arial"/>
          <w:b/>
          <w:bCs/>
          <w:color w:val="1A1A1A"/>
          <w:sz w:val="32"/>
          <w:szCs w:val="32"/>
        </w:rPr>
        <w:t xml:space="preserve">Forge Pulse — Mobile App</w:t>
      </w:r>
    </w:p>
    <w:p>
      <w:pPr>
        <w:spacing w:after="80" w:before="60"/>
        <w:jc w:val="left"/>
      </w:pPr>
      <w:r>
        <w:rPr>
          <w:rFonts w:ascii="Arial" w:cs="Arial" w:eastAsia="Arial" w:hAnsi="Arial"/>
          <w:color w:val="1A1A1A"/>
          <w:sz w:val="20"/>
          <w:szCs w:val="20"/>
        </w:rPr>
        <w:t xml:space="preserve">Forge Pulse is a mobile PWA optimized for iPhone. Five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Gauge</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Monthly snapshot: net saved, income vs expenses, savings rate, life-stage banner, goal rings</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P&amp;L</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Full income statement waterfall with 3-level drilldown. Month selector. Savings rate indicator.</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Net Worth</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Compact balance sheet with dynamic comparison dropdown. Four KPI tiles. Account rows with change column.</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Analytics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Spending by Category, Monthly Cash Flow, By Purchaser, Day of Week heatmap, Savings Rate trend</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Ask $id</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AI chat with full per-person financial context. Three communication modes.</w:t>
            </w:r>
          </w:p>
        </w:tc>
      </w:tr>
    </w:tbl>
    <w:p>
      <w:pPr>
        <w:spacing w:after="80" w:before="60"/>
        <w:jc w:val="left"/>
      </w:pPr>
      <w:r>
        <w:rPr>
          <w:rFonts w:ascii="Arial" w:cs="Arial" w:eastAsia="Arial" w:hAnsi="Arial"/>
          <w:color w:val="1A1A1A"/>
          <w:sz w:val="20"/>
          <w:szCs w:val="20"/>
        </w:rPr>
        <w:t xml:space="preserve"/>
      </w:r>
    </w:p>
    <w:p>
      <w:pPr>
        <w:spacing w:after="60" w:before="160"/>
      </w:pPr>
      <w:r>
        <w:rPr>
          <w:rFonts w:ascii="Arial" w:cs="Arial" w:eastAsia="Arial" w:hAnsi="Arial"/>
          <w:b/>
          <w:bCs/>
          <w:color w:val="444444"/>
          <w:sz w:val="22"/>
          <w:szCs w:val="22"/>
        </w:rPr>
        <w:t xml:space="preserve">Installing Pulse on iPhone</w:t>
      </w:r>
    </w:p>
    <w:p>
      <w:pPr>
        <w:pStyle w:val="ListParagraph"/>
        <w:numPr>
          <w:ilvl w:val="0"/>
          <w:numId w:val="3"/>
        </w:numPr>
      </w:pPr>
      <w:r>
        <w:rPr>
          <w:rFonts w:ascii="Arial" w:cs="Arial" w:eastAsia="Arial" w:hAnsi="Arial"/>
          <w:sz w:val="20"/>
          <w:szCs w:val="20"/>
        </w:rPr>
        <w:t xml:space="preserve">Open forge-pulse.html in Safari</w:t>
      </w:r>
    </w:p>
    <w:p>
      <w:pPr>
        <w:pStyle w:val="ListParagraph"/>
        <w:numPr>
          <w:ilvl w:val="0"/>
          <w:numId w:val="3"/>
        </w:numPr>
      </w:pPr>
      <w:r>
        <w:rPr>
          <w:rFonts w:ascii="Arial" w:cs="Arial" w:eastAsia="Arial" w:hAnsi="Arial"/>
          <w:sz w:val="20"/>
          <w:szCs w:val="20"/>
        </w:rPr>
        <w:t xml:space="preserve">Tap the Share button (box with arrow)</w:t>
      </w:r>
    </w:p>
    <w:p>
      <w:pPr>
        <w:pStyle w:val="ListParagraph"/>
        <w:numPr>
          <w:ilvl w:val="0"/>
          <w:numId w:val="3"/>
        </w:numPr>
      </w:pPr>
      <w:r>
        <w:rPr>
          <w:rFonts w:ascii="Arial" w:cs="Arial" w:eastAsia="Arial" w:hAnsi="Arial"/>
          <w:sz w:val="20"/>
          <w:szCs w:val="20"/>
        </w:rPr>
        <w:t xml:space="preserve">Tap “Add to Home Screen”</w:t>
      </w:r>
    </w:p>
    <w:p>
      <w:pPr>
        <w:pStyle w:val="ListParagraph"/>
        <w:numPr>
          <w:ilvl w:val="0"/>
          <w:numId w:val="3"/>
        </w:numPr>
      </w:pPr>
      <w:r>
        <w:rPr>
          <w:rFonts w:ascii="Arial" w:cs="Arial" w:eastAsia="Arial" w:hAnsi="Arial"/>
          <w:sz w:val="20"/>
          <w:szCs w:val="20"/>
        </w:rPr>
        <w:t xml:space="preserve">Forge Pulse opens full-screen with no browser chrome</w:t>
      </w:r>
    </w:p>
    <w:p>
      <w:pPr>
        <w:spacing w:after="80" w:before="60"/>
        <w:jc w:val="left"/>
      </w:pPr>
      <w:r>
        <w:rPr>
          <w:rFonts w:ascii="Arial" w:cs="Arial" w:eastAsia="Arial" w:hAnsi="Arial"/>
          <w:color w:val="1A1A1A"/>
          <w:sz w:val="20"/>
          <w:szCs w:val="20"/>
        </w:rPr>
        <w:t xml:space="preserve">Pulse reads from the same browser storage as the desktop app when both are open in the same browser. On iPhone Safari, it maintains its own storage — import data via The Pour on desktop to populate it.</w:t>
      </w:r>
    </w:p>
    <w:p>
      <w:r>
        <w:br w:type="page"/>
      </w:r>
    </w:p>
    <w:p>
      <w:pPr>
        <w:pStyle w:val="Heading1"/>
        <w:spacing w:after="120" w:before="360"/>
      </w:pPr>
      <w:r>
        <w:rPr>
          <w:rFonts w:ascii="Arial" w:cs="Arial" w:eastAsia="Arial" w:hAnsi="Arial"/>
          <w:b/>
          <w:bCs/>
          <w:color w:val="1A1A1A"/>
          <w:sz w:val="32"/>
          <w:szCs w:val="32"/>
        </w:rPr>
        <w:t xml:space="preserve">Data &amp;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forge_prod_v1</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Real transaction ledger (txns, accounts, amzItems)</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forge_demo_v1</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Demo data — never mixes with real data</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forge_networth</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Current NW snapshot overrides (per-account values)</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forge_networth_hist</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All historical NW snapshots keyed by date — NEVER wiped by Clear Data</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forge_settings_v2</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CC closing dates, budgets, account owners, NR flags</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forge_build</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Build version stamp</w:t>
            </w:r>
          </w:p>
        </w:tc>
      </w:tr>
    </w:tbl>
    <w:p>
      <w:pPr>
        <w:spacing w:after="80" w:before="60"/>
        <w:jc w:val="left"/>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5A800" w:sz="12"/>
              <w:bottom w:val="single" w:color="DDDDDD" w:sz="1"/>
              <w:right w:val="single" w:color="DDDDDD" w:sz="1"/>
            </w:tcBorders>
            <w:shd w:fill="FFF8E7" w:val="clear"/>
            <w:tcMar>
              <w:top w:type="dxa" w:w="80"/>
              <w:left w:type="dxa" w:w="180"/>
              <w:bottom w:type="dxa" w:w="80"/>
              <w:right w:type="dxa" w:w="180"/>
            </w:tcMar>
          </w:tcPr>
          <w:p>
            <w:r>
              <w:rPr>
                <w:rFonts w:ascii="Arial" w:cs="Arial" w:eastAsia="Arial" w:hAnsi="Arial"/>
                <w:b/>
                <w:bCs/>
                <w:color w:val="8B6914"/>
                <w:sz w:val="20"/>
                <w:szCs w:val="20"/>
              </w:rPr>
              <w:t xml:space="preserve">Net Worth History is permanent</w:t>
            </w:r>
          </w:p>
          <w:p>
            <w:pPr>
              <w:spacing w:before="40"/>
            </w:pPr>
            <w:r>
              <w:rPr>
                <w:rFonts w:ascii="Arial" w:cs="Arial" w:eastAsia="Arial" w:hAnsi="Arial"/>
                <w:color w:val="1A1A1A"/>
                <w:sz w:val="20"/>
                <w:szCs w:val="20"/>
              </w:rPr>
              <w:t xml:space="preserve">The forge_networth_hist key survives Clear Data. Every Net Worth and Investment Performance report you upload is stored here permanently. Only the “× Clear NW History” button in Balance Sheet removes it.</w:t>
            </w:r>
          </w:p>
        </w:tc>
      </w:tr>
    </w:tbl>
    <w:p>
      <w:pPr>
        <w:spacing w:after="80" w:before="60"/>
        <w:jc w:val="left"/>
      </w:pPr>
      <w:r>
        <w:rPr>
          <w:rFonts w:ascii="Arial" w:cs="Arial" w:eastAsia="Arial" w:hAnsi="Arial"/>
          <w:color w:val="1A1A1A"/>
          <w:sz w:val="20"/>
          <w:szCs w:val="20"/>
        </w:rPr>
        <w:t xml:space="preserve"/>
      </w:r>
    </w:p>
    <w:p>
      <w:pPr>
        <w:pStyle w:val="Heading2"/>
        <w:pBdr>
          <w:bottom w:val="single" w:color="F5A800" w:sz="4" w:space="4"/>
        </w:pBdr>
        <w:spacing w:after="80" w:before="240"/>
      </w:pPr>
      <w:r>
        <w:rPr>
          <w:rFonts w:ascii="Arial" w:cs="Arial" w:eastAsia="Arial" w:hAnsi="Arial"/>
          <w:b/>
          <w:bCs/>
          <w:color w:val="1A1A1A"/>
          <w:sz w:val="24"/>
          <w:szCs w:val="24"/>
        </w:rPr>
        <w:t xml:space="preserve">Purchaser Attribution</w:t>
      </w:r>
    </w:p>
    <w:p>
      <w:pPr>
        <w:spacing w:after="80" w:before="60"/>
        <w:jc w:val="left"/>
      </w:pPr>
      <w:r>
        <w:rPr>
          <w:rFonts w:ascii="Arial" w:cs="Arial" w:eastAsia="Arial" w:hAnsi="Arial"/>
          <w:color w:val="1A1A1A"/>
          <w:sz w:val="20"/>
          <w:szCs w:val="20"/>
        </w:rPr>
        <w:t xml:space="preserve">Forge ties purchases to family members in two ways:</w:t>
      </w:r>
    </w:p>
    <w:p>
      <w:pPr>
        <w:pStyle w:val="ListParagraph"/>
        <w:numPr>
          <w:ilvl w:val="0"/>
          <w:numId w:val="2"/>
        </w:numPr>
        <w:spacing w:after="40" w:before="40"/>
      </w:pPr>
      <w:r>
        <w:rPr>
          <w:rFonts w:ascii="Arial" w:cs="Arial" w:eastAsia="Arial" w:hAnsi="Arial"/>
          <w:color w:val="1A1A1A"/>
          <w:sz w:val="20"/>
          <w:szCs w:val="20"/>
        </w:rPr>
        <w:t xml:space="preserve">Filename tagging: amazon_chris.csv attributes all items to Chris. amazon_kira.csv to Kira.</w:t>
      </w:r>
    </w:p>
    <w:p>
      <w:pPr>
        <w:pStyle w:val="ListParagraph"/>
        <w:numPr>
          <w:ilvl w:val="0"/>
          <w:numId w:val="2"/>
        </w:numPr>
        <w:spacing w:after="40" w:before="40"/>
      </w:pPr>
      <w:r>
        <w:rPr>
          <w:rFonts w:ascii="Arial" w:cs="Arial" w:eastAsia="Arial" w:hAnsi="Arial"/>
          <w:color w:val="1A1A1A"/>
          <w:sz w:val="20"/>
          <w:szCs w:val="20"/>
        </w:rPr>
        <w:t xml:space="preserve">Account ownership: Settings → Account Owners maps each Quicken account to a family member. This applies at render time and does not modify stored transactions.</w:t>
      </w:r>
    </w:p>
    <w:p>
      <w:r>
        <w:br w:type="page"/>
      </w:r>
    </w:p>
    <w:p>
      <w:pPr>
        <w:pStyle w:val="Heading1"/>
        <w:spacing w:after="120" w:before="360"/>
      </w:pPr>
      <w:r>
        <w:rPr>
          <w:rFonts w:ascii="Arial" w:cs="Arial" w:eastAsia="Arial" w:hAnsi="Arial"/>
          <w:b/>
          <w:bCs/>
          <w:color w:val="1A1A1A"/>
          <w:sz w:val="32"/>
          <w:szCs w:val="32"/>
        </w:rPr>
        <w:t xml:space="preserve">AI Features</w:t>
      </w:r>
    </w:p>
    <w:p>
      <w:pPr>
        <w:pStyle w:val="Heading2"/>
        <w:pBdr>
          <w:bottom w:val="single" w:color="F5A800" w:sz="4" w:space="4"/>
        </w:pBdr>
        <w:spacing w:after="80" w:before="240"/>
      </w:pPr>
      <w:r>
        <w:rPr>
          <w:rFonts w:ascii="Arial" w:cs="Arial" w:eastAsia="Arial" w:hAnsi="Arial"/>
          <w:b/>
          <w:bCs/>
          <w:color w:val="1A1A1A"/>
          <w:sz w:val="24"/>
          <w:szCs w:val="24"/>
        </w:rPr>
        <w:t xml:space="preserve">Smart Scan</w:t>
      </w:r>
    </w:p>
    <w:p>
      <w:pPr>
        <w:spacing w:after="80" w:before="60"/>
        <w:jc w:val="left"/>
      </w:pPr>
      <w:r>
        <w:rPr>
          <w:rFonts w:ascii="Arial" w:cs="Arial" w:eastAsia="Arial" w:hAnsi="Arial"/>
          <w:color w:val="1A1A1A"/>
          <w:sz w:val="20"/>
          <w:szCs w:val="20"/>
        </w:rPr>
        <w:t xml:space="preserve">Smart Scan reads photos, PDFs, W-2s, 1099s, and unknown CSVs via Claude AI. It activates automatically in The Pour when a file can’t be parsed by the local parsers. You can also use the dedicated Scan Zone for photos of receipts or paper statements.</w:t>
      </w:r>
    </w:p>
    <w:p>
      <w:pPr>
        <w:spacing w:after="80" w:before="60"/>
        <w:jc w:val="left"/>
      </w:pPr>
      <w:r>
        <w:rPr>
          <w:rFonts w:ascii="Arial" w:cs="Arial" w:eastAsia="Arial" w:hAnsi="Arial"/>
          <w:color w:val="1A1A1A"/>
          <w:sz w:val="20"/>
          <w:szCs w:val="20"/>
        </w:rPr>
        <w:t xml:space="preserve">Requires: WORKER_URL set in forge.html, and forge_worker_v2.js deployed to Cloudflare Workers. See SID-SETUP.md for deployment steps.</w:t>
      </w:r>
    </w:p>
    <w:p>
      <w:pPr>
        <w:pStyle w:val="Heading2"/>
        <w:pBdr>
          <w:bottom w:val="single" w:color="F5A800" w:sz="4" w:space="4"/>
        </w:pBdr>
        <w:spacing w:after="80" w:before="240"/>
      </w:pPr>
      <w:r>
        <w:rPr>
          <w:rFonts w:ascii="Arial" w:cs="Arial" w:eastAsia="Arial" w:hAnsi="Arial"/>
          <w:b/>
          <w:bCs/>
          <w:color w:val="1A1A1A"/>
          <w:sz w:val="24"/>
          <w:szCs w:val="24"/>
        </w:rPr>
        <w:t xml:space="preserve">Ask $id — AI Financial Chat</w:t>
      </w:r>
    </w:p>
    <w:p>
      <w:pPr>
        <w:spacing w:after="80" w:before="60"/>
        <w:jc w:val="left"/>
      </w:pPr>
      <w:r>
        <w:rPr>
          <w:rFonts w:ascii="Arial" w:cs="Arial" w:eastAsia="Arial" w:hAnsi="Arial"/>
          <w:color w:val="1A1A1A"/>
          <w:sz w:val="20"/>
          <w:szCs w:val="20"/>
        </w:rPr>
        <w:t xml:space="preserve">$id is Forge’s AI analyst, styled after Pittsburgh Penguins #87. Available in Forge Pulse under Ask $id. Receives full per-person financial context with every query including 12-month spending history, savings rate, goal progress, and anomalies.</w:t>
      </w:r>
    </w:p>
    <w:p>
      <w:pPr>
        <w:spacing w:after="80" w:before="60"/>
        <w:jc w:val="left"/>
      </w:pPr>
      <w:r>
        <w:rPr>
          <w:rFonts w:ascii="Arial" w:cs="Arial" w:eastAsia="Arial" w:hAnsi="Arial"/>
          <w:color w:val="1A1A1A"/>
          <w:sz w:val="20"/>
          <w:szCs w:val="20"/>
        </w:rPr>
        <w:t xml:space="preserve">Three communication modes: data-first, story-first, and Confluence (meeting-agenda style).</w:t>
      </w:r>
    </w:p>
    <w:p>
      <w:pPr>
        <w:spacing w:after="80" w:before="60"/>
        <w:jc w:val="left"/>
      </w:pPr>
      <w:r>
        <w:rPr>
          <w:rFonts w:ascii="Arial" w:cs="Arial" w:eastAsia="Arial" w:hAnsi="Arial"/>
          <w:color w:val="1A1A1A"/>
          <w:sz w:val="20"/>
          <w:szCs w:val="20"/>
        </w:rPr>
        <w:t xml:space="preserve">Requires: SID_PROXY_URL set in forge-pulse.html, and a Cloudflare Worker deployed. See SID-SETUP.md.</w:t>
      </w:r>
    </w:p>
    <w:p>
      <w:r>
        <w:br w:type="page"/>
      </w:r>
    </w:p>
    <w:p>
      <w:pPr>
        <w:pStyle w:val="Heading1"/>
        <w:spacing w:after="120" w:before="360"/>
      </w:pPr>
      <w:r>
        <w:rPr>
          <w:rFonts w:ascii="Arial" w:cs="Arial" w:eastAsia="Arial" w:hAnsi="Arial"/>
          <w:b/>
          <w:bCs/>
          <w:color w:val="1A1A1A"/>
          <w:sz w:val="32"/>
          <w:szCs w:val="32"/>
        </w:rPr>
        <w:t xml:space="preserve">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Family Profile</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Names, dates of birth, savings target %, large purchase threshold</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Account Owners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Map each Quicken account to a family member for purchaser attribution</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Category Budgets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Set monthly targets per spending bucket</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AI Preferences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$id communication mode, sensitivity settings</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Credit Card Dates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Statement closing dates per card (used for Confluence monthly review)</w:t>
            </w:r>
          </w:p>
        </w:tc>
      </w:tr>
    </w:tbl>
    <w:p>
      <w:pPr>
        <w:spacing w:after="80" w:before="60"/>
        <w:jc w:val="left"/>
      </w:pPr>
      <w:r>
        <w:rPr>
          <w:rFonts w:ascii="Arial" w:cs="Arial" w:eastAsia="Arial" w:hAnsi="Arial"/>
          <w:color w:val="1A1A1A"/>
          <w:sz w:val="20"/>
          <w:szCs w:val="20"/>
        </w:rPr>
        <w:t xml:space="preserve"/>
      </w:r>
    </w:p>
    <w:p>
      <w:pPr>
        <w:pStyle w:val="Heading2"/>
        <w:pBdr>
          <w:bottom w:val="single" w:color="F5A800" w:sz="4" w:space="4"/>
        </w:pBdr>
        <w:spacing w:after="80" w:before="240"/>
      </w:pPr>
      <w:r>
        <w:rPr>
          <w:rFonts w:ascii="Arial" w:cs="Arial" w:eastAsia="Arial" w:hAnsi="Arial"/>
          <w:b/>
          <w:bCs/>
          <w:color w:val="1A1A1A"/>
          <w:sz w:val="24"/>
          <w:szCs w:val="24"/>
        </w:rPr>
        <w:t xml:space="preserve">Demo Mode</w:t>
      </w:r>
    </w:p>
    <w:p>
      <w:pPr>
        <w:spacing w:after="80" w:before="60"/>
        <w:jc w:val="left"/>
      </w:pPr>
      <w:r>
        <w:rPr>
          <w:rFonts w:ascii="Arial" w:cs="Arial" w:eastAsia="Arial" w:hAnsi="Arial"/>
          <w:color w:val="1A1A1A"/>
          <w:sz w:val="20"/>
          <w:szCs w:val="20"/>
        </w:rPr>
        <w:t xml:space="preserve">Click Load Demo in Settings to populate 4 years of synthetic Pittsburgh family data across 13 accounts. Demo data never mixes with real data — importing real data while demo is active replaces it entirely.</w:t>
      </w:r>
    </w:p>
    <w:p>
      <w:r>
        <w:br w:type="page"/>
      </w:r>
    </w:p>
    <w:p>
      <w:pPr>
        <w:pStyle w:val="Heading1"/>
        <w:spacing w:after="120" w:before="360"/>
      </w:pPr>
      <w:r>
        <w:rPr>
          <w:rFonts w:ascii="Arial" w:cs="Arial" w:eastAsia="Arial" w:hAnsi="Arial"/>
          <w:b/>
          <w:bCs/>
          <w:color w:val="1A1A1A"/>
          <w:sz w:val="32"/>
          <w:szCs w:val="32"/>
        </w:rPr>
        <w:t xml:space="preserve">Monthly Workflow</w:t>
      </w:r>
    </w:p>
    <w:p>
      <w:pPr>
        <w:pStyle w:val="ListParagraph"/>
        <w:numPr>
          <w:ilvl w:val="0"/>
          <w:numId w:val="3"/>
        </w:numPr>
        <w:spacing w:after="60" w:before="60"/>
      </w:pPr>
      <w:r>
        <w:rPr>
          <w:rFonts w:ascii="Arial" w:cs="Arial" w:eastAsia="Arial" w:hAnsi="Arial"/>
          <w:sz w:val="20"/>
          <w:szCs w:val="20"/>
        </w:rPr>
        <w:t xml:space="preserve">Export transactions from Quicken (QIF or CSV) covering the current month</w:t>
      </w:r>
    </w:p>
    <w:p>
      <w:pPr>
        <w:pStyle w:val="ListParagraph"/>
        <w:numPr>
          <w:ilvl w:val="0"/>
          <w:numId w:val="3"/>
        </w:numPr>
        <w:spacing w:after="60" w:before="60"/>
      </w:pPr>
      <w:r>
        <w:rPr>
          <w:rFonts w:ascii="Arial" w:cs="Arial" w:eastAsia="Arial" w:hAnsi="Arial"/>
          <w:sz w:val="20"/>
          <w:szCs w:val="20"/>
        </w:rPr>
        <w:t xml:space="preserve">Download detail files: Amazon order history, Apple Card CSV, Venmo CSV</w:t>
      </w:r>
    </w:p>
    <w:p>
      <w:pPr>
        <w:pStyle w:val="ListParagraph"/>
        <w:numPr>
          <w:ilvl w:val="0"/>
          <w:numId w:val="3"/>
        </w:numPr>
        <w:spacing w:after="60" w:before="60"/>
      </w:pPr>
      <w:r>
        <w:rPr>
          <w:rFonts w:ascii="Arial" w:cs="Arial" w:eastAsia="Arial" w:hAnsi="Arial"/>
          <w:sz w:val="20"/>
          <w:szCs w:val="20"/>
        </w:rPr>
        <w:t xml:space="preserve">Drop all files on The Pour in Forge. Import is hard-replace — previous data is wiped</w:t>
      </w:r>
    </w:p>
    <w:p>
      <w:pPr>
        <w:pStyle w:val="ListParagraph"/>
        <w:numPr>
          <w:ilvl w:val="0"/>
          <w:numId w:val="3"/>
        </w:numPr>
        <w:spacing w:after="60" w:before="60"/>
      </w:pPr>
      <w:r>
        <w:rPr>
          <w:rFonts w:ascii="Arial" w:cs="Arial" w:eastAsia="Arial" w:hAnsi="Arial"/>
          <w:sz w:val="20"/>
          <w:szCs w:val="20"/>
        </w:rPr>
        <w:t xml:space="preserve">Review The Gauge for monthly KPIs and the cash flow waterfall</w:t>
      </w:r>
    </w:p>
    <w:p>
      <w:pPr>
        <w:pStyle w:val="ListParagraph"/>
        <w:numPr>
          <w:ilvl w:val="0"/>
          <w:numId w:val="3"/>
        </w:numPr>
        <w:spacing w:after="60" w:before="60"/>
      </w:pPr>
      <w:r>
        <w:rPr>
          <w:rFonts w:ascii="Arial" w:cs="Arial" w:eastAsia="Arial" w:hAnsi="Arial"/>
          <w:sz w:val="20"/>
          <w:szCs w:val="20"/>
        </w:rPr>
        <w:t xml:space="preserve">Check The Bullpen for alerts and anomalies</w:t>
      </w:r>
    </w:p>
    <w:p>
      <w:pPr>
        <w:pStyle w:val="ListParagraph"/>
        <w:numPr>
          <w:ilvl w:val="0"/>
          <w:numId w:val="3"/>
        </w:numPr>
        <w:spacing w:after="60" w:before="60"/>
      </w:pPr>
      <w:r>
        <w:rPr>
          <w:rFonts w:ascii="Arial" w:cs="Arial" w:eastAsia="Arial" w:hAnsi="Arial"/>
          <w:sz w:val="20"/>
          <w:szCs w:val="20"/>
        </w:rPr>
        <w:t xml:space="preserve">Review Income Statement for the month — drill into any category that looks off</w:t>
      </w:r>
    </w:p>
    <w:p>
      <w:pPr>
        <w:pStyle w:val="ListParagraph"/>
        <w:numPr>
          <w:ilvl w:val="0"/>
          <w:numId w:val="3"/>
        </w:numPr>
        <w:spacing w:after="60" w:before="60"/>
      </w:pPr>
      <w:r>
        <w:rPr>
          <w:rFonts w:ascii="Arial" w:cs="Arial" w:eastAsia="Arial" w:hAnsi="Arial"/>
          <w:sz w:val="20"/>
          <w:szCs w:val="20"/>
        </w:rPr>
        <w:t xml:space="preserve">Export Net Worth from Quicken at quarter-end and drop on The Pour for balance sheet comparison</w:t>
      </w:r>
    </w:p>
    <w:p>
      <w:pPr>
        <w:pStyle w:val="ListParagraph"/>
        <w:numPr>
          <w:ilvl w:val="0"/>
          <w:numId w:val="3"/>
        </w:numPr>
        <w:spacing w:after="60" w:before="60"/>
      </w:pPr>
      <w:r>
        <w:rPr>
          <w:rFonts w:ascii="Arial" w:cs="Arial" w:eastAsia="Arial" w:hAnsi="Arial"/>
          <w:sz w:val="20"/>
          <w:szCs w:val="20"/>
        </w:rPr>
        <w:t xml:space="preserve">Run The Confluence for the family meeting agenda and PDF Blueprint</w:t>
      </w:r>
    </w:p>
    <w:p>
      <w:pPr>
        <w:spacing w:after="80" w:before="60"/>
        <w:jc w:val="left"/>
      </w:pPr>
      <w:r>
        <w:rPr>
          <w:rFonts w:ascii="Arial" w:cs="Arial" w:eastAsia="Arial" w:hAnsi="Arial"/>
          <w:color w:val="1A1A1A"/>
          <w:sz w:val="20"/>
          <w:szCs w:val="20"/>
        </w:rPr>
        <w:t xml:space="preserve"/>
      </w:r>
    </w:p>
    <w:p>
      <w:pPr>
        <w:pStyle w:val="Heading2"/>
        <w:pBdr>
          <w:bottom w:val="single" w:color="F5A800" w:sz="4" w:space="4"/>
        </w:pBdr>
        <w:spacing w:after="80" w:before="240"/>
      </w:pPr>
      <w:r>
        <w:rPr>
          <w:rFonts w:ascii="Arial" w:cs="Arial" w:eastAsia="Arial" w:hAnsi="Arial"/>
          <w:b/>
          <w:bCs/>
          <w:color w:val="1A1A1A"/>
          <w:sz w:val="24"/>
          <w:szCs w:val="24"/>
        </w:rPr>
        <w:t xml:space="preserve">Quarterly Net Worth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YE 2024</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NetWorth_241231.csv + InvPerf_2024.csv</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Q1 2025</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NetWorth_250331.csv + InvPerf_250331.csv</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Q2 2025</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NetWorth_250630.csv + InvPerf_250630.csv</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Q3 2025</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NetWorth_250930.csv + InvPerf_250930.csv</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YE 2025</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NetWorth_251231.csv + InvPerf_251231.csv</w:t>
            </w:r>
          </w:p>
        </w:tc>
      </w:tr>
      <w:tr>
        <w:tc>
          <w:tcPr>
            <w:tcW w:type="dxa" w:w="28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pPr>
              <w:jc w:val="left"/>
            </w:pPr>
            <w:r>
              <w:rPr>
                <w:rFonts w:ascii="Arial" w:cs="Arial" w:eastAsia="Arial" w:hAnsi="Arial"/>
                <w:b/>
                <w:bCs/>
                <w:color w:val="1A1A1A"/>
                <w:sz w:val="20"/>
                <w:szCs w:val="20"/>
              </w:rPr>
              <w:t xml:space="preserve">Q1 2026</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NetWorth_260331.csv + InvPerf_260331.csv</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Forge Family Finance  ·  </w:t>
    </w:r>
    <w:r>
      <w:rPr>
        <w:rFonts w:ascii="Arial" w:cs="Arial" w:eastAsia="Arial" w:hAnsi="Arial"/>
        <w:color w:val="666666"/>
        <w:sz w:val="18"/>
        <w:szCs w:val="18"/>
      </w:rPr>
      <w:t xml:space="preserve">User Guide  ·  Page </w:t>
    </w:r>
    <w:fldSimple w:instr="PAGE">
      <w:r>
        <w:rPr>
          <w:rFonts w:ascii="Arial" w:cs="Arial" w:eastAsia="Arial" w:hAnsi="Arial"/>
          <w:color w:val="666666"/>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1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2026-04-15T00:04:33.180Z</dcterms:created>
  <dcterms:modified xsi:type="dcterms:W3CDTF">2026-04-15T00:04:33.181Z</dcterms:modified>
</cp:coreProperties>
</file>

<file path=docProps/custom.xml><?xml version="1.0" encoding="utf-8"?>
<Properties xmlns="http://schemas.openxmlformats.org/officeDocument/2006/custom-properties" xmlns:vt="http://schemas.openxmlformats.org/officeDocument/2006/docPropsVTypes"/>
</file>