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24"/>
        </w:rPr>
        <w:t>表6-1  环境温湿度监测精度测试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vAlign w:val="center"/>
            <w:tcBorders>
              <w:top w:val="single" w:sz="15" w:space="0" w:color="000000"/>
              <w:bottom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测试批次</w:t>
            </w:r>
          </w:p>
        </w:tc>
        <w:tc>
          <w:tcPr>
            <w:tcW w:type="dxa" w:w="1235"/>
            <w:vAlign w:val="center"/>
            <w:tcBorders>
              <w:top w:val="single" w:sz="15" w:space="0" w:color="000000"/>
              <w:bottom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对照组温度(℃)</w:t>
            </w:r>
          </w:p>
        </w:tc>
        <w:tc>
          <w:tcPr>
            <w:tcW w:type="dxa" w:w="1235"/>
            <w:vAlign w:val="center"/>
            <w:tcBorders>
              <w:top w:val="single" w:sz="15" w:space="0" w:color="000000"/>
              <w:bottom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系统显示温度(℃)</w:t>
            </w:r>
          </w:p>
        </w:tc>
        <w:tc>
          <w:tcPr>
            <w:tcW w:type="dxa" w:w="1235"/>
            <w:vAlign w:val="center"/>
            <w:tcBorders>
              <w:top w:val="single" w:sz="15" w:space="0" w:color="000000"/>
              <w:bottom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温度绝对误差(℃)</w:t>
            </w:r>
          </w:p>
        </w:tc>
        <w:tc>
          <w:tcPr>
            <w:tcW w:type="dxa" w:w="1235"/>
            <w:vAlign w:val="center"/>
            <w:tcBorders>
              <w:top w:val="single" w:sz="15" w:space="0" w:color="000000"/>
              <w:bottom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对照组湿度(%RH)</w:t>
            </w:r>
          </w:p>
        </w:tc>
        <w:tc>
          <w:tcPr>
            <w:tcW w:type="dxa" w:w="1235"/>
            <w:vAlign w:val="center"/>
            <w:tcBorders>
              <w:top w:val="single" w:sz="15" w:space="0" w:color="000000"/>
              <w:bottom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系统显示湿度(%RH)</w:t>
            </w:r>
          </w:p>
        </w:tc>
        <w:tc>
          <w:tcPr>
            <w:tcW w:type="dxa" w:w="1235"/>
            <w:vAlign w:val="center"/>
            <w:tcBorders>
              <w:top w:val="single" w:sz="15" w:space="0" w:color="000000"/>
              <w:bottom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湿度绝对误差(%RH)</w:t>
            </w:r>
          </w:p>
        </w:tc>
      </w:tr>
      <w:tr>
        <w:tc>
          <w:tcPr>
            <w:tcW w:type="dxa" w:w="123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23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25.1</w:t>
            </w:r>
          </w:p>
        </w:tc>
        <w:tc>
          <w:tcPr>
            <w:tcW w:type="dxa" w:w="123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26.0</w:t>
            </w:r>
          </w:p>
        </w:tc>
        <w:tc>
          <w:tcPr>
            <w:tcW w:type="dxa" w:w="123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+0.9</w:t>
            </w:r>
          </w:p>
        </w:tc>
        <w:tc>
          <w:tcPr>
            <w:tcW w:type="dxa" w:w="123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60.2</w:t>
            </w:r>
          </w:p>
        </w:tc>
        <w:tc>
          <w:tcPr>
            <w:tcW w:type="dxa" w:w="123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62.0</w:t>
            </w:r>
          </w:p>
        </w:tc>
        <w:tc>
          <w:tcPr>
            <w:tcW w:type="dxa" w:w="123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+1.8</w:t>
            </w:r>
          </w:p>
        </w:tc>
      </w:tr>
      <w:tr>
        <w:tc>
          <w:tcPr>
            <w:tcW w:type="dxa" w:w="123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23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26.5</w:t>
            </w:r>
          </w:p>
        </w:tc>
        <w:tc>
          <w:tcPr>
            <w:tcW w:type="dxa" w:w="123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27.0</w:t>
            </w:r>
          </w:p>
        </w:tc>
        <w:tc>
          <w:tcPr>
            <w:tcW w:type="dxa" w:w="123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+0.5</w:t>
            </w:r>
          </w:p>
        </w:tc>
        <w:tc>
          <w:tcPr>
            <w:tcW w:type="dxa" w:w="123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58.0</w:t>
            </w:r>
          </w:p>
        </w:tc>
        <w:tc>
          <w:tcPr>
            <w:tcW w:type="dxa" w:w="123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61.0</w:t>
            </w:r>
          </w:p>
        </w:tc>
        <w:tc>
          <w:tcPr>
            <w:tcW w:type="dxa" w:w="123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+3.0</w:t>
            </w:r>
          </w:p>
        </w:tc>
      </w:tr>
      <w:tr>
        <w:tc>
          <w:tcPr>
            <w:tcW w:type="dxa" w:w="123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23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24.3</w:t>
            </w:r>
          </w:p>
        </w:tc>
        <w:tc>
          <w:tcPr>
            <w:tcW w:type="dxa" w:w="123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25.0</w:t>
            </w:r>
          </w:p>
        </w:tc>
        <w:tc>
          <w:tcPr>
            <w:tcW w:type="dxa" w:w="123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+0.7</w:t>
            </w:r>
          </w:p>
        </w:tc>
        <w:tc>
          <w:tcPr>
            <w:tcW w:type="dxa" w:w="123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65.5</w:t>
            </w:r>
          </w:p>
        </w:tc>
        <w:tc>
          <w:tcPr>
            <w:tcW w:type="dxa" w:w="123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68.0</w:t>
            </w:r>
          </w:p>
        </w:tc>
        <w:tc>
          <w:tcPr>
            <w:tcW w:type="dxa" w:w="123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+2.5</w:t>
            </w:r>
          </w:p>
        </w:tc>
      </w:tr>
      <w:tr>
        <w:tc>
          <w:tcPr>
            <w:tcW w:type="dxa" w:w="123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23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28.0</w:t>
            </w:r>
          </w:p>
        </w:tc>
        <w:tc>
          <w:tcPr>
            <w:tcW w:type="dxa" w:w="123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29.0</w:t>
            </w:r>
          </w:p>
        </w:tc>
        <w:tc>
          <w:tcPr>
            <w:tcW w:type="dxa" w:w="123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+1.0</w:t>
            </w:r>
          </w:p>
        </w:tc>
        <w:tc>
          <w:tcPr>
            <w:tcW w:type="dxa" w:w="123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50.4</w:t>
            </w:r>
          </w:p>
        </w:tc>
        <w:tc>
          <w:tcPr>
            <w:tcW w:type="dxa" w:w="123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52.0</w:t>
            </w:r>
          </w:p>
        </w:tc>
        <w:tc>
          <w:tcPr>
            <w:tcW w:type="dxa" w:w="123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+1.6</w:t>
            </w:r>
          </w:p>
        </w:tc>
      </w:tr>
      <w:tr>
        <w:tc>
          <w:tcPr>
            <w:tcW w:type="dxa" w:w="1235"/>
            <w:vAlign w:val="center"/>
            <w:tcBorders>
              <w:bottom w:val="single" w:sz="15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1235"/>
            <w:vAlign w:val="center"/>
            <w:tcBorders>
              <w:bottom w:val="single" w:sz="15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22.8</w:t>
            </w:r>
          </w:p>
        </w:tc>
        <w:tc>
          <w:tcPr>
            <w:tcW w:type="dxa" w:w="1235"/>
            <w:vAlign w:val="center"/>
            <w:tcBorders>
              <w:bottom w:val="single" w:sz="15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24.0</w:t>
            </w:r>
          </w:p>
        </w:tc>
        <w:tc>
          <w:tcPr>
            <w:tcW w:type="dxa" w:w="1235"/>
            <w:vAlign w:val="center"/>
            <w:tcBorders>
              <w:bottom w:val="single" w:sz="15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+1.2</w:t>
            </w:r>
          </w:p>
        </w:tc>
        <w:tc>
          <w:tcPr>
            <w:tcW w:type="dxa" w:w="1235"/>
            <w:vAlign w:val="center"/>
            <w:tcBorders>
              <w:bottom w:val="single" w:sz="15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70.1</w:t>
            </w:r>
          </w:p>
        </w:tc>
        <w:tc>
          <w:tcPr>
            <w:tcW w:type="dxa" w:w="1235"/>
            <w:vAlign w:val="center"/>
            <w:tcBorders>
              <w:bottom w:val="single" w:sz="15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74.0</w:t>
            </w:r>
          </w:p>
        </w:tc>
        <w:tc>
          <w:tcPr>
            <w:tcW w:type="dxa" w:w="1235"/>
            <w:vAlign w:val="center"/>
            <w:tcBorders>
              <w:bottom w:val="single" w:sz="15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+3.9</w:t>
            </w:r>
          </w:p>
        </w:tc>
      </w:tr>
    </w:tbl>
    <w:p>
      <w:pPr>
        <w:spacing w:before="120" w:after="240"/>
        <w:ind w:firstLine="420"/>
      </w:pPr>
      <w:r>
        <w:rPr>
          <w:rFonts w:ascii="宋体" w:hAnsi="宋体" w:eastAsia="宋体"/>
          <w:sz w:val="24"/>
        </w:rPr>
        <w:t>分析结论：测试结果表明，系统温度最大偏差为+1.2℃，湿度最大偏差为+3.9%RH。数据均稳定在允许的±2℃与±5%RH公差范围内，证明了DHT11单总线读取与解析逻辑的准确性。</w:t>
      </w:r>
    </w:p>
    <w:p>
      <w:pPr>
        <w:jc w:val="center"/>
      </w:pPr>
      <w:r>
        <w:rPr>
          <w:rFonts w:ascii="黑体" w:hAnsi="黑体" w:eastAsia="黑体"/>
          <w:b/>
          <w:sz w:val="24"/>
        </w:rPr>
        <w:t>表6-2  称重感知静态标定与误差测试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vAlign w:val="center"/>
            <w:tcBorders>
              <w:top w:val="single" w:sz="15" w:space="0" w:color="000000"/>
              <w:bottom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标准加载量(g)</w:t>
            </w:r>
          </w:p>
        </w:tc>
        <w:tc>
          <w:tcPr>
            <w:tcW w:type="dxa" w:w="1441"/>
            <w:vAlign w:val="center"/>
            <w:tcBorders>
              <w:top w:val="single" w:sz="15" w:space="0" w:color="000000"/>
              <w:bottom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采样测量值1(g)</w:t>
            </w:r>
          </w:p>
        </w:tc>
        <w:tc>
          <w:tcPr>
            <w:tcW w:type="dxa" w:w="1441"/>
            <w:vAlign w:val="center"/>
            <w:tcBorders>
              <w:top w:val="single" w:sz="15" w:space="0" w:color="000000"/>
              <w:bottom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采样测量值2(g)</w:t>
            </w:r>
          </w:p>
        </w:tc>
        <w:tc>
          <w:tcPr>
            <w:tcW w:type="dxa" w:w="1441"/>
            <w:vAlign w:val="center"/>
            <w:tcBorders>
              <w:top w:val="single" w:sz="15" w:space="0" w:color="000000"/>
              <w:bottom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采样测量值3(g)</w:t>
            </w:r>
          </w:p>
        </w:tc>
        <w:tc>
          <w:tcPr>
            <w:tcW w:type="dxa" w:w="1441"/>
            <w:vAlign w:val="center"/>
            <w:tcBorders>
              <w:top w:val="single" w:sz="15" w:space="0" w:color="000000"/>
              <w:bottom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系统计算均值(g)</w:t>
            </w:r>
          </w:p>
        </w:tc>
        <w:tc>
          <w:tcPr>
            <w:tcW w:type="dxa" w:w="1441"/>
            <w:vAlign w:val="center"/>
            <w:tcBorders>
              <w:top w:val="single" w:sz="15" w:space="0" w:color="000000"/>
              <w:bottom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绝对误差(g)</w:t>
            </w:r>
          </w:p>
        </w:tc>
      </w:tr>
      <w:tr>
        <w:tc>
          <w:tcPr>
            <w:tcW w:type="dxa" w:w="144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50.0</w:t>
            </w:r>
          </w:p>
        </w:tc>
        <w:tc>
          <w:tcPr>
            <w:tcW w:type="dxa" w:w="144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51.2</w:t>
            </w:r>
          </w:p>
        </w:tc>
        <w:tc>
          <w:tcPr>
            <w:tcW w:type="dxa" w:w="144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50.8</w:t>
            </w:r>
          </w:p>
        </w:tc>
        <w:tc>
          <w:tcPr>
            <w:tcW w:type="dxa" w:w="144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51.5</w:t>
            </w:r>
          </w:p>
        </w:tc>
        <w:tc>
          <w:tcPr>
            <w:tcW w:type="dxa" w:w="144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51.1</w:t>
            </w:r>
          </w:p>
        </w:tc>
        <w:tc>
          <w:tcPr>
            <w:tcW w:type="dxa" w:w="144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+1.1</w:t>
            </w:r>
          </w:p>
        </w:tc>
      </w:tr>
      <w:tr>
        <w:tc>
          <w:tcPr>
            <w:tcW w:type="dxa" w:w="144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100.0</w:t>
            </w:r>
          </w:p>
        </w:tc>
        <w:tc>
          <w:tcPr>
            <w:tcW w:type="dxa" w:w="144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102.3</w:t>
            </w:r>
          </w:p>
        </w:tc>
        <w:tc>
          <w:tcPr>
            <w:tcW w:type="dxa" w:w="144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101.9</w:t>
            </w:r>
          </w:p>
        </w:tc>
        <w:tc>
          <w:tcPr>
            <w:tcW w:type="dxa" w:w="144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102.5</w:t>
            </w:r>
          </w:p>
        </w:tc>
        <w:tc>
          <w:tcPr>
            <w:tcW w:type="dxa" w:w="144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102.2</w:t>
            </w:r>
          </w:p>
        </w:tc>
        <w:tc>
          <w:tcPr>
            <w:tcW w:type="dxa" w:w="144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+2.2</w:t>
            </w:r>
          </w:p>
        </w:tc>
      </w:tr>
      <w:tr>
        <w:tc>
          <w:tcPr>
            <w:tcW w:type="dxa" w:w="1441"/>
            <w:vAlign w:val="center"/>
            <w:tcBorders>
              <w:bottom w:val="single" w:sz="15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200.0</w:t>
            </w:r>
          </w:p>
        </w:tc>
        <w:tc>
          <w:tcPr>
            <w:tcW w:type="dxa" w:w="1441"/>
            <w:vAlign w:val="center"/>
            <w:tcBorders>
              <w:bottom w:val="single" w:sz="15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203.1</w:t>
            </w:r>
          </w:p>
        </w:tc>
        <w:tc>
          <w:tcPr>
            <w:tcW w:type="dxa" w:w="1441"/>
            <w:vAlign w:val="center"/>
            <w:tcBorders>
              <w:bottom w:val="single" w:sz="15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202.8</w:t>
            </w:r>
          </w:p>
        </w:tc>
        <w:tc>
          <w:tcPr>
            <w:tcW w:type="dxa" w:w="1441"/>
            <w:vAlign w:val="center"/>
            <w:tcBorders>
              <w:bottom w:val="single" w:sz="15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203.5</w:t>
            </w:r>
          </w:p>
        </w:tc>
        <w:tc>
          <w:tcPr>
            <w:tcW w:type="dxa" w:w="1441"/>
            <w:vAlign w:val="center"/>
            <w:tcBorders>
              <w:bottom w:val="single" w:sz="15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203.1</w:t>
            </w:r>
          </w:p>
        </w:tc>
        <w:tc>
          <w:tcPr>
            <w:tcW w:type="dxa" w:w="1441"/>
            <w:vAlign w:val="center"/>
            <w:tcBorders>
              <w:bottom w:val="single" w:sz="15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+3.1</w:t>
            </w:r>
          </w:p>
        </w:tc>
      </w:tr>
    </w:tbl>
    <w:p>
      <w:pPr>
        <w:spacing w:before="120" w:after="240"/>
        <w:ind w:firstLine="420"/>
      </w:pPr>
      <w:r>
        <w:rPr>
          <w:rFonts w:ascii="宋体" w:hAnsi="宋体" w:eastAsia="宋体"/>
          <w:sz w:val="24"/>
        </w:rPr>
        <w:t>分析结论：静态阶跃测试显示，在去皮操作后，各量程测试点的绝对误差均被控制在+3.1g以内。证明了系统选用的动态去皮算法及标定系数具有良好的线性度，符合项目精度要求。</w:t>
      </w:r>
    </w:p>
    <w:p>
      <w:pPr>
        <w:jc w:val="center"/>
      </w:pPr>
      <w:r>
        <w:rPr>
          <w:rFonts w:ascii="黑体" w:hAnsi="黑体" w:eastAsia="黑体"/>
          <w:b/>
          <w:sz w:val="24"/>
        </w:rPr>
        <w:t>表6-3  动态定量投喂与耗时测试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vAlign w:val="center"/>
            <w:tcBorders>
              <w:top w:val="single" w:sz="15" w:space="0" w:color="000000"/>
              <w:bottom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测试轮次</w:t>
            </w:r>
          </w:p>
        </w:tc>
        <w:tc>
          <w:tcPr>
            <w:tcW w:type="dxa" w:w="1729"/>
            <w:vAlign w:val="center"/>
            <w:tcBorders>
              <w:top w:val="single" w:sz="15" w:space="0" w:color="000000"/>
              <w:bottom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设定目标重量(g)</w:t>
            </w:r>
          </w:p>
        </w:tc>
        <w:tc>
          <w:tcPr>
            <w:tcW w:type="dxa" w:w="1729"/>
            <w:vAlign w:val="center"/>
            <w:tcBorders>
              <w:top w:val="single" w:sz="15" w:space="0" w:color="000000"/>
              <w:bottom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实际落料总重量(g)</w:t>
            </w:r>
          </w:p>
        </w:tc>
        <w:tc>
          <w:tcPr>
            <w:tcW w:type="dxa" w:w="1729"/>
            <w:vAlign w:val="center"/>
            <w:tcBorders>
              <w:top w:val="single" w:sz="15" w:space="0" w:color="000000"/>
              <w:bottom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相对误差率(%)</w:t>
            </w:r>
          </w:p>
        </w:tc>
        <w:tc>
          <w:tcPr>
            <w:tcW w:type="dxa" w:w="1729"/>
            <w:vAlign w:val="center"/>
            <w:tcBorders>
              <w:top w:val="single" w:sz="15" w:space="0" w:color="000000"/>
              <w:bottom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绞龙运转总耗时(s)</w:t>
            </w:r>
          </w:p>
        </w:tc>
      </w:tr>
      <w:tr>
        <w:tc>
          <w:tcPr>
            <w:tcW w:type="dxa" w:w="17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第1轮</w:t>
            </w:r>
          </w:p>
        </w:tc>
        <w:tc>
          <w:tcPr>
            <w:tcW w:type="dxa" w:w="17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50</w:t>
            </w:r>
          </w:p>
        </w:tc>
        <w:tc>
          <w:tcPr>
            <w:tcW w:type="dxa" w:w="17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48</w:t>
            </w:r>
          </w:p>
        </w:tc>
        <w:tc>
          <w:tcPr>
            <w:tcW w:type="dxa" w:w="17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-4.0%</w:t>
            </w:r>
          </w:p>
        </w:tc>
        <w:tc>
          <w:tcPr>
            <w:tcW w:type="dxa" w:w="17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45</w:t>
            </w:r>
          </w:p>
        </w:tc>
      </w:tr>
      <w:tr>
        <w:tc>
          <w:tcPr>
            <w:tcW w:type="dxa" w:w="17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第2轮</w:t>
            </w:r>
          </w:p>
        </w:tc>
        <w:tc>
          <w:tcPr>
            <w:tcW w:type="dxa" w:w="17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50</w:t>
            </w:r>
          </w:p>
        </w:tc>
        <w:tc>
          <w:tcPr>
            <w:tcW w:type="dxa" w:w="17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52</w:t>
            </w:r>
          </w:p>
        </w:tc>
        <w:tc>
          <w:tcPr>
            <w:tcW w:type="dxa" w:w="17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+4.0%</w:t>
            </w:r>
          </w:p>
        </w:tc>
        <w:tc>
          <w:tcPr>
            <w:tcW w:type="dxa" w:w="17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44</w:t>
            </w:r>
          </w:p>
        </w:tc>
      </w:tr>
      <w:tr>
        <w:tc>
          <w:tcPr>
            <w:tcW w:type="dxa" w:w="17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第3轮</w:t>
            </w:r>
          </w:p>
        </w:tc>
        <w:tc>
          <w:tcPr>
            <w:tcW w:type="dxa" w:w="17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</w:t>
            </w:r>
          </w:p>
        </w:tc>
        <w:tc>
          <w:tcPr>
            <w:tcW w:type="dxa" w:w="17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103</w:t>
            </w:r>
          </w:p>
        </w:tc>
        <w:tc>
          <w:tcPr>
            <w:tcW w:type="dxa" w:w="17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+3.0%</w:t>
            </w:r>
          </w:p>
        </w:tc>
        <w:tc>
          <w:tcPr>
            <w:tcW w:type="dxa" w:w="17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88</w:t>
            </w:r>
          </w:p>
        </w:tc>
      </w:tr>
      <w:tr>
        <w:tc>
          <w:tcPr>
            <w:tcW w:type="dxa" w:w="1729"/>
            <w:vAlign w:val="center"/>
            <w:tcBorders>
              <w:bottom w:val="single" w:sz="15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第4轮</w:t>
            </w:r>
          </w:p>
        </w:tc>
        <w:tc>
          <w:tcPr>
            <w:tcW w:type="dxa" w:w="1729"/>
            <w:vAlign w:val="center"/>
            <w:tcBorders>
              <w:bottom w:val="single" w:sz="15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</w:t>
            </w:r>
          </w:p>
        </w:tc>
        <w:tc>
          <w:tcPr>
            <w:tcW w:type="dxa" w:w="1729"/>
            <w:vAlign w:val="center"/>
            <w:tcBorders>
              <w:bottom w:val="single" w:sz="15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97</w:t>
            </w:r>
          </w:p>
        </w:tc>
        <w:tc>
          <w:tcPr>
            <w:tcW w:type="dxa" w:w="1729"/>
            <w:vAlign w:val="center"/>
            <w:tcBorders>
              <w:bottom w:val="single" w:sz="15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-3.0%</w:t>
            </w:r>
          </w:p>
        </w:tc>
        <w:tc>
          <w:tcPr>
            <w:tcW w:type="dxa" w:w="1729"/>
            <w:vAlign w:val="center"/>
            <w:tcBorders>
              <w:bottom w:val="single" w:sz="15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85</w:t>
            </w:r>
          </w:p>
        </w:tc>
      </w:tr>
    </w:tbl>
    <w:p>
      <w:pPr>
        <w:spacing w:before="120" w:after="240"/>
        <w:ind w:firstLine="420"/>
      </w:pPr>
      <w:r>
        <w:rPr>
          <w:rFonts w:ascii="宋体" w:hAnsi="宋体" w:eastAsia="宋体"/>
          <w:sz w:val="24"/>
        </w:rPr>
        <w:t>分析结论：受限于28BYJ-48减速步进电机的物理转速上限，系统出粮速度呈线性稳定状态（约1.1g/s）。在软件“防抖动连续确认算法”的控制下，各轮次实际出粮量的相对误差均维持在±5%以内。较慢的匀速出粮不仅降低了机械噪声，也有效避免了瞬间大量出粮导致的卡顿与外溢，符合宠物慢食的健康喂养理念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