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533"/>
        <w:gridCol w:w="3720"/>
      </w:tblGrid>
      <w:tr w:rsidR="00AC2FD3" w:rsidRPr="00AC2FD3" w:rsidTr="000A46B8">
        <w:trPr>
          <w:trHeight w:val="3375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 Dawid Suchy, Jonatan Chrobak, Witold Smaga, Andrzej Tenus, Michał Stolorz, Łukasz Latusik</w:t>
            </w:r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lastRenderedPageBreak/>
        <w:t>Temat projektu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10196F" w:rsidRDefault="0010196F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536750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Wzory z których korzys</w:t>
      </w:r>
      <w:r w:rsidR="00536750">
        <w:rPr>
          <w:color w:val="000000" w:themeColor="text1"/>
          <w:szCs w:val="24"/>
        </w:rPr>
        <w:t>taliśmy do obliczenia miar:</w:t>
      </w:r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Średnia arytmetyczna: 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harmoniczna: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</w:rPr>
                <m:t>n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den>
          </m:f>
        </m:oMath>
      </m:oMathPara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Średnia geometryczna: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>
              <m:r>
                <w:rPr>
                  <w:rFonts w:ascii="Cambria Math" w:eastAsia="Times New Roman" w:hAnsi="Cambria Math" w:cs="Times New Roman"/>
                </w:rPr>
                <m:t>n</m:t>
              </m:r>
            </m:deg>
            <m:e>
              <m:nary>
                <m:naryPr>
                  <m:chr m:val="∏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536750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Dominanta:</w:t>
      </w:r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wyników: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Rozstęp międzyćwiartkowy:</w:t>
      </w:r>
    </w:p>
    <w:p w:rsidR="00536750" w:rsidRPr="003E4484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Wariancja próbkowa:</w:t>
      </w:r>
    </w:p>
    <w:p w:rsidR="00536750" w:rsidRPr="008D3718" w:rsidRDefault="00536750" w:rsidP="00536750">
      <w:pPr>
        <w:pStyle w:val="Akapitzlist"/>
        <w:spacing w:line="360" w:lineRule="auto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w:bookmarkStart w:id="0" w:name="_GoBack"/>
          <w:bookmarkEnd w:id="0"/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standardowe:</w:t>
      </w:r>
    </w:p>
    <w:p w:rsidR="00536750" w:rsidRPr="008D3718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36750" w:rsidRDefault="00536750" w:rsidP="0010196F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średniej:</w:t>
      </w:r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Odchylenie od mediany:</w:t>
      </w:r>
    </w:p>
    <w:p w:rsidR="0010196F" w:rsidRDefault="0010196F" w:rsidP="00536750">
      <w:pPr>
        <w:pStyle w:val="Akapitzlist"/>
        <w:tabs>
          <w:tab w:val="left" w:pos="3480"/>
        </w:tabs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Współczynnik zmienności:</w:t>
      </w:r>
      <w:r w:rsidR="00536750">
        <w:rPr>
          <w:color w:val="000000" w:themeColor="text1"/>
          <w:szCs w:val="24"/>
        </w:rPr>
        <w:tab/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</m:oMath>
      </m:oMathPara>
    </w:p>
    <w:p w:rsid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Skośność:</w:t>
      </w:r>
    </w:p>
    <w:p w:rsidR="0010196F" w:rsidRPr="0010196F" w:rsidRDefault="0010196F" w:rsidP="0010196F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As=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:rsidR="0010196F" w:rsidRPr="0010196F" w:rsidRDefault="0010196F" w:rsidP="0010196F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Kurtoza: </w:t>
      </w:r>
    </w:p>
    <w:p w:rsidR="0010196F" w:rsidRPr="00536750" w:rsidRDefault="0010196F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Krt=</m:t>
          </m:r>
          <m:f>
            <m:fPr>
              <m:ctrlPr>
                <w:rPr>
                  <w:rFonts w:ascii="Cambria Math" w:eastAsia="Times New Roman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(x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</m:oMath>
      </m:oMathPara>
    </w:p>
    <w:p w:rsidR="0010196F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Excess:</w:t>
      </w:r>
    </w:p>
    <w:p w:rsidR="00536750" w:rsidRPr="00536750" w:rsidRDefault="00536750" w:rsidP="00536750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Ex</m:t>
          </m:r>
          <m:r>
            <w:rPr>
              <w:rFonts w:ascii="Cambria Math" w:hAnsi="Cambria Math"/>
            </w:rPr>
            <m:t>=Krt</m:t>
          </m:r>
          <m:r>
            <w:rPr>
              <w:rFonts w:ascii="Cambria Math" w:hAnsi="Cambria Math"/>
            </w:rPr>
            <m:t>-3</m:t>
          </m:r>
        </m:oMath>
      </m:oMathPara>
    </w:p>
    <w:p w:rsidR="00447B98" w:rsidRDefault="00447B98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C0548B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Ponadto dla funkcja obliczająca kwantyl rzędu n dla szeregu rozdzielczego została napisana według wzoru:</w:t>
      </w:r>
    </w:p>
    <w:p w:rsidR="00C0548B" w:rsidRPr="00C0548B" w:rsidRDefault="00C0548B" w:rsidP="00C0548B">
      <w:pPr>
        <w:pStyle w:val="Akapitzlist"/>
        <w:spacing w:line="360" w:lineRule="auto"/>
      </w:pPr>
      <m:oMathPara>
        <m:oMath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i0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poz. 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isk-1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gdzie:</w:t>
      </w:r>
    </w:p>
    <w:p w:rsid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x</w:t>
      </w:r>
      <w:r>
        <w:rPr>
          <w:vertAlign w:val="subscript"/>
        </w:rPr>
        <w:t>i0</w:t>
      </w:r>
      <w:r>
        <w:t xml:space="preserve"> - dolna wartość przedziału kwantyla.</w:t>
      </w:r>
    </w:p>
    <w:p w:rsid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poz.Q – pozycja kwantyla.</w:t>
      </w:r>
    </w:p>
    <w:p w:rsid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n</w:t>
      </w:r>
      <w:r>
        <w:rPr>
          <w:vertAlign w:val="subscript"/>
        </w:rPr>
        <w:t>isk-1</w:t>
      </w:r>
      <w:r>
        <w:t xml:space="preserve"> – liczebność skumulowana przedziału poprzedzającego przedział kwantyla.</w:t>
      </w:r>
    </w:p>
    <w:p w:rsid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c</w:t>
      </w:r>
      <w:r>
        <w:rPr>
          <w:vertAlign w:val="subscript"/>
        </w:rPr>
        <w:t>i0</w:t>
      </w:r>
      <w:r>
        <w:t xml:space="preserve"> – rozpiętość przedziału kwantyla.</w:t>
      </w:r>
    </w:p>
    <w:p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  <w:r>
        <w:t>n</w:t>
      </w:r>
      <w:r>
        <w:rPr>
          <w:vertAlign w:val="subscript"/>
        </w:rPr>
        <w:t>i0</w:t>
      </w:r>
      <w:r>
        <w:t xml:space="preserve"> – liczebność przedziału kwantyla.</w:t>
      </w:r>
    </w:p>
    <w:p w:rsidR="00C0548B" w:rsidRPr="00C0548B" w:rsidRDefault="00C0548B" w:rsidP="00C0548B">
      <w:pPr>
        <w:pStyle w:val="Akapitzlist"/>
        <w:tabs>
          <w:tab w:val="left" w:pos="720"/>
        </w:tabs>
        <w:spacing w:line="360" w:lineRule="auto"/>
        <w:ind w:left="0" w:firstLine="0"/>
      </w:pPr>
    </w:p>
    <w:p w:rsidR="00536750" w:rsidRDefault="0053675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F05775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Wyniki dla szeregu szczegółowego:</w:t>
      </w:r>
    </w:p>
    <w:p w:rsidR="00B95860" w:rsidRDefault="00B9586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Dominanta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brak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42.7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międzyćwiartkowy: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Wariancja próbkowa: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średniej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4.9208333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6.35222790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Odchylenie od mediany</w:t>
            </w:r>
            <w:r w:rsidR="00E93D1A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</w:tcPr>
          <w:p w:rsidR="00447B98" w:rsidRPr="00F05775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3.4625000</w:t>
            </w:r>
          </w:p>
        </w:tc>
        <w:tc>
          <w:tcPr>
            <w:tcW w:w="1843" w:type="dxa"/>
            <w:noWrap/>
          </w:tcPr>
          <w:p w:rsidR="00447B98" w:rsidRPr="009944F6" w:rsidRDefault="00447B98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5.05000000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447B98" w:rsidRPr="00F05775" w:rsidTr="00EE7732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Kurtoza: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  <w:tr w:rsidR="00447B98" w:rsidRPr="00F05775" w:rsidTr="00447B98">
        <w:trPr>
          <w:trHeight w:val="300"/>
          <w:jc w:val="center"/>
        </w:trPr>
        <w:tc>
          <w:tcPr>
            <w:tcW w:w="3012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Excess</w:t>
            </w:r>
          </w:p>
        </w:tc>
        <w:tc>
          <w:tcPr>
            <w:tcW w:w="1519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0.5482532</w:t>
            </w:r>
          </w:p>
        </w:tc>
        <w:tc>
          <w:tcPr>
            <w:tcW w:w="1843" w:type="dxa"/>
            <w:noWrap/>
          </w:tcPr>
          <w:p w:rsidR="00447B98" w:rsidRPr="00F05775" w:rsidRDefault="00447B98" w:rsidP="00447B98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447B98">
              <w:rPr>
                <w:color w:val="000000" w:themeColor="text1"/>
                <w:szCs w:val="24"/>
              </w:rPr>
              <w:t>0.22403071</w:t>
            </w:r>
          </w:p>
        </w:tc>
      </w:tr>
    </w:tbl>
    <w:p w:rsidR="00E93D1A" w:rsidRDefault="00E93D1A" w:rsidP="00361D5A">
      <w:pPr>
        <w:ind w:left="0" w:right="2" w:firstLine="0"/>
        <w:rPr>
          <w:color w:val="000000" w:themeColor="text1"/>
          <w:szCs w:val="24"/>
        </w:rPr>
      </w:pPr>
    </w:p>
    <w:p w:rsidR="00361D5A" w:rsidRDefault="00EE7732" w:rsidP="00361D5A">
      <w:pPr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Wyniki dla szeregu rozdzielczego:</w:t>
      </w:r>
    </w:p>
    <w:p w:rsidR="00B95860" w:rsidRDefault="00B95860" w:rsidP="00361D5A">
      <w:pPr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0.25</w:t>
            </w:r>
            <w:r w:rsidR="00520D2E">
              <w:rPr>
                <w:color w:val="000000" w:themeColor="text1"/>
              </w:rPr>
              <w:t>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Dominanta:</w:t>
            </w:r>
          </w:p>
        </w:tc>
        <w:tc>
          <w:tcPr>
            <w:tcW w:w="1418" w:type="dxa"/>
            <w:noWrap/>
          </w:tcPr>
          <w:p w:rsidR="00E93D1A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43.5714286</w:t>
            </w:r>
          </w:p>
        </w:tc>
        <w:tc>
          <w:tcPr>
            <w:tcW w:w="1559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38.2352941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międzyćwiartkowy: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 próbkowa: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66.6910153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średniej: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5.0347222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6.4353543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Odchylenie od mediany:</w:t>
            </w:r>
          </w:p>
        </w:tc>
        <w:tc>
          <w:tcPr>
            <w:tcW w:w="1418" w:type="dxa"/>
            <w:noWrap/>
          </w:tcPr>
          <w:p w:rsidR="00E93D1A" w:rsidRPr="00EE7732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4.4869281</w:t>
            </w:r>
          </w:p>
        </w:tc>
        <w:tc>
          <w:tcPr>
            <w:tcW w:w="1559" w:type="dxa"/>
            <w:noWrap/>
          </w:tcPr>
          <w:p w:rsidR="00E93D1A" w:rsidRPr="009944F6" w:rsidRDefault="00E93D1A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4.7049442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93D1A" w:rsidRPr="00EE7732" w:rsidTr="00EE7732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Kurtoza: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  <w:tr w:rsidR="00E93D1A" w:rsidRPr="00EE7732" w:rsidTr="00E93D1A">
        <w:trPr>
          <w:trHeight w:val="240"/>
          <w:jc w:val="center"/>
        </w:trPr>
        <w:tc>
          <w:tcPr>
            <w:tcW w:w="2972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Excess</w:t>
            </w:r>
          </w:p>
        </w:tc>
        <w:tc>
          <w:tcPr>
            <w:tcW w:w="1418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0.3498995</w:t>
            </w:r>
          </w:p>
        </w:tc>
        <w:tc>
          <w:tcPr>
            <w:tcW w:w="1559" w:type="dxa"/>
            <w:noWrap/>
          </w:tcPr>
          <w:p w:rsidR="00E93D1A" w:rsidRPr="00EE7732" w:rsidRDefault="00E93D1A" w:rsidP="00E93D1A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93D1A">
              <w:rPr>
                <w:color w:val="000000" w:themeColor="text1"/>
              </w:rPr>
              <w:t>0.0544700</w:t>
            </w:r>
          </w:p>
        </w:tc>
      </w:tr>
    </w:tbl>
    <w:p w:rsidR="00E93D1A" w:rsidRDefault="00E93D1A" w:rsidP="00E93D1A">
      <w:pPr>
        <w:ind w:left="0" w:right="2" w:firstLine="0"/>
        <w:rPr>
          <w:color w:val="000000" w:themeColor="text1"/>
        </w:rPr>
      </w:pPr>
    </w:p>
    <w:p w:rsidR="00E93D1A" w:rsidRDefault="00E93D1A" w:rsidP="00E93D1A">
      <w:pPr>
        <w:ind w:left="0" w:right="2" w:firstLine="0"/>
        <w:rPr>
          <w:color w:val="000000" w:themeColor="text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81E59C" wp14:editId="555252EF">
            <wp:simplePos x="0" y="0"/>
            <wp:positionH relativeFrom="margin">
              <wp:posOffset>908685</wp:posOffset>
            </wp:positionH>
            <wp:positionV relativeFrom="paragraph">
              <wp:posOffset>62865</wp:posOffset>
            </wp:positionV>
            <wp:extent cx="50482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18" y="21551"/>
                <wp:lineTo x="2151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Histogramy:</w:t>
      </w:r>
      <w:r w:rsidRPr="00E93D1A">
        <w:rPr>
          <w:noProof/>
        </w:rPr>
        <w:t xml:space="preserve"> </w:t>
      </w:r>
    </w:p>
    <w:p w:rsidR="00E93D1A" w:rsidRDefault="00E93D1A" w:rsidP="00361D5A">
      <w:pPr>
        <w:ind w:left="0" w:right="2" w:firstLine="0"/>
        <w:rPr>
          <w:color w:val="000000" w:themeColor="text1"/>
        </w:rPr>
      </w:pPr>
    </w:p>
    <w:p w:rsidR="00B95860" w:rsidRDefault="00B95860" w:rsidP="006F1F2F">
      <w:pPr>
        <w:ind w:left="0" w:right="2" w:firstLine="0"/>
        <w:jc w:val="center"/>
        <w:rPr>
          <w:color w:val="000000" w:themeColor="text1"/>
        </w:rPr>
      </w:pPr>
    </w:p>
    <w:p w:rsidR="00A333ED" w:rsidRDefault="006F1F2F" w:rsidP="00B95860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C7F7445" wp14:editId="4FA78700">
            <wp:extent cx="4933950" cy="41719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B95860" w:rsidP="00E93D1A">
      <w:pPr>
        <w:ind w:left="0" w:right="2" w:firstLine="0"/>
        <w:jc w:val="center"/>
        <w:rPr>
          <w:noProof/>
        </w:rPr>
      </w:pPr>
      <w:r w:rsidRPr="00B95860">
        <w:rPr>
          <w:noProof/>
        </w:rPr>
        <w:t xml:space="preserve"> </w:t>
      </w:r>
    </w:p>
    <w:p w:rsidR="000A46B8" w:rsidRPr="00E93D1A" w:rsidRDefault="000A46B8" w:rsidP="00E93D1A">
      <w:pPr>
        <w:ind w:left="0" w:right="2" w:firstLine="0"/>
        <w:jc w:val="left"/>
        <w:rPr>
          <w:noProof/>
        </w:rPr>
      </w:pPr>
      <w:r>
        <w:rPr>
          <w:b/>
        </w:rPr>
        <w:t>Zadanie 2.</w:t>
      </w:r>
    </w:p>
    <w:p w:rsidR="000A46B8" w:rsidRDefault="000A46B8" w:rsidP="008D7F5F">
      <w:pPr>
        <w:ind w:left="0" w:right="2" w:firstLine="0"/>
      </w:pPr>
      <w:r>
        <w:t>Sprawdzić, czy wydajności pracy przy produkcji elementu mają rozkład normalny (test zgodności Kołmogorowa-Lillieforsa,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Kołmogorowa-Smirnowa z poprawką Lillieforsa: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lastRenderedPageBreak/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10196F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10196F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10196F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10196F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E93D1A" w:rsidRDefault="00E93D1A" w:rsidP="000A46B8">
      <w:pPr>
        <w:ind w:left="0" w:firstLine="0"/>
      </w:pPr>
    </w:p>
    <w:p w:rsidR="000A46B8" w:rsidRDefault="000A46B8" w:rsidP="000A46B8">
      <w:pPr>
        <w:ind w:left="0" w:firstLine="0"/>
      </w:pPr>
      <w:r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10196F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10196F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D1A" w:rsidRDefault="00E93D1A" w:rsidP="000A46B8">
      <w:pPr>
        <w:ind w:left="0" w:firstLine="0"/>
        <w:rPr>
          <w:b/>
        </w:rPr>
      </w:pP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lastRenderedPageBreak/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A058E7">
      <w:pPr>
        <w:ind w:left="0" w:firstLine="0"/>
      </w:pPr>
      <w:r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 xml:space="preserve">sd(stara) – aby otrzymać </w:t>
      </w:r>
      <w:r w:rsidR="008D7F5F">
        <w:t>pró</w:t>
      </w:r>
      <w:r w:rsidRPr="005A7814">
        <w:t>bkowe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qt(0.975,n-1)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mean(stara)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058E7" w:rsidRDefault="00A058E7" w:rsidP="00A63468">
      <w:pPr>
        <w:ind w:left="0" w:right="2" w:firstLine="0"/>
        <w:rPr>
          <w:b/>
          <w:noProof/>
        </w:rPr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lastRenderedPageBreak/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447B98" w:rsidRDefault="00A63468" w:rsidP="00A63468">
      <w:pPr>
        <w:ind w:left="0" w:right="2" w:firstLine="0"/>
        <w:jc w:val="center"/>
        <w:rPr>
          <w:i/>
          <w:noProof/>
          <w:lang w:val="en-US"/>
        </w:rPr>
      </w:pPr>
      <w:r w:rsidRPr="00447B98">
        <w:rPr>
          <w:i/>
          <w:noProof/>
          <w:lang w:val="en-US"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Default="00A63468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 xml:space="preserve">Zadanie 5. 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Czy na poziomie istotności 0,05 można twierdzić, że wartości wydajności pracy przy produkcji elementu w starej hali są większe (sformułować i zweryfikować odpowiednią hipotezę)?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Zaczynamy od wykonania testu Fishera w celu przetestowania czy wariancje rozkładów zmiennych losowych dla starej i nowej hali są sobie równe. W zależności od wyniku dobieramy odpowiedni test dla wartości oczekiwanej.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b/>
          <w:noProof/>
        </w:rPr>
      </w:pPr>
      <w:r>
        <w:rPr>
          <w:b/>
          <w:noProof/>
        </w:rPr>
        <w:t>Test Fishera według wzoru: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Statystyka testowa F: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1133475" cy="809625"/>
            <wp:effectExtent l="0" t="0" r="9525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 xml:space="preserve"> – </w:t>
      </w:r>
      <w:r>
        <w:rPr>
          <w:rFonts w:asciiTheme="minorHAnsi" w:hAnsiTheme="minorHAnsi"/>
          <w:noProof/>
          <w:szCs w:val="24"/>
        </w:rPr>
        <w:t>nieobciążone estymatory wariancji z populacji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zakładamy, że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*2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  <w:r>
        <w:rPr>
          <w:rFonts w:asciiTheme="minorHAnsi" w:hAnsiTheme="minorHAnsi"/>
          <w:noProof/>
          <w:sz w:val="28"/>
          <w:szCs w:val="28"/>
        </w:rPr>
        <w:t>, &gt;</w:t>
      </w:r>
      <m:oMath>
        <m:r>
          <w:rPr>
            <w:rFonts w:ascii="Cambria Math" w:hAnsi="Cambria Math"/>
            <w:noProof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noProof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noProof/>
                <w:sz w:val="28"/>
                <w:szCs w:val="28"/>
              </w:rPr>
              <m:t>*1</m:t>
            </m:r>
          </m:sub>
          <m:sup>
            <m:r>
              <w:rPr>
                <w:rFonts w:ascii="Cambria Math" w:hAnsi="Cambria Math"/>
                <w:noProof/>
                <w:sz w:val="28"/>
                <w:szCs w:val="28"/>
              </w:rPr>
              <m:t>2</m:t>
            </m:r>
          </m:sup>
        </m:sSubSup>
      </m:oMath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rFonts w:asciiTheme="minorHAnsi" w:hAnsiTheme="minorHAnsi"/>
          <w:noProof/>
          <w:szCs w:val="24"/>
        </w:rPr>
        <w:t>Obszar krytyczny testu Fishera:</w:t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>
            <wp:extent cx="254317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 w:val="28"/>
          <w:szCs w:val="28"/>
        </w:rPr>
      </w:pPr>
      <w:r>
        <w:rPr>
          <w:rFonts w:asciiTheme="minorHAnsi" w:hAnsiTheme="minorHAnsi"/>
          <w:noProof/>
          <w:szCs w:val="24"/>
        </w:rPr>
        <w:t>gdzie:</w:t>
      </w:r>
      <w:r>
        <w:rPr>
          <w:rFonts w:asciiTheme="minorHAnsi" w:hAnsiTheme="minorHAnsi"/>
          <w:noProof/>
          <w:sz w:val="28"/>
          <w:szCs w:val="28"/>
        </w:rPr>
        <w:t xml:space="preserve">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 xml:space="preserve">f 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(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 xml:space="preserve">0.95 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, 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1,</w:t>
      </w:r>
      <w:r>
        <w:rPr>
          <w:rFonts w:asciiTheme="minorHAnsi" w:eastAsiaTheme="minorEastAsia" w:hAnsiTheme="minorHAnsi" w:cs="TimesNewRomanPS-ItalicMT"/>
          <w:i/>
          <w:iCs/>
          <w:color w:val="auto"/>
          <w:sz w:val="28"/>
          <w:szCs w:val="28"/>
        </w:rPr>
        <w:t>n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2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>−</w:t>
      </w:r>
      <w:r>
        <w:rPr>
          <w:rFonts w:asciiTheme="minorHAnsi" w:eastAsia="TimesNewRomanPSMT" w:hAnsiTheme="minorHAnsi" w:cs="TimesNewRomanPSMT"/>
          <w:color w:val="auto"/>
          <w:sz w:val="28"/>
          <w:szCs w:val="28"/>
        </w:rPr>
        <w:t>1</w:t>
      </w:r>
      <w:r>
        <w:rPr>
          <w:rFonts w:asciiTheme="minorHAnsi" w:eastAsiaTheme="minorEastAsia" w:hAnsiTheme="minorHAnsi" w:cs="OpenSymbol"/>
          <w:color w:val="auto"/>
          <w:sz w:val="28"/>
          <w:szCs w:val="28"/>
        </w:rPr>
        <w:t xml:space="preserve">) – </w:t>
      </w:r>
      <w:r>
        <w:rPr>
          <w:rFonts w:asciiTheme="minorHAnsi" w:eastAsiaTheme="minorEastAsia" w:hAnsiTheme="minorHAnsi" w:cs="OpenSymbol"/>
          <w:color w:val="auto"/>
          <w:szCs w:val="24"/>
        </w:rPr>
        <w:t>kwantyl rzędu 0.95 rozkładu F ze stopniami swobody n1 – 1 oraz n2 - 1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TEST FISHERA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H0: Wariancje wydajności pracy sa sobie rowne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H1: Wariancje wydajności pracy sa rozne od siebie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Statystyka testowa F =  0.6249921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Obszar krytyczny K_0 = ( 0.5435032 ; 1.839916 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Wartosc statystyki zawiera sie w obszarze krytycznym.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Odrzucamy hipoteze zerowa na rzecz hipotezy alternatywnej.</w:t>
      </w:r>
    </w:p>
    <w:p w:rsidR="006B1F16" w:rsidRDefault="006B1F16" w:rsidP="006B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 w:right="0" w:firstLine="0"/>
        <w:jc w:val="left"/>
        <w:rPr>
          <w:rFonts w:ascii="Lucida Console" w:eastAsia="Times New Roman" w:hAnsi="Lucida Console" w:cs="Courier New"/>
          <w:sz w:val="20"/>
          <w:szCs w:val="20"/>
        </w:rPr>
      </w:pPr>
      <w:r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Na poziomie istotnosci  0.05 mozna przyjac hipoteze alternatywna.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Na podstawie testu Fishera nie odrzucamy hipotezy zerowej mówiącej, że wariancje wydajności pracy w starej i nowej hali są sobie równe. Przyjmujemy, że wariancje są takie same zatem do testowania hipotezy o wartościach oczekiwanych stosujemy test                       T – Studenta.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Test T-Studenta według wzoru: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 xml:space="preserve">T= 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 xml:space="preserve">1 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* 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 xml:space="preserve">+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noProof/>
                    </w:rPr>
                    <m:t>)</m:t>
                  </m:r>
                </m:e>
              </m:rad>
            </m:den>
          </m:f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 xml:space="preserve">Gdzie </w:t>
      </w:r>
      <m:oMath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i </m:t>
        </m:r>
        <m:sSubSup>
          <m:sSubSupPr>
            <m:ctrlPr>
              <w:rPr>
                <w:rFonts w:ascii="Cambria Math" w:hAnsi="Cambria Math"/>
                <w:i/>
                <w:noProof/>
              </w:rPr>
            </m:ctrlPr>
          </m:sSubSup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  <m:sup>
            <m: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 xml:space="preserve"> </m:t>
        </m:r>
      </m:oMath>
      <w:r>
        <w:rPr>
          <w:noProof/>
        </w:rPr>
        <w:t>– nieobciążone estymatory wariancji</w:t>
      </w: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Natomiast obszar krytyczny jest postaci: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10196F" w:rsidP="006B1F16">
      <w:pPr>
        <w:ind w:left="0" w:right="2" w:firstLine="0"/>
        <w:jc w:val="left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K</m:t>
              </m:r>
            </m:e>
            <m:sub>
              <m:r>
                <w:rPr>
                  <w:rFonts w:ascii="Cambria Math" w:hAnsi="Cambria Math"/>
                  <w:noProof/>
                </w:rPr>
                <m:t>0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-∞, -t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∝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-2</m:t>
                  </m:r>
                </m:e>
              </m:d>
            </m:e>
          </m:d>
          <m:r>
            <w:rPr>
              <w:rFonts w:ascii="Cambria Math" w:hAnsi="Cambria Math"/>
              <w:noProof/>
            </w:rPr>
            <m:t>∪(t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∝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</w:rPr>
                <m:t>-2</m:t>
              </m:r>
            </m:e>
          </m:d>
          <m:r>
            <w:rPr>
              <w:rFonts w:ascii="Cambria Math" w:hAnsi="Cambria Math"/>
              <w:noProof/>
            </w:rPr>
            <m:t>, +∞)</m:t>
          </m:r>
        </m:oMath>
      </m:oMathPara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rFonts w:asciiTheme="minorHAnsi" w:hAnsiTheme="minorHAnsi"/>
          <w:noProof/>
          <w:szCs w:val="24"/>
        </w:rPr>
      </w:pPr>
      <w:r>
        <w:rPr>
          <w:noProof/>
        </w:rPr>
        <w:t xml:space="preserve">Gdzie t to </w:t>
      </w:r>
      <w:r>
        <w:rPr>
          <w:rFonts w:asciiTheme="minorHAnsi" w:eastAsiaTheme="minorEastAsia" w:hAnsiTheme="minorHAnsi" w:cs="OpenSymbol"/>
          <w:color w:val="auto"/>
          <w:szCs w:val="24"/>
        </w:rPr>
        <w:t xml:space="preserve">kwantyl rzędu 0.95 rozkładu T ze stopniem swobody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-2</m:t>
        </m:r>
      </m:oMath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autoSpaceDE w:val="0"/>
        <w:autoSpaceDN w:val="0"/>
        <w:adjustRightInd w:val="0"/>
        <w:spacing w:after="0" w:line="240" w:lineRule="auto"/>
        <w:ind w:left="0" w:right="0" w:firstLine="0"/>
        <w:jc w:val="left"/>
        <w:rPr>
          <w:rFonts w:asciiTheme="minorHAnsi" w:eastAsia="TimesNewRomanPSMT" w:hAnsiTheme="minorHAnsi" w:cs="TimesNewRomanPSMT"/>
          <w:color w:val="auto"/>
          <w:szCs w:val="24"/>
        </w:rPr>
      </w:pPr>
      <w:r>
        <w:rPr>
          <w:rFonts w:asciiTheme="minorHAnsi" w:eastAsia="TimesNewRomanPSMT" w:hAnsiTheme="minorHAnsi" w:cs="TimesNewRomanPSMT"/>
          <w:color w:val="auto"/>
          <w:szCs w:val="24"/>
        </w:rPr>
        <w:t>Weryfikujemy hipotezę H0 : Średnie wydajności pracy w obu halach są sobie równe,  przeciw hipotezie H1: Średnia wydajność pracy w starej hali  jest większa.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TEST T-STUDENTA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H0: Srednia wydajnosc pracy w hali starej i nowej jest taka sama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H1: Srednia wydajnosc pracy w hali starej jest wieksza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 xml:space="preserve">Statystyka =  0.5753955 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Obszar krytyczny K_0 = &lt;  1.66342  , +oo)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Style w:val="gd15mcfceub"/>
          <w:rFonts w:ascii="Lucida Console" w:eastAsia="Calibri" w:hAnsi="Lucida Console"/>
          <w:bdr w:val="none" w:sz="0" w:space="0" w:color="auto" w:frame="1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Wartosc statystyka NIE miesci sie w obszarze krytycznym.</w:t>
      </w:r>
    </w:p>
    <w:p w:rsidR="006B1F16" w:rsidRDefault="006B1F16" w:rsidP="006B1F16">
      <w:pPr>
        <w:pStyle w:val="HTML-wstpniesformatowany"/>
        <w:shd w:val="clear" w:color="auto" w:fill="FFFFFF"/>
        <w:wordWrap w:val="0"/>
        <w:rPr>
          <w:rFonts w:eastAsia="Calibri"/>
        </w:rPr>
      </w:pPr>
      <w:r>
        <w:rPr>
          <w:rStyle w:val="gd15mcfceub"/>
          <w:rFonts w:ascii="Lucida Console" w:eastAsia="Calibri" w:hAnsi="Lucida Console"/>
          <w:bdr w:val="none" w:sz="0" w:space="0" w:color="auto" w:frame="1"/>
        </w:rPr>
        <w:t>Brak podstaw do odrzucenia hipotezy zerowej.</w:t>
      </w:r>
    </w:p>
    <w:p w:rsidR="006B1F16" w:rsidRDefault="006B1F16" w:rsidP="006B1F16">
      <w:pPr>
        <w:ind w:left="0" w:right="2" w:firstLine="0"/>
        <w:jc w:val="left"/>
        <w:rPr>
          <w:noProof/>
        </w:rPr>
      </w:pPr>
    </w:p>
    <w:p w:rsidR="006B1F16" w:rsidRDefault="006B1F16" w:rsidP="006B1F16">
      <w:pPr>
        <w:ind w:left="0" w:right="2" w:firstLine="0"/>
        <w:jc w:val="left"/>
        <w:rPr>
          <w:noProof/>
        </w:rPr>
      </w:pPr>
      <w:r>
        <w:rPr>
          <w:noProof/>
        </w:rPr>
        <w:t>Zatem nie można stwierdzić, że wydajność pracy w starej hali jest większa niż w nowej.</w:t>
      </w:r>
    </w:p>
    <w:p w:rsidR="006B1F16" w:rsidRPr="006B1F16" w:rsidRDefault="006B1F16" w:rsidP="006B1F16">
      <w:pPr>
        <w:ind w:left="0" w:right="2" w:firstLine="0"/>
        <w:jc w:val="left"/>
        <w:rPr>
          <w:noProof/>
        </w:rPr>
      </w:pPr>
    </w:p>
    <w:sectPr w:rsidR="006B1F16" w:rsidRPr="006B1F16" w:rsidSect="00E93D1A">
      <w:pgSz w:w="11904" w:h="16838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7D5" w:rsidRDefault="000447D5" w:rsidP="00206770">
      <w:pPr>
        <w:spacing w:after="0" w:line="240" w:lineRule="auto"/>
      </w:pPr>
      <w:r>
        <w:separator/>
      </w:r>
    </w:p>
  </w:endnote>
  <w:endnote w:type="continuationSeparator" w:id="0">
    <w:p w:rsidR="000447D5" w:rsidRDefault="000447D5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imesNewRomanPS-Italic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7D5" w:rsidRDefault="000447D5" w:rsidP="00206770">
      <w:pPr>
        <w:spacing w:after="0" w:line="240" w:lineRule="auto"/>
      </w:pPr>
      <w:r>
        <w:separator/>
      </w:r>
    </w:p>
  </w:footnote>
  <w:footnote w:type="continuationSeparator" w:id="0">
    <w:p w:rsidR="000447D5" w:rsidRDefault="000447D5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629F2"/>
    <w:multiLevelType w:val="hybridMultilevel"/>
    <w:tmpl w:val="2A5ED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D11C2"/>
    <w:multiLevelType w:val="hybridMultilevel"/>
    <w:tmpl w:val="E05838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1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2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2"/>
  </w:num>
  <w:num w:numId="10">
    <w:abstractNumId w:val="9"/>
  </w:num>
  <w:num w:numId="11">
    <w:abstractNumId w:val="1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8"/>
    <w:rsid w:val="000447D5"/>
    <w:rsid w:val="000551C1"/>
    <w:rsid w:val="000804EE"/>
    <w:rsid w:val="000A0D27"/>
    <w:rsid w:val="000A46B8"/>
    <w:rsid w:val="0010196F"/>
    <w:rsid w:val="00132353"/>
    <w:rsid w:val="001577AB"/>
    <w:rsid w:val="001B6521"/>
    <w:rsid w:val="001F505D"/>
    <w:rsid w:val="00206770"/>
    <w:rsid w:val="00211D13"/>
    <w:rsid w:val="002E44BA"/>
    <w:rsid w:val="00361D5A"/>
    <w:rsid w:val="003B175D"/>
    <w:rsid w:val="003E1530"/>
    <w:rsid w:val="003E3709"/>
    <w:rsid w:val="00424871"/>
    <w:rsid w:val="00447B98"/>
    <w:rsid w:val="004658C8"/>
    <w:rsid w:val="0048278A"/>
    <w:rsid w:val="004D14DB"/>
    <w:rsid w:val="004F25B2"/>
    <w:rsid w:val="00520D2E"/>
    <w:rsid w:val="00536750"/>
    <w:rsid w:val="005A4BEB"/>
    <w:rsid w:val="006B1F16"/>
    <w:rsid w:val="006F1F2F"/>
    <w:rsid w:val="006F5AB3"/>
    <w:rsid w:val="00736075"/>
    <w:rsid w:val="00736091"/>
    <w:rsid w:val="0076351C"/>
    <w:rsid w:val="00780065"/>
    <w:rsid w:val="00810BB8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E1365"/>
    <w:rsid w:val="009F239C"/>
    <w:rsid w:val="00A058E7"/>
    <w:rsid w:val="00A13675"/>
    <w:rsid w:val="00A333ED"/>
    <w:rsid w:val="00A63468"/>
    <w:rsid w:val="00A760EA"/>
    <w:rsid w:val="00AC2FD3"/>
    <w:rsid w:val="00B475FA"/>
    <w:rsid w:val="00B71C67"/>
    <w:rsid w:val="00B72185"/>
    <w:rsid w:val="00B77735"/>
    <w:rsid w:val="00B95860"/>
    <w:rsid w:val="00BE697A"/>
    <w:rsid w:val="00C0548B"/>
    <w:rsid w:val="00C05618"/>
    <w:rsid w:val="00C16676"/>
    <w:rsid w:val="00C167ED"/>
    <w:rsid w:val="00C63ED6"/>
    <w:rsid w:val="00D03F8A"/>
    <w:rsid w:val="00D81309"/>
    <w:rsid w:val="00D84CBE"/>
    <w:rsid w:val="00DB12B3"/>
    <w:rsid w:val="00DC3216"/>
    <w:rsid w:val="00DC5538"/>
    <w:rsid w:val="00E070DE"/>
    <w:rsid w:val="00E17818"/>
    <w:rsid w:val="00E834C3"/>
    <w:rsid w:val="00E93D1A"/>
    <w:rsid w:val="00E96F39"/>
    <w:rsid w:val="00EE7732"/>
    <w:rsid w:val="00F05775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4CF1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B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B1F16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omylnaczcionkaakapitu"/>
    <w:rsid w:val="006B1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D3581-845E-4EC8-BAA9-E0E8FF33F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1371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Krzysztof Ból</cp:lastModifiedBy>
  <cp:revision>24</cp:revision>
  <cp:lastPrinted>2018-01-25T21:36:00Z</cp:lastPrinted>
  <dcterms:created xsi:type="dcterms:W3CDTF">2018-01-25T21:25:00Z</dcterms:created>
  <dcterms:modified xsi:type="dcterms:W3CDTF">2019-05-27T12:23:00Z</dcterms:modified>
</cp:coreProperties>
</file>