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QA Checklist -- Guide 01: Foundations of Disability, Inclusion, and Accessible Design</w:t>
      </w:r>
    </w:p>
    <w:p>
      <w:r/>
      <w:r>
        <w:rPr>
          <w:b/>
        </w:rPr>
        <w:t>Course:</w:t>
      </w:r>
      <w:r>
        <w:t xml:space="preserve"> UHN Accessibility First Course Series</w:t>
      </w:r>
    </w:p>
    <w:p>
      <w:r/>
      <w:r>
        <w:rPr>
          <w:b/>
        </w:rPr>
        <w:t>Guide:</w:t>
      </w:r>
      <w:r>
        <w:t xml:space="preserve"> 01 -- Foundations of Disability, Inclusion, and Accessible Design</w:t>
      </w:r>
    </w:p>
    <w:p>
      <w:r/>
      <w:r>
        <w:rPr>
          <w:b/>
        </w:rPr>
        <w:t>Version:</w:t>
      </w:r>
      <w:r>
        <w:t xml:space="preserve"> 1.0</w:t>
      </w:r>
    </w:p>
    <w:p>
      <w:r/>
      <w:r>
        <w:rPr>
          <w:b/>
        </w:rPr>
        <w:t>Date:</w:t>
      </w:r>
      <w:r>
        <w:t xml:space="preserve"> 2026-05-23</w:t>
      </w:r>
    </w:p>
    <w:p>
      <w:r/>
      <w:r>
        <w:rPr>
          <w:b/>
        </w:rPr>
        <w:t>QA Reviewer:</w:t>
      </w:r>
      <w:r>
        <w:t xml:space="preserve"> [INSERT NAME]</w:t>
      </w:r>
    </w:p>
    <w:p>
      <w:r/>
      <w:r>
        <w:rPr>
          <w:b/>
        </w:rPr>
        <w:t>QA Date:</w:t>
      </w:r>
      <w:r>
        <w:t xml:space="preserve"> [INSERT DATE]</w:t>
      </w:r>
    </w:p>
    <w:p>
      <w:pPr>
        <w:spacing w:before="120" w:after="120"/>
      </w:pPr>
      <w:r>
        <w:rPr>
          <w:color w:val="CCCCCC"/>
          <w:sz w:val="16"/>
        </w:rPr>
        <w:t>──────────────────────────────────────────────────</w:t>
      </w:r>
    </w:p>
    <w:p>
      <w:pPr>
        <w:pStyle w:val="Heading2"/>
      </w:pPr>
      <w:r>
        <w:t>Instructions</w:t>
      </w:r>
    </w:p>
    <w:p>
      <w:r>
        <w:t>Complete each item below by marking the checkbox when the criterion is met. Add notes in the "Comments" field for any item that fails or requires follow-up. All Critical and High items must pass before the guide proceeds to pilot.</w:t>
      </w:r>
    </w:p>
    <w:p>
      <w:r/>
      <w:r>
        <w:rPr>
          <w:b/>
        </w:rPr>
        <w:t>Status Key:</w:t>
      </w:r>
      <w:r/>
    </w:p>
    <w:p/>
    <w:p>
      <w:pPr>
        <w:ind w:left="680"/>
      </w:pPr>
      <w:r>
        <w:rPr>
          <w:rFonts w:ascii="Arial" w:hAnsi="Arial"/>
        </w:rPr>
        <w:t xml:space="preserve">•  </w:t>
      </w:r>
      <w:r>
        <w:t>[x] = Pass</w:t>
      </w:r>
    </w:p>
    <w:p/>
    <w:p>
      <w:pPr>
        <w:ind w:left="680"/>
      </w:pPr>
      <w:r>
        <w:rPr>
          <w:rFonts w:ascii="Arial" w:hAnsi="Arial"/>
        </w:rPr>
        <w:t xml:space="preserve">•  </w:t>
      </w:r>
      <w:r>
        <w:t>[ ] = Not yet reviewed / Fail</w:t>
      </w:r>
    </w:p>
    <w:p/>
    <w:p>
      <w:pPr>
        <w:ind w:left="680"/>
      </w:pPr>
      <w:r>
        <w:rPr>
          <w:rFonts w:ascii="Arial" w:hAnsi="Arial"/>
        </w:rPr>
        <w:t xml:space="preserve">•  </w:t>
      </w:r>
      <w:r>
        <w:t>N/A = Not applicable to this guide</w:t>
      </w:r>
    </w:p>
    <w:p>
      <w:pPr>
        <w:spacing w:before="120" w:after="120"/>
      </w:pPr>
      <w:r>
        <w:rPr>
          <w:color w:val="CCCCCC"/>
          <w:sz w:val="16"/>
        </w:rPr>
        <w:t>──────────────────────────────────────────────────</w:t>
      </w:r>
    </w:p>
    <w:p>
      <w:pPr>
        <w:pStyle w:val="Heading2"/>
      </w:pPr>
      <w:r>
        <w:t>1. Accessibility (WCAG 2.1 AA and AODA Compliance)</w:t>
      </w:r>
    </w:p>
    <w:p>
      <w:pPr>
        <w:pStyle w:val="Heading3"/>
      </w:pPr>
      <w:r>
        <w:t>1.1 Text and Visual Content</w:t>
      </w:r>
    </w:p>
    <w:p/>
    <w:p>
      <w:pPr>
        <w:ind w:left="680"/>
      </w:pPr>
      <w:r>
        <w:rPr>
          <w:rFonts w:ascii="Arial" w:hAnsi="Arial"/>
        </w:rPr>
        <w:t xml:space="preserve">•  </w:t>
      </w:r>
      <w:r>
        <w:t>[ ] All images have meaningful alt text that conveys the same information as the image (not "image of..." or filename)</w:t>
      </w:r>
    </w:p>
    <w:p/>
    <w:p>
      <w:pPr>
        <w:ind w:left="680"/>
      </w:pPr>
      <w:r>
        <w:rPr>
          <w:rFonts w:ascii="Arial" w:hAnsi="Arial"/>
        </w:rPr>
        <w:t xml:space="preserve">•  </w:t>
      </w:r>
      <w:r>
        <w:t>[ ] Decorative images are marked as decorative (empty alt attribute) and do not convey content</w:t>
      </w:r>
    </w:p>
    <w:p/>
    <w:p>
      <w:pPr>
        <w:ind w:left="680"/>
      </w:pPr>
      <w:r>
        <w:rPr>
          <w:rFonts w:ascii="Arial" w:hAnsi="Arial"/>
        </w:rPr>
        <w:t xml:space="preserve">•  </w:t>
      </w:r>
      <w:r>
        <w:t>[ ] All charts, graphs, or infographics have text-based equivalents or long descriptions</w:t>
      </w:r>
    </w:p>
    <w:p/>
    <w:p>
      <w:pPr>
        <w:ind w:left="680"/>
      </w:pPr>
      <w:r>
        <w:rPr>
          <w:rFonts w:ascii="Arial" w:hAnsi="Arial"/>
        </w:rPr>
        <w:t xml:space="preserve">•  </w:t>
      </w:r>
      <w:r>
        <w:t>[ ] Colour is not used as the only means of conveying information (e.g., "the red items" without another indicator)</w:t>
      </w:r>
    </w:p>
    <w:p/>
    <w:p>
      <w:pPr>
        <w:ind w:left="680"/>
      </w:pPr>
      <w:r>
        <w:rPr>
          <w:rFonts w:ascii="Arial" w:hAnsi="Arial"/>
        </w:rPr>
        <w:t xml:space="preserve">•  </w:t>
      </w:r>
      <w:r>
        <w:t>[ ] Text colour contrast meets WCAG 2.1 AA minimum ratio (4.5:1 for normal text, 3:1 for large text)</w:t>
      </w:r>
    </w:p>
    <w:p/>
    <w:p>
      <w:pPr>
        <w:ind w:left="680"/>
      </w:pPr>
      <w:r>
        <w:rPr>
          <w:rFonts w:ascii="Arial" w:hAnsi="Arial"/>
        </w:rPr>
        <w:t xml:space="preserve">•  </w:t>
      </w:r>
      <w:r>
        <w:t>[ ] No content relies solely on sensory characteristics (e.g., "click the button on the right" without additional context)</w:t>
      </w:r>
    </w:p>
    <w:p>
      <w:pPr>
        <w:pStyle w:val="Heading3"/>
      </w:pPr>
      <w:r>
        <w:t>1.2 Multimedia</w:t>
      </w:r>
    </w:p>
    <w:p/>
    <w:p>
      <w:pPr>
        <w:ind w:left="680"/>
      </w:pPr>
      <w:r>
        <w:rPr>
          <w:rFonts w:ascii="Arial" w:hAnsi="Arial"/>
        </w:rPr>
        <w:t xml:space="preserve">•  </w:t>
      </w:r>
      <w:r>
        <w:t>[ ] All video content has accurate synchronized captions (not auto-generated without review)</w:t>
      </w:r>
    </w:p>
    <w:p/>
    <w:p>
      <w:pPr>
        <w:ind w:left="680"/>
      </w:pPr>
      <w:r>
        <w:rPr>
          <w:rFonts w:ascii="Arial" w:hAnsi="Arial"/>
        </w:rPr>
        <w:t xml:space="preserve">•  </w:t>
      </w:r>
      <w:r>
        <w:t>[ ] All audio content has a text transcript available</w:t>
      </w:r>
    </w:p>
    <w:p/>
    <w:p>
      <w:pPr>
        <w:ind w:left="680"/>
      </w:pPr>
      <w:r>
        <w:rPr>
          <w:rFonts w:ascii="Arial" w:hAnsi="Arial"/>
        </w:rPr>
        <w:t xml:space="preserve">•  </w:t>
      </w:r>
      <w:r>
        <w:t>[ ] Captions include speaker identification and relevant non-speech audio (e.g., [alarm sounds])</w:t>
      </w:r>
    </w:p>
    <w:p/>
    <w:p>
      <w:pPr>
        <w:ind w:left="680"/>
      </w:pPr>
      <w:r>
        <w:rPr>
          <w:rFonts w:ascii="Arial" w:hAnsi="Arial"/>
        </w:rPr>
        <w:t xml:space="preserve">•  </w:t>
      </w:r>
      <w:r>
        <w:t>[ ] Audio descriptions are provided for video content where visual information is not conveyed by the audio track</w:t>
      </w:r>
    </w:p>
    <w:p/>
    <w:p>
      <w:pPr>
        <w:ind w:left="680"/>
      </w:pPr>
      <w:r>
        <w:rPr>
          <w:rFonts w:ascii="Arial" w:hAnsi="Arial"/>
        </w:rPr>
        <w:t xml:space="preserve">•  </w:t>
      </w:r>
      <w:r>
        <w:t>[ ] No content auto-plays audio or video without user control</w:t>
      </w:r>
    </w:p>
    <w:p>
      <w:pPr>
        <w:pStyle w:val="Heading3"/>
      </w:pPr>
      <w:r>
        <w:t>1.3 Navigation and Interaction</w:t>
      </w:r>
    </w:p>
    <w:p/>
    <w:p>
      <w:pPr>
        <w:ind w:left="680"/>
      </w:pPr>
      <w:r>
        <w:rPr>
          <w:rFonts w:ascii="Arial" w:hAnsi="Arial"/>
        </w:rPr>
        <w:t xml:space="preserve">•  </w:t>
      </w:r>
      <w:r>
        <w:t>[ ] All interactive elements (buttons, links, form fields, drag-and-drop) are operable by keyboard alone</w:t>
      </w:r>
    </w:p>
    <w:p/>
    <w:p>
      <w:pPr>
        <w:ind w:left="680"/>
      </w:pPr>
      <w:r>
        <w:rPr>
          <w:rFonts w:ascii="Arial" w:hAnsi="Arial"/>
        </w:rPr>
        <w:t xml:space="preserve">•  </w:t>
      </w:r>
      <w:r>
        <w:t>[ ] Focus order follows a logical reading sequence (left to right, top to bottom in English content)</w:t>
      </w:r>
    </w:p>
    <w:p/>
    <w:p>
      <w:pPr>
        <w:ind w:left="680"/>
      </w:pPr>
      <w:r>
        <w:rPr>
          <w:rFonts w:ascii="Arial" w:hAnsi="Arial"/>
        </w:rPr>
        <w:t xml:space="preserve">•  </w:t>
      </w:r>
      <w:r>
        <w:t>[ ] Focus indicators are visible on all interactive elements</w:t>
      </w:r>
    </w:p>
    <w:p/>
    <w:p>
      <w:pPr>
        <w:ind w:left="680"/>
      </w:pPr>
      <w:r>
        <w:rPr>
          <w:rFonts w:ascii="Arial" w:hAnsi="Arial"/>
        </w:rPr>
        <w:t xml:space="preserve">•  </w:t>
      </w:r>
      <w:r>
        <w:t>[ ] Skip navigation links are provided where appropriate</w:t>
      </w:r>
    </w:p>
    <w:p/>
    <w:p>
      <w:pPr>
        <w:ind w:left="680"/>
      </w:pPr>
      <w:r>
        <w:rPr>
          <w:rFonts w:ascii="Arial" w:hAnsi="Arial"/>
        </w:rPr>
        <w:t xml:space="preserve">•  </w:t>
      </w:r>
      <w:r>
        <w:t>[ ] No keyboard traps exist (user can navigate away from any element using keyboard)</w:t>
      </w:r>
    </w:p>
    <w:p/>
    <w:p>
      <w:pPr>
        <w:ind w:left="680"/>
      </w:pPr>
      <w:r>
        <w:rPr>
          <w:rFonts w:ascii="Arial" w:hAnsi="Arial"/>
        </w:rPr>
        <w:t xml:space="preserve">•  </w:t>
      </w:r>
      <w:r>
        <w:t>[ ] Time limits, if any, can be extended or removed by the learner</w:t>
      </w:r>
    </w:p>
    <w:p/>
    <w:p>
      <w:pPr>
        <w:ind w:left="680"/>
      </w:pPr>
      <w:r>
        <w:rPr>
          <w:rFonts w:ascii="Arial" w:hAnsi="Arial"/>
        </w:rPr>
        <w:t xml:space="preserve">•  </w:t>
      </w:r>
      <w:r>
        <w:t>[ ] Drag-and-drop interactions have a keyboard-accessible alternative</w:t>
      </w:r>
    </w:p>
    <w:p>
      <w:pPr>
        <w:pStyle w:val="Heading3"/>
      </w:pPr>
      <w:r>
        <w:t>1.4 Document and Content Structure</w:t>
      </w:r>
    </w:p>
    <w:p/>
    <w:p>
      <w:pPr>
        <w:ind w:left="680"/>
      </w:pPr>
      <w:r>
        <w:rPr>
          <w:rFonts w:ascii="Arial" w:hAnsi="Arial"/>
        </w:rPr>
        <w:t xml:space="preserve">•  </w:t>
      </w:r>
      <w:r>
        <w:t>[ ] Heading hierarchy is logical and sequential (H1 &gt; H2 &gt; H3; no skipped levels)</w:t>
      </w:r>
    </w:p>
    <w:p/>
    <w:p>
      <w:pPr>
        <w:ind w:left="680"/>
      </w:pPr>
      <w:r>
        <w:rPr>
          <w:rFonts w:ascii="Arial" w:hAnsi="Arial"/>
        </w:rPr>
        <w:t xml:space="preserve">•  </w:t>
      </w:r>
      <w:r>
        <w:t>[ ] Lists use proper list markup (not manually formatted with dashes or asterisks in the final build)</w:t>
      </w:r>
    </w:p>
    <w:p/>
    <w:p>
      <w:pPr>
        <w:ind w:left="680"/>
      </w:pPr>
      <w:r>
        <w:rPr>
          <w:rFonts w:ascii="Arial" w:hAnsi="Arial"/>
        </w:rPr>
        <w:t xml:space="preserve">•  </w:t>
      </w:r>
      <w:r>
        <w:t>[ ] Data tables have proper header rows/columns and caption/summary</w:t>
      </w:r>
    </w:p>
    <w:p/>
    <w:p>
      <w:pPr>
        <w:ind w:left="680"/>
      </w:pPr>
      <w:r>
        <w:rPr>
          <w:rFonts w:ascii="Arial" w:hAnsi="Arial"/>
        </w:rPr>
        <w:t xml:space="preserve">•  </w:t>
      </w:r>
      <w:r>
        <w:t>[ ] Reading order in the built output matches the intended content sequence (verified with screen reader or reading order tool)</w:t>
      </w:r>
    </w:p>
    <w:p/>
    <w:p>
      <w:pPr>
        <w:ind w:left="680"/>
      </w:pPr>
      <w:r>
        <w:rPr>
          <w:rFonts w:ascii="Arial" w:hAnsi="Arial"/>
        </w:rPr>
        <w:t xml:space="preserve">•  </w:t>
      </w:r>
      <w:r>
        <w:t>[ ] Language is identified in the document/page metadata (lang="en-CA")</w:t>
      </w:r>
    </w:p>
    <w:p>
      <w:pPr>
        <w:pStyle w:val="Heading3"/>
      </w:pPr>
      <w:r>
        <w:t>1.5 Reading Level</w:t>
      </w:r>
    </w:p>
    <w:p/>
    <w:p>
      <w:pPr>
        <w:ind w:left="680"/>
      </w:pPr>
      <w:r>
        <w:rPr>
          <w:rFonts w:ascii="Arial" w:hAnsi="Arial"/>
        </w:rPr>
        <w:t xml:space="preserve">•  </w:t>
      </w:r>
      <w:r>
        <w:t>[ ] Body content is written at or below Grade 10 reading level (Flesch-Kincaid or equivalent)</w:t>
      </w:r>
    </w:p>
    <w:p/>
    <w:p>
      <w:pPr>
        <w:ind w:left="680"/>
      </w:pPr>
      <w:r>
        <w:rPr>
          <w:rFonts w:ascii="Arial" w:hAnsi="Arial"/>
        </w:rPr>
        <w:t xml:space="preserve">•  </w:t>
      </w:r>
      <w:r>
        <w:t>[ ] Assessment stems are written at or below Grade 10 reading level</w:t>
      </w:r>
    </w:p>
    <w:p/>
    <w:p>
      <w:pPr>
        <w:ind w:left="680"/>
      </w:pPr>
      <w:r>
        <w:rPr>
          <w:rFonts w:ascii="Arial" w:hAnsi="Arial"/>
        </w:rPr>
        <w:t xml:space="preserve">•  </w:t>
      </w:r>
      <w:r>
        <w:t>[ ] Complex or technical terms are defined on first use or in a glossary</w:t>
      </w:r>
    </w:p>
    <w:p/>
    <w:p>
      <w:pPr>
        <w:ind w:left="680"/>
      </w:pPr>
      <w:r>
        <w:rPr>
          <w:rFonts w:ascii="Arial" w:hAnsi="Arial"/>
        </w:rPr>
        <w:t xml:space="preserve">•  </w:t>
      </w:r>
      <w:r>
        <w:t>[ ] Sentences average 20 words or fewer; paragraphs are 3-5 sentences maximum</w:t>
      </w:r>
    </w:p>
    <w:p>
      <w:r/>
      <w:r>
        <w:rPr>
          <w:b/>
        </w:rPr>
        <w:t>Accessibility Comments:</w:t>
      </w:r>
      <w:r/>
    </w:p>
    <w:p>
      <w:pPr>
        <w:spacing w:before="120" w:after="120"/>
      </w:pPr>
      <w:r>
        <w:rPr>
          <w:color w:val="CCCCCC"/>
          <w:sz w:val="16"/>
        </w:rPr>
        <w:t>──────────────────────────────────────────────────</w:t>
      </w:r>
    </w:p>
    <w:p>
      <w:pPr>
        <w:pStyle w:val="Heading2"/>
      </w:pPr>
      <w:r>
        <w:t>2. Instructional Design Quality</w:t>
      </w:r>
    </w:p>
    <w:p>
      <w:pPr>
        <w:pStyle w:val="Heading3"/>
      </w:pPr>
      <w:r>
        <w:t>2.1 Learning Objectives and Alignment</w:t>
      </w:r>
    </w:p>
    <w:p/>
    <w:p>
      <w:pPr>
        <w:ind w:left="680"/>
      </w:pPr>
      <w:r>
        <w:rPr>
          <w:rFonts w:ascii="Arial" w:hAnsi="Arial"/>
        </w:rPr>
        <w:t xml:space="preserve">•  </w:t>
      </w:r>
      <w:r>
        <w:t>[ ] All 5 CLOs are stated using measurable action verbs (Bloom's taxonomy)</w:t>
      </w:r>
    </w:p>
    <w:p/>
    <w:p>
      <w:pPr>
        <w:ind w:left="680"/>
      </w:pPr>
      <w:r>
        <w:rPr>
          <w:rFonts w:ascii="Arial" w:hAnsi="Arial"/>
        </w:rPr>
        <w:t xml:space="preserve">•  </w:t>
      </w:r>
      <w:r>
        <w:t>[ ] Each CLO is assessed by at least one assessment item (verified against Assessment Map Summary)</w:t>
      </w:r>
    </w:p>
    <w:p/>
    <w:p>
      <w:pPr>
        <w:ind w:left="680"/>
      </w:pPr>
      <w:r>
        <w:rPr>
          <w:rFonts w:ascii="Arial" w:hAnsi="Arial"/>
        </w:rPr>
        <w:t xml:space="preserve">•  </w:t>
      </w:r>
      <w:r>
        <w:t>[ ] Each assessment item is linked to a specific CLO</w:t>
      </w:r>
    </w:p>
    <w:p/>
    <w:p>
      <w:pPr>
        <w:ind w:left="680"/>
      </w:pPr>
      <w:r>
        <w:rPr>
          <w:rFonts w:ascii="Arial" w:hAnsi="Arial"/>
        </w:rPr>
        <w:t xml:space="preserve">•  </w:t>
      </w:r>
      <w:r>
        <w:t>[ ] Bloom's levels are accurately assigned to each assessment item</w:t>
      </w:r>
    </w:p>
    <w:p/>
    <w:p>
      <w:pPr>
        <w:ind w:left="680"/>
      </w:pPr>
      <w:r>
        <w:rPr>
          <w:rFonts w:ascii="Arial" w:hAnsi="Arial"/>
        </w:rPr>
        <w:t xml:space="preserve">•  </w:t>
      </w:r>
      <w:r>
        <w:t>[ ] Content coverage aligns with stated CLOs (no content without a CLO; no CLO without content)</w:t>
      </w:r>
    </w:p>
    <w:p>
      <w:pPr>
        <w:pStyle w:val="Heading3"/>
      </w:pPr>
      <w:r>
        <w:t>2.2 Content Chunking and Flow</w:t>
      </w:r>
    </w:p>
    <w:p/>
    <w:p>
      <w:pPr>
        <w:ind w:left="680"/>
      </w:pPr>
      <w:r>
        <w:rPr>
          <w:rFonts w:ascii="Arial" w:hAnsi="Arial"/>
        </w:rPr>
        <w:t xml:space="preserve">•  </w:t>
      </w:r>
      <w:r>
        <w:t>[ ] Content is organized into logical sections/chunks of 5-7 minutes of learning time each</w:t>
      </w:r>
    </w:p>
    <w:p/>
    <w:p>
      <w:pPr>
        <w:ind w:left="680"/>
      </w:pPr>
      <w:r>
        <w:rPr>
          <w:rFonts w:ascii="Arial" w:hAnsi="Arial"/>
        </w:rPr>
        <w:t xml:space="preserve">•  </w:t>
      </w:r>
      <w:r>
        <w:t>[ ] Each section has a clear purpose statement or advance organizer</w:t>
      </w:r>
    </w:p>
    <w:p/>
    <w:p>
      <w:pPr>
        <w:ind w:left="680"/>
      </w:pPr>
      <w:r>
        <w:rPr>
          <w:rFonts w:ascii="Arial" w:hAnsi="Arial"/>
        </w:rPr>
        <w:t xml:space="preserve">•  </w:t>
      </w:r>
      <w:r>
        <w:t>[ ] Transitions between sections are smooth and logical</w:t>
      </w:r>
    </w:p>
    <w:p/>
    <w:p>
      <w:pPr>
        <w:ind w:left="680"/>
      </w:pPr>
      <w:r>
        <w:rPr>
          <w:rFonts w:ascii="Arial" w:hAnsi="Arial"/>
        </w:rPr>
        <w:t xml:space="preserve">•  </w:t>
      </w:r>
      <w:r>
        <w:t>[ ] Cognitive load is managed (no section introduces more than 3-4 new concepts)</w:t>
      </w:r>
    </w:p>
    <w:p/>
    <w:p>
      <w:pPr>
        <w:ind w:left="680"/>
      </w:pPr>
      <w:r>
        <w:rPr>
          <w:rFonts w:ascii="Arial" w:hAnsi="Arial"/>
        </w:rPr>
        <w:t xml:space="preserve">•  </w:t>
      </w:r>
      <w:r>
        <w:t>[ ] Summary or synthesis activities appear at appropriate intervals</w:t>
      </w:r>
    </w:p>
    <w:p>
      <w:pPr>
        <w:pStyle w:val="Heading3"/>
      </w:pPr>
      <w:r>
        <w:t>2.3 Assessment Design</w:t>
      </w:r>
    </w:p>
    <w:p/>
    <w:p>
      <w:pPr>
        <w:ind w:left="680"/>
      </w:pPr>
      <w:r>
        <w:rPr>
          <w:rFonts w:ascii="Arial" w:hAnsi="Arial"/>
        </w:rPr>
        <w:t xml:space="preserve">•  </w:t>
      </w:r>
      <w:r>
        <w:t>[ ] Multiple choice items have exactly 4 options each</w:t>
      </w:r>
    </w:p>
    <w:p/>
    <w:p>
      <w:pPr>
        <w:ind w:left="680"/>
      </w:pPr>
      <w:r>
        <w:rPr>
          <w:rFonts w:ascii="Arial" w:hAnsi="Arial"/>
        </w:rPr>
        <w:t xml:space="preserve">•  </w:t>
      </w:r>
      <w:r>
        <w:t>[ ] Multiple choice items have one unambiguously correct answer</w:t>
      </w:r>
    </w:p>
    <w:p/>
    <w:p>
      <w:pPr>
        <w:ind w:left="680"/>
      </w:pPr>
      <w:r>
        <w:rPr>
          <w:rFonts w:ascii="Arial" w:hAnsi="Arial"/>
        </w:rPr>
        <w:t xml:space="preserve">•  </w:t>
      </w:r>
      <w:r>
        <w:t>[ ] Multiple select items clearly indicate "select all that apply"</w:t>
      </w:r>
    </w:p>
    <w:p/>
    <w:p>
      <w:pPr>
        <w:ind w:left="680"/>
      </w:pPr>
      <w:r>
        <w:rPr>
          <w:rFonts w:ascii="Arial" w:hAnsi="Arial"/>
        </w:rPr>
        <w:t xml:space="preserve">•  </w:t>
      </w:r>
      <w:r>
        <w:t>[ ] All distractors are plausible and represent common misconceptions</w:t>
      </w:r>
    </w:p>
    <w:p/>
    <w:p>
      <w:pPr>
        <w:ind w:left="680"/>
      </w:pPr>
      <w:r>
        <w:rPr>
          <w:rFonts w:ascii="Arial" w:hAnsi="Arial"/>
        </w:rPr>
        <w:t xml:space="preserve">•  </w:t>
      </w:r>
      <w:r>
        <w:t>[ ] Feedback is provided for both correct and incorrect responses</w:t>
      </w:r>
    </w:p>
    <w:p/>
    <w:p>
      <w:pPr>
        <w:ind w:left="680"/>
      </w:pPr>
      <w:r>
        <w:rPr>
          <w:rFonts w:ascii="Arial" w:hAnsi="Arial"/>
        </w:rPr>
        <w:t xml:space="preserve">•  </w:t>
      </w:r>
      <w:r>
        <w:t xml:space="preserve">[ ] Feedback explains </w:t>
      </w:r>
      <w:r>
        <w:rPr>
          <w:i/>
        </w:rPr>
        <w:t>why</w:t>
      </w:r>
      <w:r>
        <w:t xml:space="preserve"> the answer is correct or incorrect (not just "Correct!" or "Try again")</w:t>
      </w:r>
    </w:p>
    <w:p/>
    <w:p>
      <w:pPr>
        <w:ind w:left="680"/>
      </w:pPr>
      <w:r>
        <w:rPr>
          <w:rFonts w:ascii="Arial" w:hAnsi="Arial"/>
        </w:rPr>
        <w:t xml:space="preserve">•  </w:t>
      </w:r>
      <w:r>
        <w:t>[ ] Scenario-based items include clear rubrics with defined performance levels</w:t>
      </w:r>
    </w:p>
    <w:p/>
    <w:p>
      <w:pPr>
        <w:ind w:left="680"/>
      </w:pPr>
      <w:r>
        <w:rPr>
          <w:rFonts w:ascii="Arial" w:hAnsi="Arial"/>
        </w:rPr>
        <w:t xml:space="preserve">•  </w:t>
      </w:r>
      <w:r>
        <w:t>[ ] Reflection prompts include facilitator guidance</w:t>
      </w:r>
    </w:p>
    <w:p/>
    <w:p>
      <w:pPr>
        <w:ind w:left="680"/>
      </w:pPr>
      <w:r>
        <w:rPr>
          <w:rFonts w:ascii="Arial" w:hAnsi="Arial"/>
        </w:rPr>
        <w:t xml:space="preserve">•  </w:t>
      </w:r>
      <w:r>
        <w:t>[ ] Matching items have clear, unambiguous pairings</w:t>
      </w:r>
    </w:p>
    <w:p/>
    <w:p>
      <w:pPr>
        <w:ind w:left="680"/>
      </w:pPr>
      <w:r>
        <w:rPr>
          <w:rFonts w:ascii="Arial" w:hAnsi="Arial"/>
        </w:rPr>
        <w:t xml:space="preserve">•  </w:t>
      </w:r>
      <w:r>
        <w:t>[ ] No assessment item contains unintentional cues to the correct answer (e.g., grammatical consistency, length bias)</w:t>
      </w:r>
    </w:p>
    <w:p>
      <w:pPr>
        <w:pStyle w:val="Heading3"/>
      </w:pPr>
      <w:r>
        <w:t>2.4 Engagement and Interactivity</w:t>
      </w:r>
    </w:p>
    <w:p/>
    <w:p>
      <w:pPr>
        <w:ind w:left="680"/>
      </w:pPr>
      <w:r>
        <w:rPr>
          <w:rFonts w:ascii="Arial" w:hAnsi="Arial"/>
        </w:rPr>
        <w:t xml:space="preserve">•  </w:t>
      </w:r>
      <w:r>
        <w:t>[ ] At least one interactive element per major section (scenario, reflection, knowledge check)</w:t>
      </w:r>
    </w:p>
    <w:p/>
    <w:p>
      <w:pPr>
        <w:ind w:left="680"/>
      </w:pPr>
      <w:r>
        <w:rPr>
          <w:rFonts w:ascii="Arial" w:hAnsi="Arial"/>
        </w:rPr>
        <w:t xml:space="preserve">•  </w:t>
      </w:r>
      <w:r>
        <w:t>[ ] Scenarios reflect realistic UHN/Toronto healthcare contexts</w:t>
      </w:r>
    </w:p>
    <w:p/>
    <w:p>
      <w:pPr>
        <w:ind w:left="680"/>
      </w:pPr>
      <w:r>
        <w:rPr>
          <w:rFonts w:ascii="Arial" w:hAnsi="Arial"/>
        </w:rPr>
        <w:t xml:space="preserve">•  </w:t>
      </w:r>
      <w:r>
        <w:t>[ ] Branching scenarios have clear best/acceptable/poor pathways with distinct consequences</w:t>
      </w:r>
    </w:p>
    <w:p/>
    <w:p>
      <w:pPr>
        <w:ind w:left="680"/>
      </w:pPr>
      <w:r>
        <w:rPr>
          <w:rFonts w:ascii="Arial" w:hAnsi="Arial"/>
        </w:rPr>
        <w:t xml:space="preserve">•  </w:t>
      </w:r>
      <w:r>
        <w:t>[ ] Reflection prompts connect to the learner's own role and context (MAP activity)</w:t>
      </w:r>
    </w:p>
    <w:p>
      <w:r/>
      <w:r>
        <w:rPr>
          <w:b/>
        </w:rPr>
        <w:t>Instructional Design Comments:</w:t>
      </w:r>
      <w:r/>
    </w:p>
    <w:p>
      <w:pPr>
        <w:spacing w:before="120" w:after="120"/>
      </w:pPr>
      <w:r>
        <w:rPr>
          <w:color w:val="CCCCCC"/>
          <w:sz w:val="16"/>
        </w:rPr>
        <w:t>──────────────────────────────────────────────────</w:t>
      </w:r>
    </w:p>
    <w:p>
      <w:pPr>
        <w:pStyle w:val="Heading2"/>
      </w:pPr>
      <w:r>
        <w:t>3. Content Quality</w:t>
      </w:r>
    </w:p>
    <w:p>
      <w:pPr>
        <w:pStyle w:val="Heading3"/>
      </w:pPr>
      <w:r>
        <w:t>3.1 Plain Language</w:t>
      </w:r>
    </w:p>
    <w:p/>
    <w:p>
      <w:pPr>
        <w:ind w:left="680"/>
      </w:pPr>
      <w:r>
        <w:rPr>
          <w:rFonts w:ascii="Arial" w:hAnsi="Arial"/>
        </w:rPr>
        <w:t xml:space="preserve">•  </w:t>
      </w:r>
      <w:r>
        <w:t>[ ] Content uses active voice predominantly</w:t>
      </w:r>
    </w:p>
    <w:p/>
    <w:p>
      <w:pPr>
        <w:ind w:left="680"/>
      </w:pPr>
      <w:r>
        <w:rPr>
          <w:rFonts w:ascii="Arial" w:hAnsi="Arial"/>
        </w:rPr>
        <w:t xml:space="preserve">•  </w:t>
      </w:r>
      <w:r>
        <w:t>[ ] Sentences are direct and concise</w:t>
      </w:r>
    </w:p>
    <w:p/>
    <w:p>
      <w:pPr>
        <w:ind w:left="680"/>
      </w:pPr>
      <w:r>
        <w:rPr>
          <w:rFonts w:ascii="Arial" w:hAnsi="Arial"/>
        </w:rPr>
        <w:t xml:space="preserve">•  </w:t>
      </w:r>
      <w:r>
        <w:t>[ ] Instructions use imperative mood ("Select the best answer" not "The learner should select the best answer")</w:t>
      </w:r>
    </w:p>
    <w:p/>
    <w:p>
      <w:pPr>
        <w:ind w:left="680"/>
      </w:pPr>
      <w:r>
        <w:rPr>
          <w:rFonts w:ascii="Arial" w:hAnsi="Arial"/>
        </w:rPr>
        <w:t xml:space="preserve">•  </w:t>
      </w:r>
      <w:r>
        <w:t>[ ] Paragraphs begin with the main point</w:t>
      </w:r>
    </w:p>
    <w:p/>
    <w:p>
      <w:pPr>
        <w:ind w:left="680"/>
      </w:pPr>
      <w:r>
        <w:rPr>
          <w:rFonts w:ascii="Arial" w:hAnsi="Arial"/>
        </w:rPr>
        <w:t xml:space="preserve">•  </w:t>
      </w:r>
      <w:r>
        <w:t>[ ] No unnecessary nominalizations (e.g., "make a decision" should be "decide")</w:t>
      </w:r>
    </w:p>
    <w:p>
      <w:pPr>
        <w:pStyle w:val="Heading3"/>
      </w:pPr>
      <w:r>
        <w:t>3.2 Acronyms and Terminology</w:t>
      </w:r>
    </w:p>
    <w:p/>
    <w:p>
      <w:pPr>
        <w:ind w:left="680"/>
      </w:pPr>
      <w:r>
        <w:rPr>
          <w:rFonts w:ascii="Arial" w:hAnsi="Arial"/>
        </w:rPr>
        <w:t xml:space="preserve">•  </w:t>
      </w:r>
      <w:r>
        <w:t>[ ] All acronyms are spelled out on first use (AODA, OHRC, IASR, WCAG, OHIP, ASL, CLO, MAP, UHN, CRPD)</w:t>
      </w:r>
    </w:p>
    <w:p/>
    <w:p>
      <w:pPr>
        <w:ind w:left="680"/>
      </w:pPr>
      <w:r>
        <w:rPr>
          <w:rFonts w:ascii="Arial" w:hAnsi="Arial"/>
        </w:rPr>
        <w:t xml:space="preserve">•  </w:t>
      </w:r>
      <w:r>
        <w:t>[ ] A glossary or reference list is provided for recurring technical terms</w:t>
      </w:r>
    </w:p>
    <w:p/>
    <w:p>
      <w:pPr>
        <w:ind w:left="680"/>
      </w:pPr>
      <w:r>
        <w:rPr>
          <w:rFonts w:ascii="Arial" w:hAnsi="Arial"/>
        </w:rPr>
        <w:t xml:space="preserve">•  </w:t>
      </w:r>
      <w:r>
        <w:t>[ ] Medical and legal terminology is explained in plain language when used</w:t>
      </w:r>
    </w:p>
    <w:p/>
    <w:p>
      <w:pPr>
        <w:ind w:left="680"/>
      </w:pPr>
      <w:r>
        <w:rPr>
          <w:rFonts w:ascii="Arial" w:hAnsi="Arial"/>
        </w:rPr>
        <w:t xml:space="preserve">•  </w:t>
      </w:r>
      <w:r>
        <w:t>[ ] Terminology is consistent throughout the guide (e.g., do not alternate between "accommodation" and "modification" if the same concept is intended)</w:t>
      </w:r>
    </w:p>
    <w:p>
      <w:pPr>
        <w:pStyle w:val="Heading3"/>
      </w:pPr>
      <w:r>
        <w:t>3.3 Inclusive Language</w:t>
      </w:r>
    </w:p>
    <w:p/>
    <w:p>
      <w:pPr>
        <w:ind w:left="680"/>
      </w:pPr>
      <w:r>
        <w:rPr>
          <w:rFonts w:ascii="Arial" w:hAnsi="Arial"/>
        </w:rPr>
        <w:t xml:space="preserve">•  </w:t>
      </w:r>
      <w:r>
        <w:t>[ ] Person-first language is used consistently unless identity-first language is the stated preference of the community (e.g., Deaf community, autistic community)</w:t>
      </w:r>
    </w:p>
    <w:p/>
    <w:p>
      <w:pPr>
        <w:ind w:left="680"/>
      </w:pPr>
      <w:r>
        <w:rPr>
          <w:rFonts w:ascii="Arial" w:hAnsi="Arial"/>
        </w:rPr>
        <w:t xml:space="preserve">•  </w:t>
      </w:r>
      <w:r>
        <w:t>[ ] Language choices are explained where conventions may vary (e.g., "Deaf" with capital D)</w:t>
      </w:r>
    </w:p>
    <w:p/>
    <w:p>
      <w:pPr>
        <w:ind w:left="680"/>
      </w:pPr>
      <w:r>
        <w:rPr>
          <w:rFonts w:ascii="Arial" w:hAnsi="Arial"/>
        </w:rPr>
        <w:t xml:space="preserve">•  </w:t>
      </w:r>
      <w:r>
        <w:t>[ ] Patient descriptions are respectful and avoid deficit framing or pity narratives</w:t>
      </w:r>
    </w:p>
    <w:p/>
    <w:p>
      <w:pPr>
        <w:ind w:left="680"/>
      </w:pPr>
      <w:r>
        <w:rPr>
          <w:rFonts w:ascii="Arial" w:hAnsi="Arial"/>
        </w:rPr>
        <w:t xml:space="preserve">•  </w:t>
      </w:r>
      <w:r>
        <w:t>[ ] Diversity of patient and staff identities is represented across scenarios and examples (age, race, gender, language, disability type)</w:t>
      </w:r>
    </w:p>
    <w:p/>
    <w:p>
      <w:pPr>
        <w:ind w:left="680"/>
      </w:pPr>
      <w:r>
        <w:rPr>
          <w:rFonts w:ascii="Arial" w:hAnsi="Arial"/>
        </w:rPr>
        <w:t xml:space="preserve">•  </w:t>
      </w:r>
      <w:r>
        <w:t>[ ] No gendered language is used unnecessarily (e.g., "they" rather than "he or she" for generic references)</w:t>
      </w:r>
    </w:p>
    <w:p/>
    <w:p>
      <w:pPr>
        <w:ind w:left="680"/>
      </w:pPr>
      <w:r>
        <w:rPr>
          <w:rFonts w:ascii="Arial" w:hAnsi="Arial"/>
        </w:rPr>
        <w:t xml:space="preserve">•  </w:t>
      </w:r>
      <w:r>
        <w:t>[ ] Indigenous content uses appropriate terminology and has been reviewed by Indigenous Health SME</w:t>
      </w:r>
    </w:p>
    <w:p>
      <w:pPr>
        <w:pStyle w:val="Heading3"/>
      </w:pPr>
      <w:r>
        <w:t>3.4 Accuracy and Currency</w:t>
      </w:r>
    </w:p>
    <w:p/>
    <w:p>
      <w:pPr>
        <w:ind w:left="680"/>
      </w:pPr>
      <w:r>
        <w:rPr>
          <w:rFonts w:ascii="Arial" w:hAnsi="Arial"/>
        </w:rPr>
        <w:t xml:space="preserve">•  </w:t>
      </w:r>
      <w:r>
        <w:t>[ ] All APA 7 citations are correctly formatted (author, date, title, source, DOI/URL)</w:t>
      </w:r>
    </w:p>
    <w:p/>
    <w:p>
      <w:pPr>
        <w:ind w:left="680"/>
      </w:pPr>
      <w:r>
        <w:rPr>
          <w:rFonts w:ascii="Arial" w:hAnsi="Arial"/>
        </w:rPr>
        <w:t xml:space="preserve">•  </w:t>
      </w:r>
      <w:r>
        <w:t>[ ] All legislative references are current and cite correct sections</w:t>
      </w:r>
    </w:p>
    <w:p/>
    <w:p>
      <w:pPr>
        <w:ind w:left="680"/>
      </w:pPr>
      <w:r>
        <w:rPr>
          <w:rFonts w:ascii="Arial" w:hAnsi="Arial"/>
        </w:rPr>
        <w:t xml:space="preserve">•  </w:t>
      </w:r>
      <w:r>
        <w:t>[ ] All URLs in references have been verified as active</w:t>
      </w:r>
    </w:p>
    <w:p/>
    <w:p>
      <w:pPr>
        <w:ind w:left="680"/>
      </w:pPr>
      <w:r>
        <w:rPr>
          <w:rFonts w:ascii="Arial" w:hAnsi="Arial"/>
        </w:rPr>
        <w:t xml:space="preserve">•  </w:t>
      </w:r>
      <w:r>
        <w:t>[ ] Statistics and data are from sources published within the last 5 years (or are foundational/seminal works)</w:t>
      </w:r>
    </w:p>
    <w:p/>
    <w:p>
      <w:pPr>
        <w:ind w:left="680"/>
      </w:pPr>
      <w:r>
        <w:rPr>
          <w:rFonts w:ascii="Arial" w:hAnsi="Arial"/>
        </w:rPr>
        <w:t xml:space="preserve">•  </w:t>
      </w:r>
      <w:r>
        <w:t>[ ] Content reflects current Ontario/Canadian legislative landscape (post-2025 AODA requirements)</w:t>
      </w:r>
    </w:p>
    <w:p>
      <w:r/>
      <w:r>
        <w:rPr>
          <w:b/>
        </w:rPr>
        <w:t>Content Quality Comments:</w:t>
      </w:r>
      <w:r/>
    </w:p>
    <w:p>
      <w:pPr>
        <w:spacing w:before="120" w:after="120"/>
      </w:pPr>
      <w:r>
        <w:rPr>
          <w:color w:val="CCCCCC"/>
          <w:sz w:val="16"/>
        </w:rPr>
        <w:t>──────────────────────────────────────────────────</w:t>
      </w:r>
    </w:p>
    <w:p>
      <w:pPr>
        <w:pStyle w:val="Heading2"/>
      </w:pPr>
      <w:r>
        <w:t>4. SME Approval</w:t>
      </w:r>
    </w:p>
    <w:p/>
    <w:p>
      <w:pPr>
        <w:ind w:left="680"/>
      </w:pPr>
      <w:r>
        <w:rPr>
          <w:rFonts w:ascii="Arial" w:hAnsi="Arial"/>
        </w:rPr>
        <w:t xml:space="preserve">•  </w:t>
      </w:r>
      <w:r>
        <w:t>[ ] SME Review Package (10 questions) has been distributed to identified reviewers</w:t>
      </w:r>
    </w:p>
    <w:p/>
    <w:p>
      <w:pPr>
        <w:ind w:left="680"/>
      </w:pPr>
      <w:r>
        <w:rPr>
          <w:rFonts w:ascii="Arial" w:hAnsi="Arial"/>
        </w:rPr>
        <w:t xml:space="preserve">•  </w:t>
      </w:r>
      <w:r>
        <w:t>[ ] All Critical-risk questions (1-3) have received reviewer responses</w:t>
      </w:r>
    </w:p>
    <w:p/>
    <w:p>
      <w:pPr>
        <w:ind w:left="680"/>
      </w:pPr>
      <w:r>
        <w:rPr>
          <w:rFonts w:ascii="Arial" w:hAnsi="Arial"/>
        </w:rPr>
        <w:t xml:space="preserve">•  </w:t>
      </w:r>
      <w:r>
        <w:t>[ ] All High-risk questions (4-6) have received reviewer responses</w:t>
      </w:r>
    </w:p>
    <w:p/>
    <w:p>
      <w:pPr>
        <w:ind w:left="680"/>
      </w:pPr>
      <w:r>
        <w:rPr>
          <w:rFonts w:ascii="Arial" w:hAnsi="Arial"/>
        </w:rPr>
        <w:t xml:space="preserve">•  </w:t>
      </w:r>
      <w:r>
        <w:t>[ ] Medium and Low-risk questions have been reviewed</w:t>
      </w:r>
    </w:p>
    <w:p/>
    <w:p>
      <w:pPr>
        <w:ind w:left="680"/>
      </w:pPr>
      <w:r>
        <w:rPr>
          <w:rFonts w:ascii="Arial" w:hAnsi="Arial"/>
        </w:rPr>
        <w:t xml:space="preserve">•  </w:t>
      </w:r>
      <w:r>
        <w:t>[ ] All conditional approval items have been addressed</w:t>
      </w:r>
    </w:p>
    <w:p/>
    <w:p>
      <w:pPr>
        <w:ind w:left="680"/>
      </w:pPr>
      <w:r>
        <w:rPr>
          <w:rFonts w:ascii="Arial" w:hAnsi="Arial"/>
        </w:rPr>
        <w:t xml:space="preserve">•  </w:t>
      </w:r>
      <w:r>
        <w:t>[ ] Reviewer sign-off obtained from at least one reviewer per risk category</w:t>
      </w:r>
    </w:p>
    <w:p/>
    <w:p>
      <w:pPr>
        <w:ind w:left="680"/>
      </w:pPr>
      <w:r>
        <w:rPr>
          <w:rFonts w:ascii="Arial" w:hAnsi="Arial"/>
        </w:rPr>
        <w:t xml:space="preserve">•  </w:t>
      </w:r>
      <w:r>
        <w:t>[ ] Indigenous Health SME or Elder has reviewed Scenario 3 (Employee Awareness) and approved the Indigenous patient depiction</w:t>
      </w:r>
    </w:p>
    <w:p/>
    <w:p>
      <w:pPr>
        <w:ind w:left="680"/>
      </w:pPr>
      <w:r>
        <w:rPr>
          <w:rFonts w:ascii="Arial" w:hAnsi="Arial"/>
        </w:rPr>
        <w:t xml:space="preserve">•  </w:t>
      </w:r>
      <w:r>
        <w:t>[ ] Legal/Policy SME has confirmed AODA and OHRC interpretations</w:t>
      </w:r>
    </w:p>
    <w:p>
      <w:r/>
      <w:r>
        <w:rPr>
          <w:b/>
        </w:rPr>
        <w:t>SME Approval Comments:</w:t>
      </w:r>
      <w:r/>
    </w:p>
    <w:p>
      <w:pPr>
        <w:spacing w:before="120" w:after="120"/>
      </w:pPr>
      <w:r>
        <w:rPr>
          <w:color w:val="CCCCCC"/>
          <w:sz w:val="16"/>
        </w:rPr>
        <w:t>──────────────────────────────────────────────────</w:t>
      </w:r>
    </w:p>
    <w:p>
      <w:pPr>
        <w:pStyle w:val="Heading2"/>
      </w:pPr>
      <w:r>
        <w:t>5. Media Readiness</w:t>
      </w:r>
    </w:p>
    <w:p>
      <w:pPr>
        <w:pStyle w:val="Heading3"/>
      </w:pPr>
      <w:r>
        <w:t>5.1 Images and Illustrations</w:t>
      </w:r>
    </w:p>
    <w:p/>
    <w:p>
      <w:pPr>
        <w:ind w:left="680"/>
      </w:pPr>
      <w:r>
        <w:rPr>
          <w:rFonts w:ascii="Arial" w:hAnsi="Arial"/>
        </w:rPr>
        <w:t xml:space="preserve">•  </w:t>
      </w:r>
      <w:r>
        <w:t>[ ] Image generation prompts have been finalized for all 3 branching scenarios</w:t>
      </w:r>
    </w:p>
    <w:p/>
    <w:p>
      <w:pPr>
        <w:ind w:left="680"/>
      </w:pPr>
      <w:r>
        <w:rPr>
          <w:rFonts w:ascii="Arial" w:hAnsi="Arial"/>
        </w:rPr>
        <w:t xml:space="preserve">•  </w:t>
      </w:r>
      <w:r>
        <w:t>[ ] Generated images have been reviewed for inclusive representation (no stereotyping, no pity framing)</w:t>
      </w:r>
    </w:p>
    <w:p/>
    <w:p>
      <w:pPr>
        <w:ind w:left="680"/>
      </w:pPr>
      <w:r>
        <w:rPr>
          <w:rFonts w:ascii="Arial" w:hAnsi="Arial"/>
        </w:rPr>
        <w:t xml:space="preserve">•  </w:t>
      </w:r>
      <w:r>
        <w:t>[ ] Images are available in required resolutions for LMS/delivery platform</w:t>
      </w:r>
    </w:p>
    <w:p/>
    <w:p>
      <w:pPr>
        <w:ind w:left="680"/>
      </w:pPr>
      <w:r>
        <w:rPr>
          <w:rFonts w:ascii="Arial" w:hAnsi="Arial"/>
        </w:rPr>
        <w:t xml:space="preserve">•  </w:t>
      </w:r>
      <w:r>
        <w:t>[ ] Image file sizes are optimized for web delivery (target: under 500 KB per image)</w:t>
      </w:r>
    </w:p>
    <w:p/>
    <w:p>
      <w:pPr>
        <w:ind w:left="680"/>
      </w:pPr>
      <w:r>
        <w:rPr>
          <w:rFonts w:ascii="Arial" w:hAnsi="Arial"/>
        </w:rPr>
        <w:t xml:space="preserve">•  </w:t>
      </w:r>
      <w:r>
        <w:t>[ ] Images do not contain embedded text that would need to be accessible separately</w:t>
      </w:r>
    </w:p>
    <w:p>
      <w:pPr>
        <w:pStyle w:val="Heading3"/>
      </w:pPr>
      <w:r>
        <w:t>5.2 Video and Audio (if applicable)</w:t>
      </w:r>
    </w:p>
    <w:p/>
    <w:p>
      <w:pPr>
        <w:ind w:left="680"/>
      </w:pPr>
      <w:r>
        <w:rPr>
          <w:rFonts w:ascii="Arial" w:hAnsi="Arial"/>
        </w:rPr>
        <w:t xml:space="preserve">•  </w:t>
      </w:r>
      <w:r>
        <w:t>[ ] Video scripts have been reviewed and approved</w:t>
      </w:r>
    </w:p>
    <w:p/>
    <w:p>
      <w:pPr>
        <w:ind w:left="680"/>
      </w:pPr>
      <w:r>
        <w:rPr>
          <w:rFonts w:ascii="Arial" w:hAnsi="Arial"/>
        </w:rPr>
        <w:t xml:space="preserve">•  </w:t>
      </w:r>
      <w:r>
        <w:t>[ ] Caption files (.srt or .vtt) are prepared for all video content</w:t>
      </w:r>
    </w:p>
    <w:p/>
    <w:p>
      <w:pPr>
        <w:ind w:left="680"/>
      </w:pPr>
      <w:r>
        <w:rPr>
          <w:rFonts w:ascii="Arial" w:hAnsi="Arial"/>
        </w:rPr>
        <w:t xml:space="preserve">•  </w:t>
      </w:r>
      <w:r>
        <w:t>[ ] Transcripts are available for all audio content</w:t>
      </w:r>
    </w:p>
    <w:p/>
    <w:p>
      <w:pPr>
        <w:ind w:left="680"/>
      </w:pPr>
      <w:r>
        <w:rPr>
          <w:rFonts w:ascii="Arial" w:hAnsi="Arial"/>
        </w:rPr>
        <w:t xml:space="preserve">•  </w:t>
      </w:r>
      <w:r>
        <w:t>[ ] Media player is keyboard-accessible and supports captions</w:t>
      </w:r>
    </w:p>
    <w:p>
      <w:pPr>
        <w:pStyle w:val="Heading3"/>
      </w:pPr>
      <w:r>
        <w:t>5.3 Interactive Elements</w:t>
      </w:r>
    </w:p>
    <w:p/>
    <w:p>
      <w:pPr>
        <w:ind w:left="680"/>
      </w:pPr>
      <w:r>
        <w:rPr>
          <w:rFonts w:ascii="Arial" w:hAnsi="Arial"/>
        </w:rPr>
        <w:t xml:space="preserve">•  </w:t>
      </w:r>
      <w:r>
        <w:t>[ ] All branching scenario interactions have been prototyped or wireframed</w:t>
      </w:r>
    </w:p>
    <w:p/>
    <w:p>
      <w:pPr>
        <w:ind w:left="680"/>
      </w:pPr>
      <w:r>
        <w:rPr>
          <w:rFonts w:ascii="Arial" w:hAnsi="Arial"/>
        </w:rPr>
        <w:t xml:space="preserve">•  </w:t>
      </w:r>
      <w:r>
        <w:t>[ ] Matching activity (MT-01) has been built and tested in the authoring tool</w:t>
      </w:r>
    </w:p>
    <w:p/>
    <w:p>
      <w:pPr>
        <w:ind w:left="680"/>
      </w:pPr>
      <w:r>
        <w:rPr>
          <w:rFonts w:ascii="Arial" w:hAnsi="Arial"/>
        </w:rPr>
        <w:t xml:space="preserve">•  </w:t>
      </w:r>
      <w:r>
        <w:t>[ ] All interactive elements function correctly on desktop and mobile</w:t>
      </w:r>
    </w:p>
    <w:p/>
    <w:p>
      <w:pPr>
        <w:ind w:left="680"/>
      </w:pPr>
      <w:r>
        <w:rPr>
          <w:rFonts w:ascii="Arial" w:hAnsi="Arial"/>
        </w:rPr>
        <w:t xml:space="preserve">•  </w:t>
      </w:r>
      <w:r>
        <w:t>[ ] Fallback content is available for any interaction that may not render on all devices</w:t>
      </w:r>
    </w:p>
    <w:p>
      <w:r/>
      <w:r>
        <w:rPr>
          <w:b/>
        </w:rPr>
        <w:t>Media Readiness Comments:</w:t>
      </w:r>
      <w:r/>
    </w:p>
    <w:p>
      <w:pPr>
        <w:spacing w:before="120" w:after="120"/>
      </w:pPr>
      <w:r>
        <w:rPr>
          <w:color w:val="CCCCCC"/>
          <w:sz w:val="16"/>
        </w:rPr>
        <w:t>──────────────────────────────────────────────────</w:t>
      </w:r>
    </w:p>
    <w:p>
      <w:pPr>
        <w:pStyle w:val="Heading2"/>
      </w:pPr>
      <w:r>
        <w:t>6. Series Consistency</w:t>
      </w:r>
    </w:p>
    <w:p>
      <w:pPr>
        <w:pStyle w:val="Heading3"/>
      </w:pPr>
      <w:r>
        <w:t>6.1 Decision Path Framework</w:t>
      </w:r>
    </w:p>
    <w:p/>
    <w:p>
      <w:pPr>
        <w:ind w:left="680"/>
      </w:pPr>
      <w:r>
        <w:rPr>
          <w:rFonts w:ascii="Arial" w:hAnsi="Arial"/>
        </w:rPr>
        <w:t xml:space="preserve">•  </w:t>
      </w:r>
      <w:r>
        <w:t>[ ] Guide references the Decision Path framework consistently with the series overview</w:t>
      </w:r>
    </w:p>
    <w:p/>
    <w:p>
      <w:pPr>
        <w:ind w:left="680"/>
      </w:pPr>
      <w:r>
        <w:rPr>
          <w:rFonts w:ascii="Arial" w:hAnsi="Arial"/>
        </w:rPr>
        <w:t xml:space="preserve">•  </w:t>
      </w:r>
      <w:r>
        <w:t>[ ] Scenario choices align with the Decision Path quadrant model (best practice / acceptable / poor practice)</w:t>
      </w:r>
    </w:p>
    <w:p/>
    <w:p>
      <w:pPr>
        <w:ind w:left="680"/>
      </w:pPr>
      <w:r>
        <w:rPr>
          <w:rFonts w:ascii="Arial" w:hAnsi="Arial"/>
        </w:rPr>
        <w:t xml:space="preserve">•  </w:t>
      </w:r>
      <w:r>
        <w:t>[ ] Debriefs explicitly connect choices to the Decision Path framework</w:t>
      </w:r>
    </w:p>
    <w:p/>
    <w:p>
      <w:pPr>
        <w:ind w:left="680"/>
      </w:pPr>
      <w:r>
        <w:rPr>
          <w:rFonts w:ascii="Arial" w:hAnsi="Arial"/>
        </w:rPr>
        <w:t xml:space="preserve">•  </w:t>
      </w:r>
      <w:r>
        <w:t>[ ] Terminology for decision pathways is consistent with other guides in the series</w:t>
      </w:r>
    </w:p>
    <w:p>
      <w:pPr>
        <w:pStyle w:val="Heading3"/>
      </w:pPr>
      <w:r>
        <w:t>6.2 Quadrant Model</w:t>
      </w:r>
    </w:p>
    <w:p/>
    <w:p>
      <w:pPr>
        <w:ind w:left="680"/>
      </w:pPr>
      <w:r>
        <w:rPr>
          <w:rFonts w:ascii="Arial" w:hAnsi="Arial"/>
        </w:rPr>
        <w:t xml:space="preserve">•  </w:t>
      </w:r>
      <w:r>
        <w:t>[ ] The quadrant model (if used in this guide) is presented consistently with the series design</w:t>
      </w:r>
    </w:p>
    <w:p/>
    <w:p>
      <w:pPr>
        <w:ind w:left="680"/>
      </w:pPr>
      <w:r>
        <w:rPr>
          <w:rFonts w:ascii="Arial" w:hAnsi="Arial"/>
        </w:rPr>
        <w:t xml:space="preserve">•  </w:t>
      </w:r>
      <w:r>
        <w:t>[ ] Axes and labels match the series-wide quadrant model definition</w:t>
      </w:r>
    </w:p>
    <w:p/>
    <w:p>
      <w:pPr>
        <w:ind w:left="680"/>
      </w:pPr>
      <w:r>
        <w:rPr>
          <w:rFonts w:ascii="Arial" w:hAnsi="Arial"/>
        </w:rPr>
        <w:t xml:space="preserve">•  </w:t>
      </w:r>
      <w:r>
        <w:t>[ ] Visual representation of the quadrant model is consistent across guides</w:t>
      </w:r>
    </w:p>
    <w:p>
      <w:pPr>
        <w:pStyle w:val="Heading3"/>
      </w:pPr>
      <w:r>
        <w:t>6.3 Guiding Principles</w:t>
      </w:r>
    </w:p>
    <w:p/>
    <w:p>
      <w:pPr>
        <w:ind w:left="680"/>
      </w:pPr>
      <w:r>
        <w:rPr>
          <w:rFonts w:ascii="Arial" w:hAnsi="Arial"/>
        </w:rPr>
        <w:t xml:space="preserve">•  </w:t>
      </w:r>
      <w:r>
        <w:t>[ ] All 5 guiding principles referenced in this guide are consistent with the series-wide principle definitions</w:t>
      </w:r>
    </w:p>
    <w:p/>
    <w:p>
      <w:pPr>
        <w:ind w:left="680"/>
      </w:pPr>
      <w:r>
        <w:rPr>
          <w:rFonts w:ascii="Arial" w:hAnsi="Arial"/>
        </w:rPr>
        <w:t xml:space="preserve">•  </w:t>
      </w:r>
      <w:r>
        <w:t>[ ] Guiding principles are explicitly connected to scenario debriefs</w:t>
      </w:r>
    </w:p>
    <w:p/>
    <w:p>
      <w:pPr>
        <w:ind w:left="680"/>
      </w:pPr>
      <w:r>
        <w:rPr>
          <w:rFonts w:ascii="Arial" w:hAnsi="Arial"/>
        </w:rPr>
        <w:t xml:space="preserve">•  </w:t>
      </w:r>
      <w:r>
        <w:t>[ ] No new or conflicting principles are introduced without series-level approval</w:t>
      </w:r>
    </w:p>
    <w:p/>
    <w:p>
      <w:pPr>
        <w:ind w:left="680"/>
      </w:pPr>
      <w:r>
        <w:rPr>
          <w:rFonts w:ascii="Arial" w:hAnsi="Arial"/>
        </w:rPr>
        <w:t xml:space="preserve">•  </w:t>
      </w:r>
      <w:r>
        <w:t>[ ] Principle language matches the series glossary exactly</w:t>
      </w:r>
    </w:p>
    <w:p>
      <w:pPr>
        <w:pStyle w:val="Heading3"/>
      </w:pPr>
      <w:r>
        <w:t>6.4 MAP (My Accessibility Plan) Activity</w:t>
      </w:r>
    </w:p>
    <w:p/>
    <w:p>
      <w:pPr>
        <w:ind w:left="680"/>
      </w:pPr>
      <w:r>
        <w:rPr>
          <w:rFonts w:ascii="Arial" w:hAnsi="Arial"/>
        </w:rPr>
        <w:t xml:space="preserve">•  </w:t>
      </w:r>
      <w:r>
        <w:t>[ ] MAP reflection prompts in this guide build logically from the series introduction</w:t>
      </w:r>
    </w:p>
    <w:p/>
    <w:p>
      <w:pPr>
        <w:ind w:left="680"/>
      </w:pPr>
      <w:r>
        <w:rPr>
          <w:rFonts w:ascii="Arial" w:hAnsi="Arial"/>
        </w:rPr>
        <w:t xml:space="preserve">•  </w:t>
      </w:r>
      <w:r>
        <w:t>[ ] MAP instructions are consistent with how MAP is described in other guides</w:t>
      </w:r>
    </w:p>
    <w:p/>
    <w:p>
      <w:pPr>
        <w:ind w:left="680"/>
      </w:pPr>
      <w:r>
        <w:rPr>
          <w:rFonts w:ascii="Arial" w:hAnsi="Arial"/>
        </w:rPr>
        <w:t xml:space="preserve">•  </w:t>
      </w:r>
      <w:r>
        <w:t>[ ] Facilitator guidance for MAP is provided and consistent with series-wide MAP rubric</w:t>
      </w:r>
    </w:p>
    <w:p/>
    <w:p>
      <w:pPr>
        <w:ind w:left="680"/>
      </w:pPr>
      <w:r>
        <w:rPr>
          <w:rFonts w:ascii="Arial" w:hAnsi="Arial"/>
        </w:rPr>
        <w:t xml:space="preserve">•  </w:t>
      </w:r>
      <w:r>
        <w:t>[ ] MAP entries from this guide are designed to be carried forward into subsequent guides</w:t>
      </w:r>
    </w:p>
    <w:p>
      <w:pPr>
        <w:pStyle w:val="Heading3"/>
      </w:pPr>
      <w:r>
        <w:t>6.5 Tone, Voice, and Visual Identity</w:t>
      </w:r>
    </w:p>
    <w:p/>
    <w:p>
      <w:pPr>
        <w:ind w:left="680"/>
      </w:pPr>
      <w:r>
        <w:rPr>
          <w:rFonts w:ascii="Arial" w:hAnsi="Arial"/>
        </w:rPr>
        <w:t xml:space="preserve">•  </w:t>
      </w:r>
      <w:r>
        <w:t>[ ] Tone is consistent with the series style guide (professional, approachable, empowering -- not preachy or compliance-driven)</w:t>
      </w:r>
    </w:p>
    <w:p/>
    <w:p>
      <w:pPr>
        <w:ind w:left="680"/>
      </w:pPr>
      <w:r>
        <w:rPr>
          <w:rFonts w:ascii="Arial" w:hAnsi="Arial"/>
        </w:rPr>
        <w:t xml:space="preserve">•  </w:t>
      </w:r>
      <w:r>
        <w:t>[ ] Voice is second person ("you") for direct instruction; third person for scenarios</w:t>
      </w:r>
    </w:p>
    <w:p/>
    <w:p>
      <w:pPr>
        <w:ind w:left="680"/>
      </w:pPr>
      <w:r>
        <w:rPr>
          <w:rFonts w:ascii="Arial" w:hAnsi="Arial"/>
        </w:rPr>
        <w:t xml:space="preserve">•  </w:t>
      </w:r>
      <w:r>
        <w:t>[ ] Visual identity (colours, fonts, layout) aligns with UHN brand and series design system</w:t>
      </w:r>
    </w:p>
    <w:p/>
    <w:p>
      <w:pPr>
        <w:ind w:left="680"/>
      </w:pPr>
      <w:r>
        <w:rPr>
          <w:rFonts w:ascii="Arial" w:hAnsi="Arial"/>
        </w:rPr>
        <w:t xml:space="preserve">•  </w:t>
      </w:r>
      <w:r>
        <w:t>[ ] Header/footer elements match series template</w:t>
      </w:r>
    </w:p>
    <w:p>
      <w:r/>
      <w:r>
        <w:rPr>
          <w:b/>
        </w:rPr>
        <w:t>Series Consistency Comments:</w:t>
      </w:r>
      <w:r/>
    </w:p>
    <w:p>
      <w:pPr>
        <w:spacing w:before="120" w:after="120"/>
      </w:pPr>
      <w:r>
        <w:rPr>
          <w:color w:val="CCCCCC"/>
          <w:sz w:val="16"/>
        </w:rPr>
        <w:t>──────────────────────────────────────────────────</w:t>
      </w:r>
    </w:p>
    <w:p>
      <w:pPr>
        <w:pStyle w:val="Heading2"/>
      </w:pPr>
      <w:r>
        <w:t>QA Summary</w:t>
      </w:r>
    </w:p>
    <w:tbl>
      <w:tblPr>
        <w:tblStyle w:val="TableGrid"/>
        <w:tblW w:type="auto" w:w="0"/>
        <w:jc w:val="center"/>
        <w:tblLayout w:type="autofit"/>
        <w:tblLook w:firstColumn="1" w:firstRow="1" w:lastColumn="0" w:lastRow="0" w:noHBand="0" w:noVBand="1" w:val="04A0"/>
      </w:tblPr>
      <w:tblGrid>
        <w:gridCol w:w="1671"/>
        <w:gridCol w:w="1671"/>
        <w:gridCol w:w="1671"/>
        <w:gridCol w:w="1671"/>
        <w:gridCol w:w="1671"/>
        <w:gridCol w:w="1671"/>
      </w:tblGrid>
      <w:tr>
        <w:tc>
          <w:tcPr>
            <w:tcW w:type="dxa" w:w="1671"/>
            <w:shd w:fill="192858" w:val="clear"/>
          </w:tcPr>
          <w:p>
            <w:pPr/>
            <w:r>
              <w:rPr>
                <w:b/>
                <w:color w:val="FFFFFF"/>
                <w:sz w:val="18"/>
              </w:rPr>
            </w:r>
            <w:r>
              <w:rPr>
                <w:b/>
                <w:color w:val="FFFFFF"/>
                <w:sz w:val="18"/>
              </w:rPr>
              <w:t>Category</w:t>
            </w:r>
          </w:p>
        </w:tc>
        <w:tc>
          <w:tcPr>
            <w:tcW w:type="dxa" w:w="1671"/>
            <w:shd w:fill="192858" w:val="clear"/>
          </w:tcPr>
          <w:p>
            <w:pPr/>
            <w:r>
              <w:rPr>
                <w:b/>
                <w:color w:val="FFFFFF"/>
                <w:sz w:val="18"/>
              </w:rPr>
            </w:r>
            <w:r>
              <w:rPr>
                <w:b/>
                <w:color w:val="FFFFFF"/>
                <w:sz w:val="18"/>
              </w:rPr>
              <w:t>Total Items</w:t>
            </w:r>
          </w:p>
        </w:tc>
        <w:tc>
          <w:tcPr>
            <w:tcW w:type="dxa" w:w="1671"/>
            <w:shd w:fill="192858" w:val="clear"/>
          </w:tcPr>
          <w:p>
            <w:pPr/>
            <w:r>
              <w:rPr>
                <w:b/>
                <w:color w:val="FFFFFF"/>
                <w:sz w:val="18"/>
              </w:rPr>
            </w:r>
            <w:r>
              <w:rPr>
                <w:b/>
                <w:color w:val="FFFFFF"/>
                <w:sz w:val="18"/>
              </w:rPr>
              <w:t>Pass</w:t>
            </w:r>
          </w:p>
        </w:tc>
        <w:tc>
          <w:tcPr>
            <w:tcW w:type="dxa" w:w="1671"/>
            <w:shd w:fill="192858" w:val="clear"/>
          </w:tcPr>
          <w:p>
            <w:pPr/>
            <w:r>
              <w:rPr>
                <w:b/>
                <w:color w:val="FFFFFF"/>
                <w:sz w:val="18"/>
              </w:rPr>
            </w:r>
            <w:r>
              <w:rPr>
                <w:b/>
                <w:color w:val="FFFFFF"/>
                <w:sz w:val="18"/>
              </w:rPr>
              <w:t>Fail</w:t>
            </w:r>
          </w:p>
        </w:tc>
        <w:tc>
          <w:tcPr>
            <w:tcW w:type="dxa" w:w="1671"/>
            <w:shd w:fill="192858" w:val="clear"/>
          </w:tcPr>
          <w:p>
            <w:pPr/>
            <w:r>
              <w:rPr>
                <w:b/>
                <w:color w:val="FFFFFF"/>
                <w:sz w:val="18"/>
              </w:rPr>
            </w:r>
            <w:r>
              <w:rPr>
                <w:b/>
                <w:color w:val="FFFFFF"/>
                <w:sz w:val="18"/>
              </w:rPr>
              <w:t>N/A</w:t>
            </w:r>
          </w:p>
        </w:tc>
        <w:tc>
          <w:tcPr>
            <w:tcW w:type="dxa" w:w="1671"/>
            <w:shd w:fill="192858" w:val="clear"/>
          </w:tcPr>
          <w:p>
            <w:pPr/>
            <w:r>
              <w:rPr>
                <w:b/>
                <w:color w:val="FFFFFF"/>
                <w:sz w:val="18"/>
              </w:rPr>
            </w:r>
            <w:r>
              <w:rPr>
                <w:b/>
                <w:color w:val="FFFFFF"/>
                <w:sz w:val="18"/>
              </w:rPr>
              <w:t>Notes</w:t>
            </w:r>
          </w:p>
        </w:tc>
      </w:tr>
      <w:tr>
        <w:tc>
          <w:tcPr>
            <w:tcW w:type="dxa" w:w="1671"/>
          </w:tcPr>
          <w:p>
            <w:pPr/>
            <w:r>
              <w:rPr>
                <w:sz w:val="18"/>
              </w:rPr>
            </w:r>
            <w:r>
              <w:rPr>
                <w:sz w:val="18"/>
              </w:rPr>
              <w:t>1. Accessibility</w:t>
            </w:r>
          </w:p>
        </w:tc>
        <w:tc>
          <w:tcPr>
            <w:tcW w:type="dxa" w:w="1671"/>
          </w:tcPr>
          <w:p>
            <w:pPr/>
            <w:r>
              <w:rPr>
                <w:sz w:val="18"/>
              </w:rPr>
            </w:r>
            <w:r>
              <w:rPr>
                <w:sz w:val="18"/>
              </w:rPr>
              <w:t>23</w:t>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r>
        <w:tc>
          <w:tcPr>
            <w:tcW w:type="dxa" w:w="1671"/>
          </w:tcPr>
          <w:p>
            <w:pPr/>
            <w:r>
              <w:rPr>
                <w:sz w:val="18"/>
              </w:rPr>
            </w:r>
            <w:r>
              <w:rPr>
                <w:sz w:val="18"/>
              </w:rPr>
              <w:t>2. Instructional Design</w:t>
            </w:r>
          </w:p>
        </w:tc>
        <w:tc>
          <w:tcPr>
            <w:tcW w:type="dxa" w:w="1671"/>
          </w:tcPr>
          <w:p>
            <w:pPr/>
            <w:r>
              <w:rPr>
                <w:sz w:val="18"/>
              </w:rPr>
            </w:r>
            <w:r>
              <w:rPr>
                <w:sz w:val="18"/>
              </w:rPr>
              <w:t>18</w:t>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r>
        <w:tc>
          <w:tcPr>
            <w:tcW w:type="dxa" w:w="1671"/>
          </w:tcPr>
          <w:p>
            <w:pPr/>
            <w:r>
              <w:rPr>
                <w:sz w:val="18"/>
              </w:rPr>
            </w:r>
            <w:r>
              <w:rPr>
                <w:sz w:val="18"/>
              </w:rPr>
              <w:t>3. Content Quality</w:t>
            </w:r>
          </w:p>
        </w:tc>
        <w:tc>
          <w:tcPr>
            <w:tcW w:type="dxa" w:w="1671"/>
          </w:tcPr>
          <w:p>
            <w:pPr/>
            <w:r>
              <w:rPr>
                <w:sz w:val="18"/>
              </w:rPr>
            </w:r>
            <w:r>
              <w:rPr>
                <w:sz w:val="18"/>
              </w:rPr>
              <w:t>17</w:t>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r>
        <w:tc>
          <w:tcPr>
            <w:tcW w:type="dxa" w:w="1671"/>
          </w:tcPr>
          <w:p>
            <w:pPr/>
            <w:r>
              <w:rPr>
                <w:sz w:val="18"/>
              </w:rPr>
            </w:r>
            <w:r>
              <w:rPr>
                <w:sz w:val="18"/>
              </w:rPr>
              <w:t>4. SME Approval</w:t>
            </w:r>
          </w:p>
        </w:tc>
        <w:tc>
          <w:tcPr>
            <w:tcW w:type="dxa" w:w="1671"/>
          </w:tcPr>
          <w:p>
            <w:pPr/>
            <w:r>
              <w:rPr>
                <w:sz w:val="18"/>
              </w:rPr>
            </w:r>
            <w:r>
              <w:rPr>
                <w:sz w:val="18"/>
              </w:rPr>
              <w:t>8</w:t>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r>
        <w:tc>
          <w:tcPr>
            <w:tcW w:type="dxa" w:w="1671"/>
          </w:tcPr>
          <w:p>
            <w:pPr/>
            <w:r>
              <w:rPr>
                <w:sz w:val="18"/>
              </w:rPr>
            </w:r>
            <w:r>
              <w:rPr>
                <w:sz w:val="18"/>
              </w:rPr>
              <w:t>5. Media Readiness</w:t>
            </w:r>
          </w:p>
        </w:tc>
        <w:tc>
          <w:tcPr>
            <w:tcW w:type="dxa" w:w="1671"/>
          </w:tcPr>
          <w:p>
            <w:pPr/>
            <w:r>
              <w:rPr>
                <w:sz w:val="18"/>
              </w:rPr>
            </w:r>
            <w:r>
              <w:rPr>
                <w:sz w:val="18"/>
              </w:rPr>
              <w:t>11</w:t>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r>
        <w:tc>
          <w:tcPr>
            <w:tcW w:type="dxa" w:w="1671"/>
          </w:tcPr>
          <w:p>
            <w:pPr/>
            <w:r>
              <w:rPr>
                <w:sz w:val="18"/>
              </w:rPr>
            </w:r>
            <w:r>
              <w:rPr>
                <w:sz w:val="18"/>
              </w:rPr>
              <w:t>6. Series Consistency</w:t>
            </w:r>
          </w:p>
        </w:tc>
        <w:tc>
          <w:tcPr>
            <w:tcW w:type="dxa" w:w="1671"/>
          </w:tcPr>
          <w:p>
            <w:pPr/>
            <w:r>
              <w:rPr>
                <w:sz w:val="18"/>
              </w:rPr>
            </w:r>
            <w:r>
              <w:rPr>
                <w:sz w:val="18"/>
              </w:rPr>
              <w:t>14</w:t>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r>
        <w:tc>
          <w:tcPr>
            <w:tcW w:type="dxa" w:w="1671"/>
          </w:tcPr>
          <w:p>
            <w:pPr/>
            <w:r>
              <w:rPr>
                <w:sz w:val="18"/>
              </w:rPr>
            </w:r>
            <w:r>
              <w:rPr>
                <w:sz w:val="18"/>
              </w:rPr>
            </w:r>
            <w:r>
              <w:rPr>
                <w:b/>
                <w:sz w:val="18"/>
              </w:rPr>
              <w:t>TOTAL</w:t>
            </w:r>
            <w:r>
              <w:rPr>
                <w:sz w:val="18"/>
              </w:rPr>
            </w:r>
          </w:p>
        </w:tc>
        <w:tc>
          <w:tcPr>
            <w:tcW w:type="dxa" w:w="1671"/>
          </w:tcPr>
          <w:p>
            <w:pPr/>
            <w:r>
              <w:rPr>
                <w:sz w:val="18"/>
              </w:rPr>
            </w:r>
            <w:r>
              <w:rPr>
                <w:sz w:val="18"/>
              </w:rPr>
            </w:r>
            <w:r>
              <w:rPr>
                <w:b/>
                <w:sz w:val="18"/>
              </w:rPr>
              <w:t>91</w:t>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c>
          <w:tcPr>
            <w:tcW w:type="dxa" w:w="1671"/>
          </w:tcPr>
          <w:p>
            <w:pPr/>
            <w:r>
              <w:rPr>
                <w:sz w:val="18"/>
              </w:rPr>
            </w:r>
            <w:r>
              <w:rPr>
                <w:sz w:val="18"/>
              </w:rPr>
            </w:r>
          </w:p>
        </w:tc>
      </w:tr>
    </w:tbl>
    <w:p>
      <w:pPr>
        <w:pStyle w:val="Heading3"/>
      </w:pPr>
      <w:r>
        <w:t>Overall QA Status</w:t>
      </w:r>
    </w:p>
    <w:p/>
    <w:p>
      <w:pPr>
        <w:ind w:left="680"/>
      </w:pPr>
      <w:r>
        <w:rPr>
          <w:rFonts w:ascii="Arial" w:hAnsi="Arial"/>
        </w:rPr>
        <w:t xml:space="preserve">•  </w:t>
      </w:r>
      <w:r>
        <w:t xml:space="preserve">[ ] </w:t>
      </w:r>
      <w:r>
        <w:rPr>
          <w:b/>
        </w:rPr>
        <w:t>PASS</w:t>
      </w:r>
      <w:r>
        <w:t xml:space="preserve"> -- Guide is ready for pilot/build</w:t>
      </w:r>
    </w:p>
    <w:p/>
    <w:p>
      <w:pPr>
        <w:ind w:left="680"/>
      </w:pPr>
      <w:r>
        <w:rPr>
          <w:rFonts w:ascii="Arial" w:hAnsi="Arial"/>
        </w:rPr>
        <w:t xml:space="preserve">•  </w:t>
      </w:r>
      <w:r>
        <w:t xml:space="preserve">[ ] </w:t>
      </w:r>
      <w:r>
        <w:rPr>
          <w:b/>
        </w:rPr>
        <w:t>CONDITIONAL PASS</w:t>
      </w:r>
      <w:r>
        <w:t xml:space="preserve"> -- Guide may proceed with noted items to be addressed before launch</w:t>
      </w:r>
    </w:p>
    <w:p/>
    <w:p>
      <w:pPr>
        <w:ind w:left="680"/>
      </w:pPr>
      <w:r>
        <w:rPr>
          <w:rFonts w:ascii="Arial" w:hAnsi="Arial"/>
        </w:rPr>
        <w:t xml:space="preserve">•  </w:t>
      </w:r>
      <w:r>
        <w:t xml:space="preserve">[ ] </w:t>
      </w:r>
      <w:r>
        <w:rPr>
          <w:b/>
        </w:rPr>
        <w:t>FAIL</w:t>
      </w:r>
      <w:r>
        <w:t xml:space="preserve"> -- Guide requires revisions and re-review before proceeding</w:t>
      </w:r>
    </w:p>
    <w:p>
      <w:r/>
      <w:r>
        <w:rPr>
          <w:b/>
        </w:rPr>
        <w:t>QA Reviewer Signature:</w:t>
      </w:r>
      <w:r>
        <w:t xml:space="preserve"> ___________________________</w:t>
      </w:r>
    </w:p>
    <w:p>
      <w:r/>
      <w:r>
        <w:rPr>
          <w:b/>
        </w:rPr>
        <w:t>Date:</w:t>
      </w:r>
      <w:r>
        <w:t xml:space="preserve"> ___________________________</w:t>
      </w:r>
    </w:p>
    <w:p>
      <w:pPr>
        <w:spacing w:before="120" w:after="120"/>
      </w:pPr>
      <w:r>
        <w:rPr>
          <w:color w:val="CCCCCC"/>
          <w:sz w:val="16"/>
        </w:rPr>
        <w:t>──────────────────────────────────────────────────</w:t>
      </w:r>
    </w:p>
    <w:p>
      <w:r/>
      <w:r>
        <w:rPr>
          <w:i/>
        </w:rPr>
        <w:t>End of QA Checklist -- Guide 01</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