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Course Overview: Guide 01 — Foundations of Disability, Inclusion, and Accessible Design</w:t>
      </w:r>
    </w:p>
    <w:p>
      <w:r/>
      <w:r>
        <w:rPr>
          <w:b/>
        </w:rPr>
        <w:t>Accessibility First Course Series | University Health Network</w:t>
      </w:r>
      <w:r/>
    </w:p>
    <w:p>
      <w:pPr>
        <w:spacing w:before="120" w:after="120"/>
      </w:pPr>
      <w:r>
        <w:rPr>
          <w:color w:val="CCCCCC"/>
          <w:sz w:val="16"/>
        </w:rPr>
        <w:t>──────────────────────────────────────────────────</w:t>
      </w:r>
    </w:p>
    <w:p>
      <w:pPr>
        <w:pStyle w:val="Heading2"/>
      </w:pPr>
      <w:r>
        <w:t>1. Course Information</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Field</w:t>
            </w:r>
          </w:p>
        </w:tc>
        <w:tc>
          <w:tcPr>
            <w:tcW w:type="dxa" w:w="5014"/>
            <w:shd w:fill="192858" w:val="clear"/>
          </w:tcPr>
          <w:p>
            <w:pPr/>
            <w:r>
              <w:rPr>
                <w:b/>
                <w:color w:val="FFFFFF"/>
                <w:sz w:val="18"/>
              </w:rPr>
            </w:r>
            <w:r>
              <w:rPr>
                <w:b/>
                <w:color w:val="FFFFFF"/>
                <w:sz w:val="18"/>
              </w:rPr>
              <w:t>Detail</w:t>
            </w:r>
          </w:p>
        </w:tc>
      </w:tr>
      <w:tr>
        <w:tc>
          <w:tcPr>
            <w:tcW w:type="dxa" w:w="5014"/>
          </w:tcPr>
          <w:p>
            <w:pPr/>
            <w:r>
              <w:rPr>
                <w:sz w:val="18"/>
              </w:rPr>
            </w:r>
            <w:r>
              <w:rPr>
                <w:sz w:val="18"/>
              </w:rPr>
            </w:r>
            <w:r>
              <w:rPr>
                <w:b/>
                <w:sz w:val="18"/>
              </w:rPr>
              <w:t>Course Title</w:t>
            </w:r>
            <w:r>
              <w:rPr>
                <w:sz w:val="18"/>
              </w:rPr>
            </w:r>
          </w:p>
        </w:tc>
        <w:tc>
          <w:tcPr>
            <w:tcW w:type="dxa" w:w="5014"/>
          </w:tcPr>
          <w:p>
            <w:pPr/>
            <w:r>
              <w:rPr>
                <w:sz w:val="18"/>
              </w:rPr>
            </w:r>
            <w:r>
              <w:rPr>
                <w:sz w:val="18"/>
              </w:rPr>
              <w:t>Foundations of Disability, Inclusion, and Accessible Design</w:t>
            </w:r>
          </w:p>
        </w:tc>
      </w:tr>
      <w:tr>
        <w:tc>
          <w:tcPr>
            <w:tcW w:type="dxa" w:w="5014"/>
          </w:tcPr>
          <w:p>
            <w:pPr/>
            <w:r>
              <w:rPr>
                <w:sz w:val="18"/>
              </w:rPr>
            </w:r>
            <w:r>
              <w:rPr>
                <w:sz w:val="18"/>
              </w:rPr>
            </w:r>
            <w:r>
              <w:rPr>
                <w:b/>
                <w:sz w:val="18"/>
              </w:rPr>
              <w:t>Series</w:t>
            </w:r>
            <w:r>
              <w:rPr>
                <w:sz w:val="18"/>
              </w:rPr>
            </w:r>
          </w:p>
        </w:tc>
        <w:tc>
          <w:tcPr>
            <w:tcW w:type="dxa" w:w="5014"/>
          </w:tcPr>
          <w:p>
            <w:pPr/>
            <w:r>
              <w:rPr>
                <w:sz w:val="18"/>
              </w:rPr>
            </w:r>
            <w:r>
              <w:rPr>
                <w:sz w:val="18"/>
              </w:rPr>
              <w:t>Accessibility First Series (Guide 1 of 18)</w:t>
            </w:r>
          </w:p>
        </w:tc>
      </w:tr>
      <w:tr>
        <w:tc>
          <w:tcPr>
            <w:tcW w:type="dxa" w:w="5014"/>
          </w:tcPr>
          <w:p>
            <w:pPr/>
            <w:r>
              <w:rPr>
                <w:sz w:val="18"/>
              </w:rPr>
            </w:r>
            <w:r>
              <w:rPr>
                <w:sz w:val="18"/>
              </w:rPr>
            </w:r>
            <w:r>
              <w:rPr>
                <w:b/>
                <w:sz w:val="18"/>
              </w:rPr>
              <w:t>Organization</w:t>
            </w:r>
            <w:r>
              <w:rPr>
                <w:sz w:val="18"/>
              </w:rPr>
            </w:r>
          </w:p>
        </w:tc>
        <w:tc>
          <w:tcPr>
            <w:tcW w:type="dxa" w:w="5014"/>
          </w:tcPr>
          <w:p>
            <w:pPr/>
            <w:r>
              <w:rPr>
                <w:sz w:val="18"/>
              </w:rPr>
            </w:r>
            <w:r>
              <w:rPr>
                <w:sz w:val="18"/>
              </w:rPr>
              <w:t>University Health Network (UHN), Toronto, Ontario, Canada</w:t>
            </w:r>
          </w:p>
        </w:tc>
      </w:tr>
      <w:tr>
        <w:tc>
          <w:tcPr>
            <w:tcW w:type="dxa" w:w="5014"/>
          </w:tcPr>
          <w:p>
            <w:pPr/>
            <w:r>
              <w:rPr>
                <w:sz w:val="18"/>
              </w:rPr>
            </w:r>
            <w:r>
              <w:rPr>
                <w:sz w:val="18"/>
              </w:rPr>
            </w:r>
            <w:r>
              <w:rPr>
                <w:b/>
                <w:sz w:val="18"/>
              </w:rPr>
              <w:t>Target Audience</w:t>
            </w:r>
            <w:r>
              <w:rPr>
                <w:sz w:val="18"/>
              </w:rPr>
            </w:r>
          </w:p>
        </w:tc>
        <w:tc>
          <w:tcPr>
            <w:tcW w:type="dxa" w:w="5014"/>
          </w:tcPr>
          <w:p>
            <w:pPr/>
            <w:r>
              <w:rPr>
                <w:sz w:val="18"/>
              </w:rPr>
            </w:r>
            <w:r>
              <w:rPr>
                <w:sz w:val="18"/>
              </w:rPr>
              <w:t>All UHN employees — clinical, administrative, operations, leadership, research, education</w:t>
            </w:r>
          </w:p>
        </w:tc>
      </w:tr>
      <w:tr>
        <w:tc>
          <w:tcPr>
            <w:tcW w:type="dxa" w:w="5014"/>
          </w:tcPr>
          <w:p>
            <w:pPr/>
            <w:r>
              <w:rPr>
                <w:sz w:val="18"/>
              </w:rPr>
            </w:r>
            <w:r>
              <w:rPr>
                <w:sz w:val="18"/>
              </w:rPr>
            </w:r>
            <w:r>
              <w:rPr>
                <w:b/>
                <w:sz w:val="18"/>
              </w:rPr>
              <w:t>Estimated Seat Time</w:t>
            </w:r>
            <w:r>
              <w:rPr>
                <w:sz w:val="18"/>
              </w:rPr>
            </w:r>
          </w:p>
        </w:tc>
        <w:tc>
          <w:tcPr>
            <w:tcW w:type="dxa" w:w="5014"/>
          </w:tcPr>
          <w:p>
            <w:pPr/>
            <w:r>
              <w:rPr>
                <w:sz w:val="18"/>
              </w:rPr>
            </w:r>
            <w:r>
              <w:rPr>
                <w:sz w:val="18"/>
              </w:rPr>
              <w:t>30–45 minutes</w:t>
            </w:r>
          </w:p>
        </w:tc>
      </w:tr>
      <w:tr>
        <w:tc>
          <w:tcPr>
            <w:tcW w:type="dxa" w:w="5014"/>
          </w:tcPr>
          <w:p>
            <w:pPr/>
            <w:r>
              <w:rPr>
                <w:sz w:val="18"/>
              </w:rPr>
            </w:r>
            <w:r>
              <w:rPr>
                <w:sz w:val="18"/>
              </w:rPr>
            </w:r>
            <w:r>
              <w:rPr>
                <w:b/>
                <w:sz w:val="18"/>
              </w:rPr>
              <w:t>Output Format</w:t>
            </w:r>
            <w:r>
              <w:rPr>
                <w:sz w:val="18"/>
              </w:rPr>
            </w:r>
          </w:p>
        </w:tc>
        <w:tc>
          <w:tcPr>
            <w:tcW w:type="dxa" w:w="5014"/>
          </w:tcPr>
          <w:p>
            <w:pPr/>
            <w:r>
              <w:rPr>
                <w:sz w:val="18"/>
              </w:rPr>
            </w:r>
            <w:r>
              <w:rPr>
                <w:sz w:val="18"/>
              </w:rPr>
              <w:t>Articulate Storyline 360 (SCORM 2004)</w:t>
            </w:r>
          </w:p>
        </w:tc>
      </w:tr>
      <w:tr>
        <w:tc>
          <w:tcPr>
            <w:tcW w:type="dxa" w:w="5014"/>
          </w:tcPr>
          <w:p>
            <w:pPr/>
            <w:r>
              <w:rPr>
                <w:sz w:val="18"/>
              </w:rPr>
            </w:r>
            <w:r>
              <w:rPr>
                <w:sz w:val="18"/>
              </w:rPr>
            </w:r>
            <w:r>
              <w:rPr>
                <w:b/>
                <w:sz w:val="18"/>
              </w:rPr>
              <w:t>LMS</w:t>
            </w:r>
            <w:r>
              <w:rPr>
                <w:sz w:val="18"/>
              </w:rPr>
            </w:r>
          </w:p>
        </w:tc>
        <w:tc>
          <w:tcPr>
            <w:tcW w:type="dxa" w:w="5014"/>
          </w:tcPr>
          <w:p>
            <w:pPr/>
            <w:r>
              <w:rPr>
                <w:sz w:val="18"/>
              </w:rPr>
            </w:r>
            <w:r>
              <w:rPr>
                <w:sz w:val="18"/>
              </w:rPr>
              <w:t>UHN Learning Management System</w:t>
            </w:r>
          </w:p>
        </w:tc>
      </w:tr>
      <w:tr>
        <w:tc>
          <w:tcPr>
            <w:tcW w:type="dxa" w:w="5014"/>
          </w:tcPr>
          <w:p>
            <w:pPr/>
            <w:r>
              <w:rPr>
                <w:sz w:val="18"/>
              </w:rPr>
            </w:r>
            <w:r>
              <w:rPr>
                <w:sz w:val="18"/>
              </w:rPr>
            </w:r>
            <w:r>
              <w:rPr>
                <w:b/>
                <w:sz w:val="18"/>
              </w:rPr>
              <w:t>Version</w:t>
            </w:r>
            <w:r>
              <w:rPr>
                <w:sz w:val="18"/>
              </w:rPr>
            </w:r>
          </w:p>
        </w:tc>
        <w:tc>
          <w:tcPr>
            <w:tcW w:type="dxa" w:w="5014"/>
          </w:tcPr>
          <w:p>
            <w:pPr/>
            <w:r>
              <w:rPr>
                <w:sz w:val="18"/>
              </w:rPr>
            </w:r>
            <w:r>
              <w:rPr>
                <w:sz w:val="18"/>
              </w:rPr>
              <w:t>1.0 Draft</w:t>
            </w:r>
          </w:p>
        </w:tc>
      </w:tr>
      <w:tr>
        <w:tc>
          <w:tcPr>
            <w:tcW w:type="dxa" w:w="5014"/>
          </w:tcPr>
          <w:p>
            <w:pPr/>
            <w:r>
              <w:rPr>
                <w:sz w:val="18"/>
              </w:rPr>
            </w:r>
            <w:r>
              <w:rPr>
                <w:sz w:val="18"/>
              </w:rPr>
            </w:r>
            <w:r>
              <w:rPr>
                <w:b/>
                <w:sz w:val="18"/>
              </w:rPr>
              <w:t>Status</w:t>
            </w:r>
            <w:r>
              <w:rPr>
                <w:sz w:val="18"/>
              </w:rPr>
            </w:r>
          </w:p>
        </w:tc>
        <w:tc>
          <w:tcPr>
            <w:tcW w:type="dxa" w:w="5014"/>
          </w:tcPr>
          <w:p>
            <w:pPr/>
            <w:r>
              <w:rPr>
                <w:sz w:val="18"/>
              </w:rPr>
            </w:r>
            <w:r>
              <w:rPr>
                <w:sz w:val="18"/>
              </w:rPr>
              <w:t>In Development</w:t>
            </w:r>
          </w:p>
        </w:tc>
      </w:tr>
      <w:tr>
        <w:tc>
          <w:tcPr>
            <w:tcW w:type="dxa" w:w="5014"/>
          </w:tcPr>
          <w:p>
            <w:pPr/>
            <w:r>
              <w:rPr>
                <w:sz w:val="18"/>
              </w:rPr>
            </w:r>
            <w:r>
              <w:rPr>
                <w:sz w:val="18"/>
              </w:rPr>
            </w:r>
            <w:r>
              <w:rPr>
                <w:b/>
                <w:sz w:val="18"/>
              </w:rPr>
              <w:t>Course Owner</w:t>
            </w:r>
            <w:r>
              <w:rPr>
                <w:sz w:val="18"/>
              </w:rPr>
            </w:r>
          </w:p>
        </w:tc>
        <w:tc>
          <w:tcPr>
            <w:tcW w:type="dxa" w:w="5014"/>
          </w:tcPr>
          <w:p>
            <w:pPr/>
            <w:r>
              <w:rPr>
                <w:sz w:val="18"/>
              </w:rPr>
            </w:r>
            <w:r>
              <w:rPr>
                <w:sz w:val="18"/>
              </w:rPr>
              <w:t>[TBD]</w:t>
            </w:r>
          </w:p>
        </w:tc>
      </w:tr>
      <w:tr>
        <w:tc>
          <w:tcPr>
            <w:tcW w:type="dxa" w:w="5014"/>
          </w:tcPr>
          <w:p>
            <w:pPr/>
            <w:r>
              <w:rPr>
                <w:sz w:val="18"/>
              </w:rPr>
            </w:r>
            <w:r>
              <w:rPr>
                <w:sz w:val="18"/>
              </w:rPr>
            </w:r>
            <w:r>
              <w:rPr>
                <w:b/>
                <w:sz w:val="18"/>
              </w:rPr>
              <w:t>Subject Matter Expert(s)</w:t>
            </w:r>
            <w:r>
              <w:rPr>
                <w:sz w:val="18"/>
              </w:rPr>
            </w:r>
          </w:p>
        </w:tc>
        <w:tc>
          <w:tcPr>
            <w:tcW w:type="dxa" w:w="5014"/>
          </w:tcPr>
          <w:p>
            <w:pPr/>
            <w:r>
              <w:rPr>
                <w:sz w:val="18"/>
              </w:rPr>
            </w:r>
            <w:r>
              <w:rPr>
                <w:sz w:val="18"/>
              </w:rPr>
              <w:t>[TBD]</w:t>
            </w:r>
          </w:p>
        </w:tc>
      </w:tr>
      <w:tr>
        <w:tc>
          <w:tcPr>
            <w:tcW w:type="dxa" w:w="5014"/>
          </w:tcPr>
          <w:p>
            <w:pPr/>
            <w:r>
              <w:rPr>
                <w:sz w:val="18"/>
              </w:rPr>
            </w:r>
            <w:r>
              <w:rPr>
                <w:sz w:val="18"/>
              </w:rPr>
            </w:r>
            <w:r>
              <w:rPr>
                <w:b/>
                <w:sz w:val="18"/>
              </w:rPr>
              <w:t>Instructional Designer</w:t>
            </w:r>
            <w:r>
              <w:rPr>
                <w:sz w:val="18"/>
              </w:rPr>
            </w:r>
          </w:p>
        </w:tc>
        <w:tc>
          <w:tcPr>
            <w:tcW w:type="dxa" w:w="5014"/>
          </w:tcPr>
          <w:p>
            <w:pPr/>
            <w:r>
              <w:rPr>
                <w:sz w:val="18"/>
              </w:rPr>
            </w:r>
            <w:r>
              <w:rPr>
                <w:sz w:val="18"/>
              </w:rPr>
              <w:t>Yijin</w:t>
            </w:r>
          </w:p>
        </w:tc>
      </w:tr>
      <w:tr>
        <w:tc>
          <w:tcPr>
            <w:tcW w:type="dxa" w:w="5014"/>
          </w:tcPr>
          <w:p>
            <w:pPr/>
            <w:r>
              <w:rPr>
                <w:sz w:val="18"/>
              </w:rPr>
            </w:r>
            <w:r>
              <w:rPr>
                <w:sz w:val="18"/>
              </w:rPr>
            </w:r>
            <w:r>
              <w:rPr>
                <w:b/>
                <w:sz w:val="18"/>
              </w:rPr>
              <w:t>Date Created</w:t>
            </w:r>
            <w:r>
              <w:rPr>
                <w:sz w:val="18"/>
              </w:rPr>
            </w:r>
          </w:p>
        </w:tc>
        <w:tc>
          <w:tcPr>
            <w:tcW w:type="dxa" w:w="5014"/>
          </w:tcPr>
          <w:p>
            <w:pPr/>
            <w:r>
              <w:rPr>
                <w:sz w:val="18"/>
              </w:rPr>
            </w:r>
            <w:r>
              <w:rPr>
                <w:sz w:val="18"/>
              </w:rPr>
              <w:t>2026-05-23</w:t>
            </w:r>
          </w:p>
        </w:tc>
      </w:tr>
      <w:tr>
        <w:tc>
          <w:tcPr>
            <w:tcW w:type="dxa" w:w="5014"/>
          </w:tcPr>
          <w:p>
            <w:pPr/>
            <w:r>
              <w:rPr>
                <w:sz w:val="18"/>
              </w:rPr>
            </w:r>
            <w:r>
              <w:rPr>
                <w:sz w:val="18"/>
              </w:rPr>
            </w:r>
            <w:r>
              <w:rPr>
                <w:b/>
                <w:sz w:val="18"/>
              </w:rPr>
              <w:t>Last Updated</w:t>
            </w:r>
            <w:r>
              <w:rPr>
                <w:sz w:val="18"/>
              </w:rPr>
            </w:r>
          </w:p>
        </w:tc>
        <w:tc>
          <w:tcPr>
            <w:tcW w:type="dxa" w:w="5014"/>
          </w:tcPr>
          <w:p>
            <w:pPr/>
            <w:r>
              <w:rPr>
                <w:sz w:val="18"/>
              </w:rPr>
            </w:r>
            <w:r>
              <w:rPr>
                <w:sz w:val="18"/>
              </w:rPr>
              <w:t>2026-05-23</w:t>
            </w:r>
          </w:p>
        </w:tc>
      </w:tr>
      <w:tr>
        <w:tc>
          <w:tcPr>
            <w:tcW w:type="dxa" w:w="5014"/>
          </w:tcPr>
          <w:p>
            <w:pPr/>
            <w:r>
              <w:rPr>
                <w:sz w:val="18"/>
              </w:rPr>
            </w:r>
            <w:r>
              <w:rPr>
                <w:sz w:val="18"/>
              </w:rPr>
            </w:r>
            <w:r>
              <w:rPr>
                <w:b/>
                <w:sz w:val="18"/>
              </w:rPr>
              <w:t>Language</w:t>
            </w:r>
            <w:r>
              <w:rPr>
                <w:sz w:val="18"/>
              </w:rPr>
            </w:r>
          </w:p>
        </w:tc>
        <w:tc>
          <w:tcPr>
            <w:tcW w:type="dxa" w:w="5014"/>
          </w:tcPr>
          <w:p>
            <w:pPr/>
            <w:r>
              <w:rPr>
                <w:sz w:val="18"/>
              </w:rPr>
            </w:r>
            <w:r>
              <w:rPr>
                <w:sz w:val="18"/>
              </w:rPr>
              <w:t>English (Canadian)</w:t>
            </w:r>
          </w:p>
        </w:tc>
      </w:tr>
      <w:tr>
        <w:tc>
          <w:tcPr>
            <w:tcW w:type="dxa" w:w="5014"/>
          </w:tcPr>
          <w:p>
            <w:pPr/>
            <w:r>
              <w:rPr>
                <w:sz w:val="18"/>
              </w:rPr>
            </w:r>
            <w:r>
              <w:rPr>
                <w:sz w:val="18"/>
              </w:rPr>
            </w:r>
            <w:r>
              <w:rPr>
                <w:b/>
                <w:sz w:val="18"/>
              </w:rPr>
              <w:t>Compliance Alignment</w:t>
            </w:r>
            <w:r>
              <w:rPr>
                <w:sz w:val="18"/>
              </w:rPr>
            </w:r>
          </w:p>
        </w:tc>
        <w:tc>
          <w:tcPr>
            <w:tcW w:type="dxa" w:w="5014"/>
          </w:tcPr>
          <w:p>
            <w:pPr/>
            <w:r>
              <w:rPr>
                <w:sz w:val="18"/>
              </w:rPr>
            </w:r>
            <w:r>
              <w:rPr>
                <w:sz w:val="18"/>
              </w:rPr>
              <w:t>AODA, OHRC, UHN Accessibility Policy</w:t>
            </w:r>
          </w:p>
        </w:tc>
      </w:tr>
    </w:tbl>
    <w:p>
      <w:pPr>
        <w:spacing w:before="120" w:after="120"/>
      </w:pPr>
      <w:r>
        <w:rPr>
          <w:color w:val="CCCCCC"/>
          <w:sz w:val="16"/>
        </w:rPr>
        <w:t>──────────────────────────────────────────────────</w:t>
      </w:r>
    </w:p>
    <w:p>
      <w:pPr>
        <w:pStyle w:val="Heading2"/>
      </w:pPr>
      <w:r>
        <w:t>2. Course Goal</w:t>
      </w:r>
    </w:p>
    <w:p>
      <w:r>
        <w:t>This course establishes a shared language and foundational understanding of disability, inclusion, and accessible design so that all UHN employees can recognize barriers — attitudinal, systemic, communication, digital, and policy-based — and begin applying proactive, rights-based approaches to accessibility in their daily work.</w:t>
      </w:r>
    </w:p>
    <w:p>
      <w:pPr>
        <w:spacing w:before="120" w:after="120"/>
      </w:pPr>
      <w:r>
        <w:rPr>
          <w:color w:val="CCCCCC"/>
          <w:sz w:val="16"/>
        </w:rPr>
        <w:t>──────────────────────────────────────────────────</w:t>
      </w:r>
    </w:p>
    <w:p>
      <w:pPr>
        <w:pStyle w:val="Heading2"/>
      </w:pPr>
      <w:r>
        <w:t>3. Course Learning Outcomes (CLOs)</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CLO</w:t>
            </w:r>
          </w:p>
        </w:tc>
        <w:tc>
          <w:tcPr>
            <w:tcW w:type="dxa" w:w="2507"/>
            <w:shd w:fill="192858" w:val="clear"/>
          </w:tcPr>
          <w:p>
            <w:pPr/>
            <w:r>
              <w:rPr>
                <w:b/>
                <w:color w:val="FFFFFF"/>
                <w:sz w:val="18"/>
              </w:rPr>
            </w:r>
            <w:r>
              <w:rPr>
                <w:b/>
                <w:color w:val="FFFFFF"/>
                <w:sz w:val="18"/>
              </w:rPr>
              <w:t>Learning Outcome</w:t>
            </w:r>
          </w:p>
        </w:tc>
        <w:tc>
          <w:tcPr>
            <w:tcW w:type="dxa" w:w="2507"/>
            <w:shd w:fill="192858" w:val="clear"/>
          </w:tcPr>
          <w:p>
            <w:pPr/>
            <w:r>
              <w:rPr>
                <w:b/>
                <w:color w:val="FFFFFF"/>
                <w:sz w:val="18"/>
              </w:rPr>
            </w:r>
            <w:r>
              <w:rPr>
                <w:b/>
                <w:color w:val="FFFFFF"/>
                <w:sz w:val="18"/>
              </w:rPr>
              <w:t>Bloom's Level</w:t>
            </w:r>
          </w:p>
        </w:tc>
        <w:tc>
          <w:tcPr>
            <w:tcW w:type="dxa" w:w="2507"/>
            <w:shd w:fill="192858" w:val="clear"/>
          </w:tcPr>
          <w:p>
            <w:pPr/>
            <w:r>
              <w:rPr>
                <w:b/>
                <w:color w:val="FFFFFF"/>
                <w:sz w:val="18"/>
              </w:rPr>
            </w:r>
            <w:r>
              <w:rPr>
                <w:b/>
                <w:color w:val="FFFFFF"/>
                <w:sz w:val="18"/>
              </w:rPr>
              <w:t>Assessment Strategy</w:t>
            </w:r>
          </w:p>
        </w:tc>
      </w:tr>
      <w:tr>
        <w:tc>
          <w:tcPr>
            <w:tcW w:type="dxa" w:w="2507"/>
          </w:tcPr>
          <w:p>
            <w:pPr/>
            <w:r>
              <w:rPr>
                <w:sz w:val="18"/>
              </w:rPr>
            </w:r>
            <w:r>
              <w:rPr>
                <w:sz w:val="18"/>
              </w:rPr>
              <w:t>CLO 1</w:t>
            </w:r>
          </w:p>
        </w:tc>
        <w:tc>
          <w:tcPr>
            <w:tcW w:type="dxa" w:w="2507"/>
          </w:tcPr>
          <w:p>
            <w:pPr/>
            <w:r>
              <w:rPr>
                <w:sz w:val="18"/>
              </w:rPr>
            </w:r>
            <w:r>
              <w:rPr>
                <w:sz w:val="18"/>
              </w:rPr>
              <w:t>Define accessibility as encompassing attitudinal, systemic, communication, digital, and policy barriers — not only physical barriers — within healthcare settings.</w:t>
            </w:r>
          </w:p>
        </w:tc>
        <w:tc>
          <w:tcPr>
            <w:tcW w:type="dxa" w:w="2507"/>
          </w:tcPr>
          <w:p>
            <w:pPr/>
            <w:r>
              <w:rPr>
                <w:sz w:val="18"/>
              </w:rPr>
            </w:r>
            <w:r>
              <w:rPr>
                <w:sz w:val="18"/>
              </w:rPr>
              <w:t>Understand (Level 2)</w:t>
            </w:r>
          </w:p>
        </w:tc>
        <w:tc>
          <w:tcPr>
            <w:tcW w:type="dxa" w:w="2507"/>
          </w:tcPr>
          <w:p>
            <w:pPr/>
            <w:r>
              <w:rPr>
                <w:sz w:val="18"/>
              </w:rPr>
            </w:r>
            <w:r>
              <w:rPr>
                <w:sz w:val="18"/>
              </w:rPr>
              <w:t>Multiple-choice knowledge check; scenario-based identification activity</w:t>
            </w:r>
          </w:p>
        </w:tc>
      </w:tr>
      <w:tr>
        <w:tc>
          <w:tcPr>
            <w:tcW w:type="dxa" w:w="2507"/>
          </w:tcPr>
          <w:p>
            <w:pPr/>
            <w:r>
              <w:rPr>
                <w:sz w:val="18"/>
              </w:rPr>
            </w:r>
            <w:r>
              <w:rPr>
                <w:sz w:val="18"/>
              </w:rPr>
              <w:t>CLO 2</w:t>
            </w:r>
          </w:p>
        </w:tc>
        <w:tc>
          <w:tcPr>
            <w:tcW w:type="dxa" w:w="2507"/>
          </w:tcPr>
          <w:p>
            <w:pPr/>
            <w:r>
              <w:rPr>
                <w:sz w:val="18"/>
              </w:rPr>
            </w:r>
            <w:r>
              <w:rPr>
                <w:sz w:val="18"/>
              </w:rPr>
              <w:t>Explain the key legislative foundations of the *Accessibility for Ontarians with Disabilities Act* (AODA) and the *Ontario Human Rights Code* (OHRC) as they apply to UHN's obligations and everyday practice.</w:t>
            </w:r>
          </w:p>
        </w:tc>
        <w:tc>
          <w:tcPr>
            <w:tcW w:type="dxa" w:w="2507"/>
          </w:tcPr>
          <w:p>
            <w:pPr/>
            <w:r>
              <w:rPr>
                <w:sz w:val="18"/>
              </w:rPr>
            </w:r>
            <w:r>
              <w:rPr>
                <w:sz w:val="18"/>
              </w:rPr>
              <w:t>Understand (Level 2)</w:t>
            </w:r>
          </w:p>
        </w:tc>
        <w:tc>
          <w:tcPr>
            <w:tcW w:type="dxa" w:w="2507"/>
          </w:tcPr>
          <w:p>
            <w:pPr/>
            <w:r>
              <w:rPr>
                <w:sz w:val="18"/>
              </w:rPr>
            </w:r>
            <w:r>
              <w:rPr>
                <w:sz w:val="18"/>
              </w:rPr>
              <w:t>Drag-and-drop matching activity linking legislation to workplace obligations</w:t>
            </w:r>
          </w:p>
        </w:tc>
      </w:tr>
      <w:tr>
        <w:tc>
          <w:tcPr>
            <w:tcW w:type="dxa" w:w="2507"/>
          </w:tcPr>
          <w:p>
            <w:pPr/>
            <w:r>
              <w:rPr>
                <w:sz w:val="18"/>
              </w:rPr>
            </w:r>
            <w:r>
              <w:rPr>
                <w:sz w:val="18"/>
              </w:rPr>
              <w:t>CLO 3</w:t>
            </w:r>
          </w:p>
        </w:tc>
        <w:tc>
          <w:tcPr>
            <w:tcW w:type="dxa" w:w="2507"/>
          </w:tcPr>
          <w:p>
            <w:pPr/>
            <w:r>
              <w:rPr>
                <w:sz w:val="18"/>
              </w:rPr>
            </w:r>
            <w:r>
              <w:rPr>
                <w:sz w:val="18"/>
              </w:rPr>
              <w:t>Analyze how disability intersects with race, gender, age, income, and language to create compounded barriers in healthcare delivery.</w:t>
            </w:r>
          </w:p>
        </w:tc>
        <w:tc>
          <w:tcPr>
            <w:tcW w:type="dxa" w:w="2507"/>
          </w:tcPr>
          <w:p>
            <w:pPr/>
            <w:r>
              <w:rPr>
                <w:sz w:val="18"/>
              </w:rPr>
            </w:r>
            <w:r>
              <w:rPr>
                <w:sz w:val="18"/>
              </w:rPr>
              <w:t>Analyze (Level 4)</w:t>
            </w:r>
          </w:p>
        </w:tc>
        <w:tc>
          <w:tcPr>
            <w:tcW w:type="dxa" w:w="2507"/>
          </w:tcPr>
          <w:p>
            <w:pPr/>
            <w:r>
              <w:rPr>
                <w:sz w:val="18"/>
              </w:rPr>
            </w:r>
            <w:r>
              <w:rPr>
                <w:sz w:val="18"/>
              </w:rPr>
              <w:t>Scenario-based reflection with guided prompts; intersectionality case analysis</w:t>
            </w:r>
          </w:p>
        </w:tc>
      </w:tr>
      <w:tr>
        <w:tc>
          <w:tcPr>
            <w:tcW w:type="dxa" w:w="2507"/>
          </w:tcPr>
          <w:p>
            <w:pPr/>
            <w:r>
              <w:rPr>
                <w:sz w:val="18"/>
              </w:rPr>
            </w:r>
            <w:r>
              <w:rPr>
                <w:sz w:val="18"/>
              </w:rPr>
              <w:t>CLO 4</w:t>
            </w:r>
          </w:p>
        </w:tc>
        <w:tc>
          <w:tcPr>
            <w:tcW w:type="dxa" w:w="2507"/>
          </w:tcPr>
          <w:p>
            <w:pPr/>
            <w:r>
              <w:rPr>
                <w:sz w:val="18"/>
              </w:rPr>
            </w:r>
            <w:r>
              <w:rPr>
                <w:sz w:val="18"/>
              </w:rPr>
              <w:t>Differentiate between a reactive accommodation model and a proactive, governance-based approach to accessible design.</w:t>
            </w:r>
          </w:p>
        </w:tc>
        <w:tc>
          <w:tcPr>
            <w:tcW w:type="dxa" w:w="2507"/>
          </w:tcPr>
          <w:p>
            <w:pPr/>
            <w:r>
              <w:rPr>
                <w:sz w:val="18"/>
              </w:rPr>
            </w:r>
            <w:r>
              <w:rPr>
                <w:sz w:val="18"/>
              </w:rPr>
              <w:t>Analyze (Level 4)</w:t>
            </w:r>
          </w:p>
        </w:tc>
        <w:tc>
          <w:tcPr>
            <w:tcW w:type="dxa" w:w="2507"/>
          </w:tcPr>
          <w:p>
            <w:pPr/>
            <w:r>
              <w:rPr>
                <w:sz w:val="18"/>
              </w:rPr>
            </w:r>
            <w:r>
              <w:rPr>
                <w:sz w:val="18"/>
              </w:rPr>
              <w:t>Compare-and-contrast scenario activity; decision-path interaction</w:t>
            </w:r>
          </w:p>
        </w:tc>
      </w:tr>
      <w:tr>
        <w:tc>
          <w:tcPr>
            <w:tcW w:type="dxa" w:w="2507"/>
          </w:tcPr>
          <w:p>
            <w:pPr/>
            <w:r>
              <w:rPr>
                <w:sz w:val="18"/>
              </w:rPr>
            </w:r>
            <w:r>
              <w:rPr>
                <w:sz w:val="18"/>
              </w:rPr>
              <w:t>CLO 5</w:t>
            </w:r>
          </w:p>
        </w:tc>
        <w:tc>
          <w:tcPr>
            <w:tcW w:type="dxa" w:w="2507"/>
          </w:tcPr>
          <w:p>
            <w:pPr/>
            <w:r>
              <w:rPr>
                <w:sz w:val="18"/>
              </w:rPr>
            </w:r>
            <w:r>
              <w:rPr>
                <w:sz w:val="18"/>
              </w:rPr>
              <w:t>Identify personal and team actions that position accessibility as a shared organizational responsibility at UHN.</w:t>
            </w:r>
          </w:p>
        </w:tc>
        <w:tc>
          <w:tcPr>
            <w:tcW w:type="dxa" w:w="2507"/>
          </w:tcPr>
          <w:p>
            <w:pPr/>
            <w:r>
              <w:rPr>
                <w:sz w:val="18"/>
              </w:rPr>
            </w:r>
            <w:r>
              <w:rPr>
                <w:sz w:val="18"/>
              </w:rPr>
              <w:t>Apply (Level 3)</w:t>
            </w:r>
          </w:p>
        </w:tc>
        <w:tc>
          <w:tcPr>
            <w:tcW w:type="dxa" w:w="2507"/>
          </w:tcPr>
          <w:p>
            <w:pPr/>
            <w:r>
              <w:rPr>
                <w:sz w:val="18"/>
              </w:rPr>
            </w:r>
            <w:r>
              <w:rPr>
                <w:sz w:val="18"/>
              </w:rPr>
              <w:t>My Action Planning (MAP) activity; commitment-based reflection</w:t>
            </w:r>
          </w:p>
        </w:tc>
      </w:tr>
    </w:tbl>
    <w:p>
      <w:pPr>
        <w:spacing w:before="120" w:after="120"/>
      </w:pPr>
      <w:r>
        <w:rPr>
          <w:color w:val="CCCCCC"/>
          <w:sz w:val="16"/>
        </w:rPr>
        <w:t>──────────────────────────────────────────────────</w:t>
      </w:r>
    </w:p>
    <w:p>
      <w:pPr>
        <w:pStyle w:val="Heading2"/>
      </w:pPr>
      <w:r>
        <w:t>4. Sub-Learning Outcomes</w:t>
      </w:r>
    </w:p>
    <w:p>
      <w:pPr>
        <w:pStyle w:val="Heading3"/>
      </w:pPr>
      <w:r>
        <w:t>CLO 1: Define accessibility beyond physical barriers</w:t>
      </w:r>
    </w:p>
    <w:p/>
    <w:p>
      <w:pPr>
        <w:ind w:left="680"/>
      </w:pPr>
      <w:r>
        <w:rPr>
          <w:rFonts w:ascii="Arial" w:hAnsi="Arial"/>
        </w:rPr>
        <w:t xml:space="preserve">•  </w:t>
      </w:r>
      <w:r>
        <w:t>1.1 Identify at least three categories of barriers (attitudinal, systemic, communication, digital, policy) that people with disabilities encounter in healthcare environments.</w:t>
      </w:r>
    </w:p>
    <w:p/>
    <w:p>
      <w:pPr>
        <w:ind w:left="680"/>
      </w:pPr>
      <w:r>
        <w:rPr>
          <w:rFonts w:ascii="Arial" w:hAnsi="Arial"/>
        </w:rPr>
        <w:t xml:space="preserve">•  </w:t>
      </w:r>
      <w:r>
        <w:t>1.2 Distinguish between the medical model, social model, and rights-based model of disability.</w:t>
      </w:r>
    </w:p>
    <w:p/>
    <w:p>
      <w:pPr>
        <w:ind w:left="680"/>
      </w:pPr>
      <w:r>
        <w:rPr>
          <w:rFonts w:ascii="Arial" w:hAnsi="Arial"/>
        </w:rPr>
        <w:t xml:space="preserve">•  </w:t>
      </w:r>
      <w:r>
        <w:t>1.3 Recognize accessibility as a human right, not a discretionary service enhancement.</w:t>
      </w:r>
    </w:p>
    <w:p>
      <w:pPr>
        <w:pStyle w:val="Heading3"/>
      </w:pPr>
      <w:r>
        <w:t>CLO 2: Explain key legislative foundations (AODA, OHRC)</w:t>
      </w:r>
    </w:p>
    <w:p/>
    <w:p>
      <w:pPr>
        <w:ind w:left="680"/>
      </w:pPr>
      <w:r>
        <w:rPr>
          <w:rFonts w:ascii="Arial" w:hAnsi="Arial"/>
        </w:rPr>
        <w:t xml:space="preserve">•  </w:t>
      </w:r>
      <w:r>
        <w:t>2.1 Summarize the purpose and scope of the AODA and its relevance to UHN as a designated public sector organization in Ontario.</w:t>
      </w:r>
    </w:p>
    <w:p/>
    <w:p>
      <w:pPr>
        <w:ind w:left="680"/>
      </w:pPr>
      <w:r>
        <w:rPr>
          <w:rFonts w:ascii="Arial" w:hAnsi="Arial"/>
        </w:rPr>
        <w:t xml:space="preserve">•  </w:t>
      </w:r>
      <w:r>
        <w:t>2.2 Describe UHN's obligations under the OHRC, including the duty to accommodate to the point of undue hardship.</w:t>
      </w:r>
    </w:p>
    <w:p/>
    <w:p>
      <w:pPr>
        <w:ind w:left="680"/>
      </w:pPr>
      <w:r>
        <w:rPr>
          <w:rFonts w:ascii="Arial" w:hAnsi="Arial"/>
        </w:rPr>
        <w:t xml:space="preserve">•  </w:t>
      </w:r>
      <w:r>
        <w:t>2.3 Connect UHN's Accessibility Policy to the broader legislative framework.</w:t>
      </w:r>
    </w:p>
    <w:p>
      <w:pPr>
        <w:pStyle w:val="Heading3"/>
      </w:pPr>
      <w:r>
        <w:t>CLO 3: Analyze intersectionality in healthcare delivery</w:t>
      </w:r>
    </w:p>
    <w:p/>
    <w:p>
      <w:pPr>
        <w:ind w:left="680"/>
      </w:pPr>
      <w:r>
        <w:rPr>
          <w:rFonts w:ascii="Arial" w:hAnsi="Arial"/>
        </w:rPr>
        <w:t xml:space="preserve">•  </w:t>
      </w:r>
      <w:r>
        <w:t>3.1 Explain how overlapping identity factors (race, gender, age, income, language) compound the impact of disability-related barriers.</w:t>
      </w:r>
    </w:p>
    <w:p/>
    <w:p>
      <w:pPr>
        <w:ind w:left="680"/>
      </w:pPr>
      <w:r>
        <w:rPr>
          <w:rFonts w:ascii="Arial" w:hAnsi="Arial"/>
        </w:rPr>
        <w:t xml:space="preserve">•  </w:t>
      </w:r>
      <w:r>
        <w:t>3.2 Identify examples of intersectional barriers that patients and staff may experience within UHN settings.</w:t>
      </w:r>
    </w:p>
    <w:p>
      <w:pPr>
        <w:pStyle w:val="Heading3"/>
      </w:pPr>
      <w:r>
        <w:t>CLO 4: Differentiate reactive accommodation from proactive design</w:t>
      </w:r>
    </w:p>
    <w:p/>
    <w:p>
      <w:pPr>
        <w:ind w:left="680"/>
      </w:pPr>
      <w:r>
        <w:rPr>
          <w:rFonts w:ascii="Arial" w:hAnsi="Arial"/>
        </w:rPr>
        <w:t xml:space="preserve">•  </w:t>
      </w:r>
      <w:r>
        <w:t>4.1 Describe the limitations of a case-by-case accommodation model in a large healthcare organization.</w:t>
      </w:r>
    </w:p>
    <w:p/>
    <w:p>
      <w:pPr>
        <w:ind w:left="680"/>
      </w:pPr>
      <w:r>
        <w:rPr>
          <w:rFonts w:ascii="Arial" w:hAnsi="Arial"/>
        </w:rPr>
        <w:t xml:space="preserve">•  </w:t>
      </w:r>
      <w:r>
        <w:t>4.2 Explain how proactive, governance-based approaches to accessibility reduce institutional burden and improve dignity.</w:t>
      </w:r>
    </w:p>
    <w:p/>
    <w:p>
      <w:pPr>
        <w:ind w:left="680"/>
      </w:pPr>
      <w:r>
        <w:rPr>
          <w:rFonts w:ascii="Arial" w:hAnsi="Arial"/>
        </w:rPr>
        <w:t xml:space="preserve">•  </w:t>
      </w:r>
      <w:r>
        <w:t>4.3 Apply the Accessibility Decision Path framework (Pause and Assess, Listen and Ask, Apply, Adapt, Seek Support) to a workplace scenario.</w:t>
      </w:r>
    </w:p>
    <w:p>
      <w:pPr>
        <w:pStyle w:val="Heading3"/>
      </w:pPr>
      <w:r>
        <w:t>CLO 5: Identify personal and team actions for shared responsibility</w:t>
      </w:r>
    </w:p>
    <w:p/>
    <w:p>
      <w:pPr>
        <w:ind w:left="680"/>
      </w:pPr>
      <w:r>
        <w:rPr>
          <w:rFonts w:ascii="Arial" w:hAnsi="Arial"/>
        </w:rPr>
        <w:t xml:space="preserve">•  </w:t>
      </w:r>
      <w:r>
        <w:t>5.1 Articulate how accessibility responsibility extends beyond dedicated accessibility staff to every role at UHN.</w:t>
      </w:r>
    </w:p>
    <w:p/>
    <w:p>
      <w:pPr>
        <w:ind w:left="680"/>
      </w:pPr>
      <w:r>
        <w:rPr>
          <w:rFonts w:ascii="Arial" w:hAnsi="Arial"/>
        </w:rPr>
        <w:t xml:space="preserve">•  </w:t>
      </w:r>
      <w:r>
        <w:t>5.2 Identify at least two concrete actions the learner can take in their own role to advance accessible practice.</w:t>
      </w:r>
    </w:p>
    <w:p/>
    <w:p>
      <w:pPr>
        <w:ind w:left="680"/>
      </w:pPr>
      <w:r>
        <w:rPr>
          <w:rFonts w:ascii="Arial" w:hAnsi="Arial"/>
        </w:rPr>
        <w:t xml:space="preserve">•  </w:t>
      </w:r>
      <w:r>
        <w:t>5.3 Commit to a personal action using the My Action Planning (MAP) framework.</w:t>
      </w:r>
    </w:p>
    <w:p>
      <w:pPr>
        <w:spacing w:before="120" w:after="120"/>
      </w:pPr>
      <w:r>
        <w:rPr>
          <w:color w:val="CCCCCC"/>
          <w:sz w:val="16"/>
        </w:rPr>
        <w:t>──────────────────────────────────────────────────</w:t>
      </w:r>
    </w:p>
    <w:p>
      <w:pPr>
        <w:pStyle w:val="Heading2"/>
      </w:pPr>
      <w:r>
        <w:t>5. Module and Lesson Structure</w:t>
      </w:r>
    </w:p>
    <w:p>
      <w:pPr>
        <w:pStyle w:val="Heading3"/>
      </w:pPr>
      <w:r>
        <w:t>Module 1: Welcome and Course Orientation (approx. 3–5 min)</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Lesson</w:t>
            </w:r>
          </w:p>
        </w:tc>
        <w:tc>
          <w:tcPr>
            <w:tcW w:type="dxa" w:w="3343"/>
            <w:shd w:fill="192858" w:val="clear"/>
          </w:tcPr>
          <w:p>
            <w:pPr/>
            <w:r>
              <w:rPr>
                <w:b/>
                <w:color w:val="FFFFFF"/>
                <w:sz w:val="18"/>
              </w:rPr>
            </w:r>
            <w:r>
              <w:rPr>
                <w:b/>
                <w:color w:val="FFFFFF"/>
                <w:sz w:val="18"/>
              </w:rPr>
              <w:t>Content Focus</w:t>
            </w:r>
          </w:p>
        </w:tc>
        <w:tc>
          <w:tcPr>
            <w:tcW w:type="dxa" w:w="3343"/>
            <w:shd w:fill="192858" w:val="clear"/>
          </w:tcPr>
          <w:p>
            <w:pPr/>
            <w:r>
              <w:rPr>
                <w:b/>
                <w:color w:val="FFFFFF"/>
                <w:sz w:val="18"/>
              </w:rPr>
            </w:r>
            <w:r>
              <w:rPr>
                <w:b/>
                <w:color w:val="FFFFFF"/>
                <w:sz w:val="18"/>
              </w:rPr>
              <w:t>Screen Type</w:t>
            </w:r>
          </w:p>
        </w:tc>
      </w:tr>
      <w:tr>
        <w:tc>
          <w:tcPr>
            <w:tcW w:type="dxa" w:w="3343"/>
          </w:tcPr>
          <w:p>
            <w:pPr/>
            <w:r>
              <w:rPr>
                <w:sz w:val="18"/>
              </w:rPr>
            </w:r>
            <w:r>
              <w:rPr>
                <w:sz w:val="18"/>
              </w:rPr>
              <w:t>1.1 Welcome and Purpose</w:t>
            </w:r>
          </w:p>
        </w:tc>
        <w:tc>
          <w:tcPr>
            <w:tcW w:type="dxa" w:w="3343"/>
          </w:tcPr>
          <w:p>
            <w:pPr/>
            <w:r>
              <w:rPr>
                <w:sz w:val="18"/>
              </w:rPr>
            </w:r>
            <w:r>
              <w:rPr>
                <w:sz w:val="18"/>
              </w:rPr>
              <w:t>Course introduction; why this series exists; connection to UHN values</w:t>
            </w:r>
          </w:p>
        </w:tc>
        <w:tc>
          <w:tcPr>
            <w:tcW w:type="dxa" w:w="3343"/>
          </w:tcPr>
          <w:p>
            <w:pPr/>
            <w:r>
              <w:rPr>
                <w:sz w:val="18"/>
              </w:rPr>
            </w:r>
            <w:r>
              <w:rPr>
                <w:sz w:val="18"/>
              </w:rPr>
              <w:t>Intro screen</w:t>
            </w:r>
          </w:p>
        </w:tc>
      </w:tr>
      <w:tr>
        <w:tc>
          <w:tcPr>
            <w:tcW w:type="dxa" w:w="3343"/>
          </w:tcPr>
          <w:p>
            <w:pPr/>
            <w:r>
              <w:rPr>
                <w:sz w:val="18"/>
              </w:rPr>
            </w:r>
            <w:r>
              <w:rPr>
                <w:sz w:val="18"/>
              </w:rPr>
              <w:t>1.2 Learning Objectives</w:t>
            </w:r>
          </w:p>
        </w:tc>
        <w:tc>
          <w:tcPr>
            <w:tcW w:type="dxa" w:w="3343"/>
          </w:tcPr>
          <w:p>
            <w:pPr/>
            <w:r>
              <w:rPr>
                <w:sz w:val="18"/>
              </w:rPr>
            </w:r>
            <w:r>
              <w:rPr>
                <w:sz w:val="18"/>
              </w:rPr>
              <w:t>Display CLOs 1–5; overview of what the learner will be able to do</w:t>
            </w:r>
          </w:p>
        </w:tc>
        <w:tc>
          <w:tcPr>
            <w:tcW w:type="dxa" w:w="3343"/>
          </w:tcPr>
          <w:p>
            <w:pPr/>
            <w:r>
              <w:rPr>
                <w:sz w:val="18"/>
              </w:rPr>
            </w:r>
            <w:r>
              <w:rPr>
                <w:sz w:val="18"/>
              </w:rPr>
              <w:t>Objectives screen</w:t>
            </w:r>
          </w:p>
        </w:tc>
      </w:tr>
      <w:tr>
        <w:tc>
          <w:tcPr>
            <w:tcW w:type="dxa" w:w="3343"/>
          </w:tcPr>
          <w:p>
            <w:pPr/>
            <w:r>
              <w:rPr>
                <w:sz w:val="18"/>
              </w:rPr>
            </w:r>
            <w:r>
              <w:rPr>
                <w:sz w:val="18"/>
              </w:rPr>
              <w:t>1.3 How to Navigate This Course</w:t>
            </w:r>
          </w:p>
        </w:tc>
        <w:tc>
          <w:tcPr>
            <w:tcW w:type="dxa" w:w="3343"/>
          </w:tcPr>
          <w:p>
            <w:pPr/>
            <w:r>
              <w:rPr>
                <w:sz w:val="18"/>
              </w:rPr>
            </w:r>
            <w:r>
              <w:rPr>
                <w:sz w:val="18"/>
              </w:rPr>
              <w:t>Navigation instructions; accessibility features of the course shell</w:t>
            </w:r>
          </w:p>
        </w:tc>
        <w:tc>
          <w:tcPr>
            <w:tcW w:type="dxa" w:w="3343"/>
          </w:tcPr>
          <w:p>
            <w:pPr/>
            <w:r>
              <w:rPr>
                <w:sz w:val="18"/>
              </w:rPr>
            </w:r>
            <w:r>
              <w:rPr>
                <w:sz w:val="18"/>
              </w:rPr>
              <w:t>Orientation screen</w:t>
            </w:r>
          </w:p>
        </w:tc>
      </w:tr>
    </w:tbl>
    <w:p>
      <w:pPr>
        <w:pStyle w:val="Heading3"/>
      </w:pPr>
      <w:r>
        <w:t>Module 2: Understanding Disability (approx. 8–10 min)</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Lesson</w:t>
            </w:r>
          </w:p>
        </w:tc>
        <w:tc>
          <w:tcPr>
            <w:tcW w:type="dxa" w:w="3343"/>
            <w:shd w:fill="192858" w:val="clear"/>
          </w:tcPr>
          <w:p>
            <w:pPr/>
            <w:r>
              <w:rPr>
                <w:b/>
                <w:color w:val="FFFFFF"/>
                <w:sz w:val="18"/>
              </w:rPr>
            </w:r>
            <w:r>
              <w:rPr>
                <w:b/>
                <w:color w:val="FFFFFF"/>
                <w:sz w:val="18"/>
              </w:rPr>
              <w:t>Content Focus</w:t>
            </w:r>
          </w:p>
        </w:tc>
        <w:tc>
          <w:tcPr>
            <w:tcW w:type="dxa" w:w="3343"/>
            <w:shd w:fill="192858" w:val="clear"/>
          </w:tcPr>
          <w:p>
            <w:pPr/>
            <w:r>
              <w:rPr>
                <w:b/>
                <w:color w:val="FFFFFF"/>
                <w:sz w:val="18"/>
              </w:rPr>
            </w:r>
            <w:r>
              <w:rPr>
                <w:b/>
                <w:color w:val="FFFFFF"/>
                <w:sz w:val="18"/>
              </w:rPr>
              <w:t>Screen Type</w:t>
            </w:r>
          </w:p>
        </w:tc>
      </w:tr>
      <w:tr>
        <w:tc>
          <w:tcPr>
            <w:tcW w:type="dxa" w:w="3343"/>
          </w:tcPr>
          <w:p>
            <w:pPr/>
            <w:r>
              <w:rPr>
                <w:sz w:val="18"/>
              </w:rPr>
            </w:r>
            <w:r>
              <w:rPr>
                <w:sz w:val="18"/>
              </w:rPr>
              <w:t>2.1 What Is Accessibility?</w:t>
            </w:r>
          </w:p>
        </w:tc>
        <w:tc>
          <w:tcPr>
            <w:tcW w:type="dxa" w:w="3343"/>
          </w:tcPr>
          <w:p>
            <w:pPr/>
            <w:r>
              <w:rPr>
                <w:sz w:val="18"/>
              </w:rPr>
            </w:r>
            <w:r>
              <w:rPr>
                <w:sz w:val="18"/>
              </w:rPr>
              <w:t>Expanding the definition beyond physical barriers; five categories of barriers</w:t>
            </w:r>
          </w:p>
        </w:tc>
        <w:tc>
          <w:tcPr>
            <w:tcW w:type="dxa" w:w="3343"/>
          </w:tcPr>
          <w:p>
            <w:pPr/>
            <w:r>
              <w:rPr>
                <w:sz w:val="18"/>
              </w:rPr>
            </w:r>
            <w:r>
              <w:rPr>
                <w:sz w:val="18"/>
              </w:rPr>
              <w:t>Core concept screen</w:t>
            </w:r>
          </w:p>
        </w:tc>
      </w:tr>
      <w:tr>
        <w:tc>
          <w:tcPr>
            <w:tcW w:type="dxa" w:w="3343"/>
          </w:tcPr>
          <w:p>
            <w:pPr/>
            <w:r>
              <w:rPr>
                <w:sz w:val="18"/>
              </w:rPr>
            </w:r>
            <w:r>
              <w:rPr>
                <w:sz w:val="18"/>
              </w:rPr>
              <w:t>2.2 Models of Disability</w:t>
            </w:r>
          </w:p>
        </w:tc>
        <w:tc>
          <w:tcPr>
            <w:tcW w:type="dxa" w:w="3343"/>
          </w:tcPr>
          <w:p>
            <w:pPr/>
            <w:r>
              <w:rPr>
                <w:sz w:val="18"/>
              </w:rPr>
            </w:r>
            <w:r>
              <w:rPr>
                <w:sz w:val="18"/>
              </w:rPr>
              <w:t>Medical model, social model, rights-based model; comparison and evolution</w:t>
            </w:r>
          </w:p>
        </w:tc>
        <w:tc>
          <w:tcPr>
            <w:tcW w:type="dxa" w:w="3343"/>
          </w:tcPr>
          <w:p>
            <w:pPr/>
            <w:r>
              <w:rPr>
                <w:sz w:val="18"/>
              </w:rPr>
            </w:r>
            <w:r>
              <w:rPr>
                <w:sz w:val="18"/>
              </w:rPr>
              <w:t>Core concept screen</w:t>
            </w:r>
          </w:p>
        </w:tc>
      </w:tr>
      <w:tr>
        <w:tc>
          <w:tcPr>
            <w:tcW w:type="dxa" w:w="3343"/>
          </w:tcPr>
          <w:p>
            <w:pPr/>
            <w:r>
              <w:rPr>
                <w:sz w:val="18"/>
              </w:rPr>
            </w:r>
            <w:r>
              <w:rPr>
                <w:sz w:val="18"/>
              </w:rPr>
              <w:t>2.3 Accessibility as a Human Right</w:t>
            </w:r>
          </w:p>
        </w:tc>
        <w:tc>
          <w:tcPr>
            <w:tcW w:type="dxa" w:w="3343"/>
          </w:tcPr>
          <w:p>
            <w:pPr/>
            <w:r>
              <w:rPr>
                <w:sz w:val="18"/>
              </w:rPr>
            </w:r>
            <w:r>
              <w:rPr>
                <w:sz w:val="18"/>
              </w:rPr>
              <w:t>Dignity, independence, inclusion; framing accessibility as non-negotiable</w:t>
            </w:r>
          </w:p>
        </w:tc>
        <w:tc>
          <w:tcPr>
            <w:tcW w:type="dxa" w:w="3343"/>
          </w:tcPr>
          <w:p>
            <w:pPr/>
            <w:r>
              <w:rPr>
                <w:sz w:val="18"/>
              </w:rPr>
            </w:r>
            <w:r>
              <w:rPr>
                <w:sz w:val="18"/>
              </w:rPr>
              <w:t>Core concept screen</w:t>
            </w:r>
          </w:p>
        </w:tc>
      </w:tr>
      <w:tr>
        <w:tc>
          <w:tcPr>
            <w:tcW w:type="dxa" w:w="3343"/>
          </w:tcPr>
          <w:p>
            <w:pPr/>
            <w:r>
              <w:rPr>
                <w:sz w:val="18"/>
              </w:rPr>
            </w:r>
            <w:r>
              <w:rPr>
                <w:sz w:val="18"/>
              </w:rPr>
              <w:t>2.4 Knowledge Check 1</w:t>
            </w:r>
          </w:p>
        </w:tc>
        <w:tc>
          <w:tcPr>
            <w:tcW w:type="dxa" w:w="3343"/>
          </w:tcPr>
          <w:p>
            <w:pPr/>
            <w:r>
              <w:rPr>
                <w:sz w:val="18"/>
              </w:rPr>
            </w:r>
            <w:r>
              <w:rPr>
                <w:sz w:val="18"/>
              </w:rPr>
              <w:t>Assess CLO 1 (barrier identification, model differentiation)</w:t>
            </w:r>
          </w:p>
        </w:tc>
        <w:tc>
          <w:tcPr>
            <w:tcW w:type="dxa" w:w="3343"/>
          </w:tcPr>
          <w:p>
            <w:pPr/>
            <w:r>
              <w:rPr>
                <w:sz w:val="18"/>
              </w:rPr>
            </w:r>
            <w:r>
              <w:rPr>
                <w:sz w:val="18"/>
              </w:rPr>
              <w:t>Assessment screen</w:t>
            </w:r>
          </w:p>
        </w:tc>
      </w:tr>
    </w:tbl>
    <w:p>
      <w:pPr>
        <w:pStyle w:val="Heading3"/>
      </w:pPr>
      <w:r>
        <w:t>Module 3: Legislative and Policy Foundations (approx. 5–7 min)</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Lesson</w:t>
            </w:r>
          </w:p>
        </w:tc>
        <w:tc>
          <w:tcPr>
            <w:tcW w:type="dxa" w:w="3343"/>
            <w:shd w:fill="192858" w:val="clear"/>
          </w:tcPr>
          <w:p>
            <w:pPr/>
            <w:r>
              <w:rPr>
                <w:b/>
                <w:color w:val="FFFFFF"/>
                <w:sz w:val="18"/>
              </w:rPr>
            </w:r>
            <w:r>
              <w:rPr>
                <w:b/>
                <w:color w:val="FFFFFF"/>
                <w:sz w:val="18"/>
              </w:rPr>
              <w:t>Content Focus</w:t>
            </w:r>
          </w:p>
        </w:tc>
        <w:tc>
          <w:tcPr>
            <w:tcW w:type="dxa" w:w="3343"/>
            <w:shd w:fill="192858" w:val="clear"/>
          </w:tcPr>
          <w:p>
            <w:pPr/>
            <w:r>
              <w:rPr>
                <w:b/>
                <w:color w:val="FFFFFF"/>
                <w:sz w:val="18"/>
              </w:rPr>
            </w:r>
            <w:r>
              <w:rPr>
                <w:b/>
                <w:color w:val="FFFFFF"/>
                <w:sz w:val="18"/>
              </w:rPr>
              <w:t>Screen Type</w:t>
            </w:r>
          </w:p>
        </w:tc>
      </w:tr>
      <w:tr>
        <w:tc>
          <w:tcPr>
            <w:tcW w:type="dxa" w:w="3343"/>
          </w:tcPr>
          <w:p>
            <w:pPr/>
            <w:r>
              <w:rPr>
                <w:sz w:val="18"/>
              </w:rPr>
            </w:r>
            <w:r>
              <w:rPr>
                <w:sz w:val="18"/>
              </w:rPr>
              <w:t>3.1 The AODA: Ontario's Accessibility Law</w:t>
            </w:r>
          </w:p>
        </w:tc>
        <w:tc>
          <w:tcPr>
            <w:tcW w:type="dxa" w:w="3343"/>
          </w:tcPr>
          <w:p>
            <w:pPr/>
            <w:r>
              <w:rPr>
                <w:sz w:val="18"/>
              </w:rPr>
            </w:r>
            <w:r>
              <w:rPr>
                <w:sz w:val="18"/>
              </w:rPr>
              <w:t>Overview; five AODA standards; UHN as designated public sector</w:t>
            </w:r>
          </w:p>
        </w:tc>
        <w:tc>
          <w:tcPr>
            <w:tcW w:type="dxa" w:w="3343"/>
          </w:tcPr>
          <w:p>
            <w:pPr/>
            <w:r>
              <w:rPr>
                <w:sz w:val="18"/>
              </w:rPr>
            </w:r>
            <w:r>
              <w:rPr>
                <w:sz w:val="18"/>
              </w:rPr>
              <w:t>Core concept screen</w:t>
            </w:r>
          </w:p>
        </w:tc>
      </w:tr>
      <w:tr>
        <w:tc>
          <w:tcPr>
            <w:tcW w:type="dxa" w:w="3343"/>
          </w:tcPr>
          <w:p>
            <w:pPr/>
            <w:r>
              <w:rPr>
                <w:sz w:val="18"/>
              </w:rPr>
            </w:r>
            <w:r>
              <w:rPr>
                <w:sz w:val="18"/>
              </w:rPr>
              <w:t>3.2 The Ontario Human Rights Code</w:t>
            </w:r>
          </w:p>
        </w:tc>
        <w:tc>
          <w:tcPr>
            <w:tcW w:type="dxa" w:w="3343"/>
          </w:tcPr>
          <w:p>
            <w:pPr/>
            <w:r>
              <w:rPr>
                <w:sz w:val="18"/>
              </w:rPr>
            </w:r>
            <w:r>
              <w:rPr>
                <w:sz w:val="18"/>
              </w:rPr>
              <w:t>Duty to accommodate; protected grounds; intersection with AODA</w:t>
            </w:r>
          </w:p>
        </w:tc>
        <w:tc>
          <w:tcPr>
            <w:tcW w:type="dxa" w:w="3343"/>
          </w:tcPr>
          <w:p>
            <w:pPr/>
            <w:r>
              <w:rPr>
                <w:sz w:val="18"/>
              </w:rPr>
            </w:r>
            <w:r>
              <w:rPr>
                <w:sz w:val="18"/>
              </w:rPr>
              <w:t>Core concept screen</w:t>
            </w:r>
          </w:p>
        </w:tc>
      </w:tr>
      <w:tr>
        <w:tc>
          <w:tcPr>
            <w:tcW w:type="dxa" w:w="3343"/>
          </w:tcPr>
          <w:p>
            <w:pPr/>
            <w:r>
              <w:rPr>
                <w:sz w:val="18"/>
              </w:rPr>
            </w:r>
            <w:r>
              <w:rPr>
                <w:sz w:val="18"/>
              </w:rPr>
              <w:t>3.3 UHN's Accessibility Policy</w:t>
            </w:r>
          </w:p>
        </w:tc>
        <w:tc>
          <w:tcPr>
            <w:tcW w:type="dxa" w:w="3343"/>
          </w:tcPr>
          <w:p>
            <w:pPr/>
            <w:r>
              <w:rPr>
                <w:sz w:val="18"/>
              </w:rPr>
            </w:r>
            <w:r>
              <w:rPr>
                <w:sz w:val="18"/>
              </w:rPr>
              <w:t>Connection to legislation; organizational commitments</w:t>
            </w:r>
          </w:p>
        </w:tc>
        <w:tc>
          <w:tcPr>
            <w:tcW w:type="dxa" w:w="3343"/>
          </w:tcPr>
          <w:p>
            <w:pPr/>
            <w:r>
              <w:rPr>
                <w:sz w:val="18"/>
              </w:rPr>
            </w:r>
            <w:r>
              <w:rPr>
                <w:sz w:val="18"/>
              </w:rPr>
              <w:t>Core concept screen</w:t>
            </w:r>
          </w:p>
        </w:tc>
      </w:tr>
      <w:tr>
        <w:tc>
          <w:tcPr>
            <w:tcW w:type="dxa" w:w="3343"/>
          </w:tcPr>
          <w:p>
            <w:pPr/>
            <w:r>
              <w:rPr>
                <w:sz w:val="18"/>
              </w:rPr>
            </w:r>
            <w:r>
              <w:rPr>
                <w:sz w:val="18"/>
              </w:rPr>
              <w:t>3.4 Knowledge Check 2</w:t>
            </w:r>
          </w:p>
        </w:tc>
        <w:tc>
          <w:tcPr>
            <w:tcW w:type="dxa" w:w="3343"/>
          </w:tcPr>
          <w:p>
            <w:pPr/>
            <w:r>
              <w:rPr>
                <w:sz w:val="18"/>
              </w:rPr>
            </w:r>
            <w:r>
              <w:rPr>
                <w:sz w:val="18"/>
              </w:rPr>
              <w:t>Assess CLO 2 (legislation matching, obligation identification)</w:t>
            </w:r>
          </w:p>
        </w:tc>
        <w:tc>
          <w:tcPr>
            <w:tcW w:type="dxa" w:w="3343"/>
          </w:tcPr>
          <w:p>
            <w:pPr/>
            <w:r>
              <w:rPr>
                <w:sz w:val="18"/>
              </w:rPr>
            </w:r>
            <w:r>
              <w:rPr>
                <w:sz w:val="18"/>
              </w:rPr>
              <w:t>Assessment screen</w:t>
            </w:r>
          </w:p>
        </w:tc>
      </w:tr>
    </w:tbl>
    <w:p>
      <w:pPr>
        <w:pStyle w:val="Heading3"/>
      </w:pPr>
      <w:r>
        <w:t>Module 4: Intersectionality in Healthcare (approx. 5–7 min)</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Lesson</w:t>
            </w:r>
          </w:p>
        </w:tc>
        <w:tc>
          <w:tcPr>
            <w:tcW w:type="dxa" w:w="3343"/>
            <w:shd w:fill="192858" w:val="clear"/>
          </w:tcPr>
          <w:p>
            <w:pPr/>
            <w:r>
              <w:rPr>
                <w:b/>
                <w:color w:val="FFFFFF"/>
                <w:sz w:val="18"/>
              </w:rPr>
            </w:r>
            <w:r>
              <w:rPr>
                <w:b/>
                <w:color w:val="FFFFFF"/>
                <w:sz w:val="18"/>
              </w:rPr>
              <w:t>Content Focus</w:t>
            </w:r>
          </w:p>
        </w:tc>
        <w:tc>
          <w:tcPr>
            <w:tcW w:type="dxa" w:w="3343"/>
            <w:shd w:fill="192858" w:val="clear"/>
          </w:tcPr>
          <w:p>
            <w:pPr/>
            <w:r>
              <w:rPr>
                <w:b/>
                <w:color w:val="FFFFFF"/>
                <w:sz w:val="18"/>
              </w:rPr>
            </w:r>
            <w:r>
              <w:rPr>
                <w:b/>
                <w:color w:val="FFFFFF"/>
                <w:sz w:val="18"/>
              </w:rPr>
              <w:t>Screen Type</w:t>
            </w:r>
          </w:p>
        </w:tc>
      </w:tr>
      <w:tr>
        <w:tc>
          <w:tcPr>
            <w:tcW w:type="dxa" w:w="3343"/>
          </w:tcPr>
          <w:p>
            <w:pPr/>
            <w:r>
              <w:rPr>
                <w:sz w:val="18"/>
              </w:rPr>
            </w:r>
            <w:r>
              <w:rPr>
                <w:sz w:val="18"/>
              </w:rPr>
              <w:t>4.1 What Is Intersectionality?</w:t>
            </w:r>
          </w:p>
        </w:tc>
        <w:tc>
          <w:tcPr>
            <w:tcW w:type="dxa" w:w="3343"/>
          </w:tcPr>
          <w:p>
            <w:pPr/>
            <w:r>
              <w:rPr>
                <w:sz w:val="18"/>
              </w:rPr>
            </w:r>
            <w:r>
              <w:rPr>
                <w:sz w:val="18"/>
              </w:rPr>
              <w:t>Definition; how identity factors compound barriers</w:t>
            </w:r>
          </w:p>
        </w:tc>
        <w:tc>
          <w:tcPr>
            <w:tcW w:type="dxa" w:w="3343"/>
          </w:tcPr>
          <w:p>
            <w:pPr/>
            <w:r>
              <w:rPr>
                <w:sz w:val="18"/>
              </w:rPr>
            </w:r>
            <w:r>
              <w:rPr>
                <w:sz w:val="18"/>
              </w:rPr>
              <w:t>Core concept screen</w:t>
            </w:r>
          </w:p>
        </w:tc>
      </w:tr>
      <w:tr>
        <w:tc>
          <w:tcPr>
            <w:tcW w:type="dxa" w:w="3343"/>
          </w:tcPr>
          <w:p>
            <w:pPr/>
            <w:r>
              <w:rPr>
                <w:sz w:val="18"/>
              </w:rPr>
            </w:r>
            <w:r>
              <w:rPr>
                <w:sz w:val="18"/>
              </w:rPr>
              <w:t>4.2 Intersectionality at UHN</w:t>
            </w:r>
          </w:p>
        </w:tc>
        <w:tc>
          <w:tcPr>
            <w:tcW w:type="dxa" w:w="3343"/>
          </w:tcPr>
          <w:p>
            <w:pPr/>
            <w:r>
              <w:rPr>
                <w:sz w:val="18"/>
              </w:rPr>
            </w:r>
            <w:r>
              <w:rPr>
                <w:sz w:val="18"/>
              </w:rPr>
              <w:t>Examples in patient care and employee experience</w:t>
            </w:r>
          </w:p>
        </w:tc>
        <w:tc>
          <w:tcPr>
            <w:tcW w:type="dxa" w:w="3343"/>
          </w:tcPr>
          <w:p>
            <w:pPr/>
            <w:r>
              <w:rPr>
                <w:sz w:val="18"/>
              </w:rPr>
            </w:r>
            <w:r>
              <w:rPr>
                <w:sz w:val="18"/>
              </w:rPr>
              <w:t>Scenario screen</w:t>
            </w:r>
          </w:p>
        </w:tc>
      </w:tr>
      <w:tr>
        <w:tc>
          <w:tcPr>
            <w:tcW w:type="dxa" w:w="3343"/>
          </w:tcPr>
          <w:p>
            <w:pPr/>
            <w:r>
              <w:rPr>
                <w:sz w:val="18"/>
              </w:rPr>
            </w:r>
            <w:r>
              <w:rPr>
                <w:sz w:val="18"/>
              </w:rPr>
              <w:t>4.3 Scenario Practice: Compounded Barriers</w:t>
            </w:r>
          </w:p>
        </w:tc>
        <w:tc>
          <w:tcPr>
            <w:tcW w:type="dxa" w:w="3343"/>
          </w:tcPr>
          <w:p>
            <w:pPr/>
            <w:r>
              <w:rPr>
                <w:sz w:val="18"/>
              </w:rPr>
            </w:r>
            <w:r>
              <w:rPr>
                <w:sz w:val="18"/>
              </w:rPr>
              <w:t>Interactive scenario exploring intersecting identities</w:t>
            </w:r>
          </w:p>
        </w:tc>
        <w:tc>
          <w:tcPr>
            <w:tcW w:type="dxa" w:w="3343"/>
          </w:tcPr>
          <w:p>
            <w:pPr/>
            <w:r>
              <w:rPr>
                <w:sz w:val="18"/>
              </w:rPr>
            </w:r>
            <w:r>
              <w:rPr>
                <w:sz w:val="18"/>
              </w:rPr>
              <w:t>Scenario/reflection screen</w:t>
            </w:r>
          </w:p>
        </w:tc>
      </w:tr>
    </w:tbl>
    <w:p>
      <w:pPr>
        <w:pStyle w:val="Heading3"/>
      </w:pPr>
      <w:r>
        <w:t>Module 5: From Accommodation to Proactive Design (approx. 5–7 min)</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Lesson</w:t>
            </w:r>
          </w:p>
        </w:tc>
        <w:tc>
          <w:tcPr>
            <w:tcW w:type="dxa" w:w="3343"/>
            <w:shd w:fill="192858" w:val="clear"/>
          </w:tcPr>
          <w:p>
            <w:pPr/>
            <w:r>
              <w:rPr>
                <w:b/>
                <w:color w:val="FFFFFF"/>
                <w:sz w:val="18"/>
              </w:rPr>
            </w:r>
            <w:r>
              <w:rPr>
                <w:b/>
                <w:color w:val="FFFFFF"/>
                <w:sz w:val="18"/>
              </w:rPr>
              <w:t>Content Focus</w:t>
            </w:r>
          </w:p>
        </w:tc>
        <w:tc>
          <w:tcPr>
            <w:tcW w:type="dxa" w:w="3343"/>
            <w:shd w:fill="192858" w:val="clear"/>
          </w:tcPr>
          <w:p>
            <w:pPr/>
            <w:r>
              <w:rPr>
                <w:b/>
                <w:color w:val="FFFFFF"/>
                <w:sz w:val="18"/>
              </w:rPr>
            </w:r>
            <w:r>
              <w:rPr>
                <w:b/>
                <w:color w:val="FFFFFF"/>
                <w:sz w:val="18"/>
              </w:rPr>
              <w:t>Screen Type</w:t>
            </w:r>
          </w:p>
        </w:tc>
      </w:tr>
      <w:tr>
        <w:tc>
          <w:tcPr>
            <w:tcW w:type="dxa" w:w="3343"/>
          </w:tcPr>
          <w:p>
            <w:pPr/>
            <w:r>
              <w:rPr>
                <w:sz w:val="18"/>
              </w:rPr>
            </w:r>
            <w:r>
              <w:rPr>
                <w:sz w:val="18"/>
              </w:rPr>
              <w:t>5.1 The Limits of Reactive Accommodation</w:t>
            </w:r>
          </w:p>
        </w:tc>
        <w:tc>
          <w:tcPr>
            <w:tcW w:type="dxa" w:w="3343"/>
          </w:tcPr>
          <w:p>
            <w:pPr/>
            <w:r>
              <w:rPr>
                <w:sz w:val="18"/>
              </w:rPr>
            </w:r>
            <w:r>
              <w:rPr>
                <w:sz w:val="18"/>
              </w:rPr>
              <w:t>Case-by-case burden; dignity implications; compliance vs. culture</w:t>
            </w:r>
          </w:p>
        </w:tc>
        <w:tc>
          <w:tcPr>
            <w:tcW w:type="dxa" w:w="3343"/>
          </w:tcPr>
          <w:p>
            <w:pPr/>
            <w:r>
              <w:rPr>
                <w:sz w:val="18"/>
              </w:rPr>
            </w:r>
            <w:r>
              <w:rPr>
                <w:sz w:val="18"/>
              </w:rPr>
              <w:t>Core concept screen</w:t>
            </w:r>
          </w:p>
        </w:tc>
      </w:tr>
      <w:tr>
        <w:tc>
          <w:tcPr>
            <w:tcW w:type="dxa" w:w="3343"/>
          </w:tcPr>
          <w:p>
            <w:pPr/>
            <w:r>
              <w:rPr>
                <w:sz w:val="18"/>
              </w:rPr>
            </w:r>
            <w:r>
              <w:rPr>
                <w:sz w:val="18"/>
              </w:rPr>
              <w:t>5.2 Proactive, Governance-Based Design</w:t>
            </w:r>
          </w:p>
        </w:tc>
        <w:tc>
          <w:tcPr>
            <w:tcW w:type="dxa" w:w="3343"/>
          </w:tcPr>
          <w:p>
            <w:pPr/>
            <w:r>
              <w:rPr>
                <w:sz w:val="18"/>
              </w:rPr>
            </w:r>
            <w:r>
              <w:rPr>
                <w:sz w:val="18"/>
              </w:rPr>
              <w:t>Shifting to design-first thinking; organizational accountability</w:t>
            </w:r>
          </w:p>
        </w:tc>
        <w:tc>
          <w:tcPr>
            <w:tcW w:type="dxa" w:w="3343"/>
          </w:tcPr>
          <w:p>
            <w:pPr/>
            <w:r>
              <w:rPr>
                <w:sz w:val="18"/>
              </w:rPr>
            </w:r>
            <w:r>
              <w:rPr>
                <w:sz w:val="18"/>
              </w:rPr>
              <w:t>Core concept screen</w:t>
            </w:r>
          </w:p>
        </w:tc>
      </w:tr>
      <w:tr>
        <w:tc>
          <w:tcPr>
            <w:tcW w:type="dxa" w:w="3343"/>
          </w:tcPr>
          <w:p>
            <w:pPr/>
            <w:r>
              <w:rPr>
                <w:sz w:val="18"/>
              </w:rPr>
            </w:r>
            <w:r>
              <w:rPr>
                <w:sz w:val="18"/>
              </w:rPr>
              <w:t>5.3 Accessibility Decision Path</w:t>
            </w:r>
          </w:p>
        </w:tc>
        <w:tc>
          <w:tcPr>
            <w:tcW w:type="dxa" w:w="3343"/>
          </w:tcPr>
          <w:p>
            <w:pPr/>
            <w:r>
              <w:rPr>
                <w:sz w:val="18"/>
              </w:rPr>
            </w:r>
            <w:r>
              <w:rPr>
                <w:sz w:val="18"/>
              </w:rPr>
              <w:t>Interactive walkthrough: Pause and Assess, Listen and Ask, Apply, Adapt, Seek Support</w:t>
            </w:r>
          </w:p>
        </w:tc>
        <w:tc>
          <w:tcPr>
            <w:tcW w:type="dxa" w:w="3343"/>
          </w:tcPr>
          <w:p>
            <w:pPr/>
            <w:r>
              <w:rPr>
                <w:sz w:val="18"/>
              </w:rPr>
            </w:r>
            <w:r>
              <w:rPr>
                <w:sz w:val="18"/>
              </w:rPr>
              <w:t>Decision-path interaction</w:t>
            </w:r>
          </w:p>
        </w:tc>
      </w:tr>
      <w:tr>
        <w:tc>
          <w:tcPr>
            <w:tcW w:type="dxa" w:w="3343"/>
          </w:tcPr>
          <w:p>
            <w:pPr/>
            <w:r>
              <w:rPr>
                <w:sz w:val="18"/>
              </w:rPr>
            </w:r>
            <w:r>
              <w:rPr>
                <w:sz w:val="18"/>
              </w:rPr>
              <w:t>5.4 Scenario Practice: Policy vs. Practice</w:t>
            </w:r>
          </w:p>
        </w:tc>
        <w:tc>
          <w:tcPr>
            <w:tcW w:type="dxa" w:w="3343"/>
          </w:tcPr>
          <w:p>
            <w:pPr/>
            <w:r>
              <w:rPr>
                <w:sz w:val="18"/>
              </w:rPr>
            </w:r>
            <w:r>
              <w:rPr>
                <w:sz w:val="18"/>
              </w:rPr>
              <w:t>Branching scenario comparing reactive and proactive responses</w:t>
            </w:r>
          </w:p>
        </w:tc>
        <w:tc>
          <w:tcPr>
            <w:tcW w:type="dxa" w:w="3343"/>
          </w:tcPr>
          <w:p>
            <w:pPr/>
            <w:r>
              <w:rPr>
                <w:sz w:val="18"/>
              </w:rPr>
            </w:r>
            <w:r>
              <w:rPr>
                <w:sz w:val="18"/>
              </w:rPr>
              <w:t>Scenario screen</w:t>
            </w:r>
          </w:p>
        </w:tc>
      </w:tr>
    </w:tbl>
    <w:p>
      <w:pPr>
        <w:pStyle w:val="Heading3"/>
      </w:pPr>
      <w:r>
        <w:t>Module 6: Shared Responsibility and Action Planning (approx. 5–8 min)</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Lesson</w:t>
            </w:r>
          </w:p>
        </w:tc>
        <w:tc>
          <w:tcPr>
            <w:tcW w:type="dxa" w:w="3343"/>
            <w:shd w:fill="192858" w:val="clear"/>
          </w:tcPr>
          <w:p>
            <w:pPr/>
            <w:r>
              <w:rPr>
                <w:b/>
                <w:color w:val="FFFFFF"/>
                <w:sz w:val="18"/>
              </w:rPr>
            </w:r>
            <w:r>
              <w:rPr>
                <w:b/>
                <w:color w:val="FFFFFF"/>
                <w:sz w:val="18"/>
              </w:rPr>
              <w:t>Content Focus</w:t>
            </w:r>
          </w:p>
        </w:tc>
        <w:tc>
          <w:tcPr>
            <w:tcW w:type="dxa" w:w="3343"/>
            <w:shd w:fill="192858" w:val="clear"/>
          </w:tcPr>
          <w:p>
            <w:pPr/>
            <w:r>
              <w:rPr>
                <w:b/>
                <w:color w:val="FFFFFF"/>
                <w:sz w:val="18"/>
              </w:rPr>
            </w:r>
            <w:r>
              <w:rPr>
                <w:b/>
                <w:color w:val="FFFFFF"/>
                <w:sz w:val="18"/>
              </w:rPr>
              <w:t>Screen Type</w:t>
            </w:r>
          </w:p>
        </w:tc>
      </w:tr>
      <w:tr>
        <w:tc>
          <w:tcPr>
            <w:tcW w:type="dxa" w:w="3343"/>
          </w:tcPr>
          <w:p>
            <w:pPr/>
            <w:r>
              <w:rPr>
                <w:sz w:val="18"/>
              </w:rPr>
            </w:r>
            <w:r>
              <w:rPr>
                <w:sz w:val="18"/>
              </w:rPr>
              <w:t>6.1 Accessibility Is Everyone's Job</w:t>
            </w:r>
          </w:p>
        </w:tc>
        <w:tc>
          <w:tcPr>
            <w:tcW w:type="dxa" w:w="3343"/>
          </w:tcPr>
          <w:p>
            <w:pPr/>
            <w:r>
              <w:rPr>
                <w:sz w:val="18"/>
              </w:rPr>
            </w:r>
            <w:r>
              <w:rPr>
                <w:sz w:val="18"/>
              </w:rPr>
              <w:t>Shared responsibility model; moving beyond "someone else's problem"</w:t>
            </w:r>
          </w:p>
        </w:tc>
        <w:tc>
          <w:tcPr>
            <w:tcW w:type="dxa" w:w="3343"/>
          </w:tcPr>
          <w:p>
            <w:pPr/>
            <w:r>
              <w:rPr>
                <w:sz w:val="18"/>
              </w:rPr>
            </w:r>
            <w:r>
              <w:rPr>
                <w:sz w:val="18"/>
              </w:rPr>
              <w:t>Core concept screen</w:t>
            </w:r>
          </w:p>
        </w:tc>
      </w:tr>
      <w:tr>
        <w:tc>
          <w:tcPr>
            <w:tcW w:type="dxa" w:w="3343"/>
          </w:tcPr>
          <w:p>
            <w:pPr/>
            <w:r>
              <w:rPr>
                <w:sz w:val="18"/>
              </w:rPr>
            </w:r>
            <w:r>
              <w:rPr>
                <w:sz w:val="18"/>
              </w:rPr>
              <w:t>6.2 Accessibility in Practice</w:t>
            </w:r>
          </w:p>
        </w:tc>
        <w:tc>
          <w:tcPr>
            <w:tcW w:type="dxa" w:w="3343"/>
          </w:tcPr>
          <w:p>
            <w:pPr/>
            <w:r>
              <w:rPr>
                <w:sz w:val="18"/>
              </w:rPr>
            </w:r>
            <w:r>
              <w:rPr>
                <w:sz w:val="18"/>
              </w:rPr>
              <w:t>Four-quadrant model: Awareness, Communication, Environment, Response</w:t>
            </w:r>
          </w:p>
        </w:tc>
        <w:tc>
          <w:tcPr>
            <w:tcW w:type="dxa" w:w="3343"/>
          </w:tcPr>
          <w:p>
            <w:pPr/>
            <w:r>
              <w:rPr>
                <w:sz w:val="18"/>
              </w:rPr>
            </w:r>
            <w:r>
              <w:rPr>
                <w:sz w:val="18"/>
              </w:rPr>
              <w:t>Interactive screen</w:t>
            </w:r>
          </w:p>
        </w:tc>
      </w:tr>
      <w:tr>
        <w:tc>
          <w:tcPr>
            <w:tcW w:type="dxa" w:w="3343"/>
          </w:tcPr>
          <w:p>
            <w:pPr/>
            <w:r>
              <w:rPr>
                <w:sz w:val="18"/>
              </w:rPr>
            </w:r>
            <w:r>
              <w:rPr>
                <w:sz w:val="18"/>
              </w:rPr>
              <w:t>6.3 Guiding Principles</w:t>
            </w:r>
          </w:p>
        </w:tc>
        <w:tc>
          <w:tcPr>
            <w:tcW w:type="dxa" w:w="3343"/>
          </w:tcPr>
          <w:p>
            <w:pPr/>
            <w:r>
              <w:rPr>
                <w:sz w:val="18"/>
              </w:rPr>
            </w:r>
            <w:r>
              <w:rPr>
                <w:sz w:val="18"/>
              </w:rPr>
              <w:t>Five principles: Dignity, Independence/Autonomy, Inclusion/Participation, Proactive Barrier Prevention, Equity/Rights/Intersectionality</w:t>
            </w:r>
          </w:p>
        </w:tc>
        <w:tc>
          <w:tcPr>
            <w:tcW w:type="dxa" w:w="3343"/>
          </w:tcPr>
          <w:p>
            <w:pPr/>
            <w:r>
              <w:rPr>
                <w:sz w:val="18"/>
              </w:rPr>
            </w:r>
            <w:r>
              <w:rPr>
                <w:sz w:val="18"/>
              </w:rPr>
              <w:t>Principle cards</w:t>
            </w:r>
          </w:p>
        </w:tc>
      </w:tr>
      <w:tr>
        <w:tc>
          <w:tcPr>
            <w:tcW w:type="dxa" w:w="3343"/>
          </w:tcPr>
          <w:p>
            <w:pPr/>
            <w:r>
              <w:rPr>
                <w:sz w:val="18"/>
              </w:rPr>
            </w:r>
            <w:r>
              <w:rPr>
                <w:sz w:val="18"/>
              </w:rPr>
              <w:t>6.4 Scenario Practice: Employee Awareness</w:t>
            </w:r>
          </w:p>
        </w:tc>
        <w:tc>
          <w:tcPr>
            <w:tcW w:type="dxa" w:w="3343"/>
          </w:tcPr>
          <w:p>
            <w:pPr/>
            <w:r>
              <w:rPr>
                <w:sz w:val="18"/>
              </w:rPr>
            </w:r>
            <w:r>
              <w:rPr>
                <w:sz w:val="18"/>
              </w:rPr>
              <w:t>Scenario exploring day-to-day workplace accessibility</w:t>
            </w:r>
          </w:p>
        </w:tc>
        <w:tc>
          <w:tcPr>
            <w:tcW w:type="dxa" w:w="3343"/>
          </w:tcPr>
          <w:p>
            <w:pPr/>
            <w:r>
              <w:rPr>
                <w:sz w:val="18"/>
              </w:rPr>
            </w:r>
            <w:r>
              <w:rPr>
                <w:sz w:val="18"/>
              </w:rPr>
              <w:t>Scenario screen</w:t>
            </w:r>
          </w:p>
        </w:tc>
      </w:tr>
      <w:tr>
        <w:tc>
          <w:tcPr>
            <w:tcW w:type="dxa" w:w="3343"/>
          </w:tcPr>
          <w:p>
            <w:pPr/>
            <w:r>
              <w:rPr>
                <w:sz w:val="18"/>
              </w:rPr>
            </w:r>
            <w:r>
              <w:rPr>
                <w:sz w:val="18"/>
              </w:rPr>
              <w:t>6.5 My Action Planning (MAP)</w:t>
            </w:r>
          </w:p>
        </w:tc>
        <w:tc>
          <w:tcPr>
            <w:tcW w:type="dxa" w:w="3343"/>
          </w:tcPr>
          <w:p>
            <w:pPr/>
            <w:r>
              <w:rPr>
                <w:sz w:val="18"/>
              </w:rPr>
            </w:r>
            <w:r>
              <w:rPr>
                <w:sz w:val="18"/>
              </w:rPr>
              <w:t>Personal commitment activity; downloadable action plan</w:t>
            </w:r>
          </w:p>
        </w:tc>
        <w:tc>
          <w:tcPr>
            <w:tcW w:type="dxa" w:w="3343"/>
          </w:tcPr>
          <w:p>
            <w:pPr/>
            <w:r>
              <w:rPr>
                <w:sz w:val="18"/>
              </w:rPr>
            </w:r>
            <w:r>
              <w:rPr>
                <w:sz w:val="18"/>
              </w:rPr>
              <w:t>Action planning screen</w:t>
            </w:r>
          </w:p>
        </w:tc>
      </w:tr>
      <w:tr>
        <w:tc>
          <w:tcPr>
            <w:tcW w:type="dxa" w:w="3343"/>
          </w:tcPr>
          <w:p>
            <w:pPr/>
            <w:r>
              <w:rPr>
                <w:sz w:val="18"/>
              </w:rPr>
            </w:r>
            <w:r>
              <w:rPr>
                <w:sz w:val="18"/>
              </w:rPr>
              <w:t>6.6 Key Takeaways and Resources</w:t>
            </w:r>
          </w:p>
        </w:tc>
        <w:tc>
          <w:tcPr>
            <w:tcW w:type="dxa" w:w="3343"/>
          </w:tcPr>
          <w:p>
            <w:pPr/>
            <w:r>
              <w:rPr>
                <w:sz w:val="18"/>
              </w:rPr>
            </w:r>
            <w:r>
              <w:rPr>
                <w:sz w:val="18"/>
              </w:rPr>
              <w:t>Summary; links to UHN resources; course completion</w:t>
            </w:r>
          </w:p>
        </w:tc>
        <w:tc>
          <w:tcPr>
            <w:tcW w:type="dxa" w:w="3343"/>
          </w:tcPr>
          <w:p>
            <w:pPr/>
            <w:r>
              <w:rPr>
                <w:sz w:val="18"/>
              </w:rPr>
            </w:r>
            <w:r>
              <w:rPr>
                <w:sz w:val="18"/>
              </w:rPr>
              <w:t>Completion screen</w:t>
            </w:r>
          </w:p>
        </w:tc>
      </w:tr>
    </w:tbl>
    <w:p>
      <w:r/>
      <w:r>
        <w:rPr>
          <w:b/>
        </w:rPr>
        <w:t>Total estimated screens:</w:t>
      </w:r>
      <w:r>
        <w:t xml:space="preserve"> 18–22</w:t>
      </w:r>
    </w:p>
    <w:p>
      <w:pPr>
        <w:spacing w:before="120" w:after="120"/>
      </w:pPr>
      <w:r>
        <w:rPr>
          <w:color w:val="CCCCCC"/>
          <w:sz w:val="16"/>
        </w:rPr>
        <w:t>──────────────────────────────────────────────────</w:t>
      </w:r>
    </w:p>
    <w:p>
      <w:pPr>
        <w:pStyle w:val="Heading2"/>
      </w:pPr>
      <w:r>
        <w:t>6. Assessment Strategy Summary</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Assessment Type</w:t>
            </w:r>
          </w:p>
        </w:tc>
        <w:tc>
          <w:tcPr>
            <w:tcW w:type="dxa" w:w="2507"/>
            <w:shd w:fill="192858" w:val="clear"/>
          </w:tcPr>
          <w:p>
            <w:pPr/>
            <w:r>
              <w:rPr>
                <w:b/>
                <w:color w:val="FFFFFF"/>
                <w:sz w:val="18"/>
              </w:rPr>
            </w:r>
            <w:r>
              <w:rPr>
                <w:b/>
                <w:color w:val="FFFFFF"/>
                <w:sz w:val="18"/>
              </w:rPr>
              <w:t>Purpose</w:t>
            </w:r>
          </w:p>
        </w:tc>
        <w:tc>
          <w:tcPr>
            <w:tcW w:type="dxa" w:w="2507"/>
            <w:shd w:fill="192858" w:val="clear"/>
          </w:tcPr>
          <w:p>
            <w:pPr/>
            <w:r>
              <w:rPr>
                <w:b/>
                <w:color w:val="FFFFFF"/>
                <w:sz w:val="18"/>
              </w:rPr>
            </w:r>
            <w:r>
              <w:rPr>
                <w:b/>
                <w:color w:val="FFFFFF"/>
                <w:sz w:val="18"/>
              </w:rPr>
              <w:t>Alignment</w:t>
            </w:r>
          </w:p>
        </w:tc>
        <w:tc>
          <w:tcPr>
            <w:tcW w:type="dxa" w:w="2507"/>
            <w:shd w:fill="192858" w:val="clear"/>
          </w:tcPr>
          <w:p>
            <w:pPr/>
            <w:r>
              <w:rPr>
                <w:b/>
                <w:color w:val="FFFFFF"/>
                <w:sz w:val="18"/>
              </w:rPr>
            </w:r>
            <w:r>
              <w:rPr>
                <w:b/>
                <w:color w:val="FFFFFF"/>
                <w:sz w:val="18"/>
              </w:rPr>
              <w:t>Placement</w:t>
            </w:r>
          </w:p>
        </w:tc>
      </w:tr>
      <w:tr>
        <w:tc>
          <w:tcPr>
            <w:tcW w:type="dxa" w:w="2507"/>
          </w:tcPr>
          <w:p>
            <w:pPr/>
            <w:r>
              <w:rPr>
                <w:sz w:val="18"/>
              </w:rPr>
            </w:r>
            <w:r>
              <w:rPr>
                <w:sz w:val="18"/>
              </w:rPr>
            </w:r>
            <w:r>
              <w:rPr>
                <w:b/>
                <w:sz w:val="18"/>
              </w:rPr>
              <w:t>Knowledge Check 1</w:t>
            </w:r>
            <w:r>
              <w:rPr>
                <w:sz w:val="18"/>
              </w:rPr>
              <w:t xml:space="preserve"> (multiple-choice, 2–3 items)</w:t>
            </w:r>
          </w:p>
        </w:tc>
        <w:tc>
          <w:tcPr>
            <w:tcW w:type="dxa" w:w="2507"/>
          </w:tcPr>
          <w:p>
            <w:pPr/>
            <w:r>
              <w:rPr>
                <w:sz w:val="18"/>
              </w:rPr>
            </w:r>
            <w:r>
              <w:rPr>
                <w:sz w:val="18"/>
              </w:rPr>
              <w:t>Confirm understanding of barrier types and disability models</w:t>
            </w:r>
          </w:p>
        </w:tc>
        <w:tc>
          <w:tcPr>
            <w:tcW w:type="dxa" w:w="2507"/>
          </w:tcPr>
          <w:p>
            <w:pPr/>
            <w:r>
              <w:rPr>
                <w:sz w:val="18"/>
              </w:rPr>
            </w:r>
            <w:r>
              <w:rPr>
                <w:sz w:val="18"/>
              </w:rPr>
              <w:t>CLO 1</w:t>
            </w:r>
          </w:p>
        </w:tc>
        <w:tc>
          <w:tcPr>
            <w:tcW w:type="dxa" w:w="2507"/>
          </w:tcPr>
          <w:p>
            <w:pPr/>
            <w:r>
              <w:rPr>
                <w:sz w:val="18"/>
              </w:rPr>
            </w:r>
            <w:r>
              <w:rPr>
                <w:sz w:val="18"/>
              </w:rPr>
              <w:t>End of Module 2</w:t>
            </w:r>
          </w:p>
        </w:tc>
      </w:tr>
      <w:tr>
        <w:tc>
          <w:tcPr>
            <w:tcW w:type="dxa" w:w="2507"/>
          </w:tcPr>
          <w:p>
            <w:pPr/>
            <w:r>
              <w:rPr>
                <w:sz w:val="18"/>
              </w:rPr>
            </w:r>
            <w:r>
              <w:rPr>
                <w:sz w:val="18"/>
              </w:rPr>
            </w:r>
            <w:r>
              <w:rPr>
                <w:b/>
                <w:sz w:val="18"/>
              </w:rPr>
              <w:t>Knowledge Check 2</w:t>
            </w:r>
            <w:r>
              <w:rPr>
                <w:sz w:val="18"/>
              </w:rPr>
              <w:t xml:space="preserve"> (drag-and-drop matching)</w:t>
            </w:r>
          </w:p>
        </w:tc>
        <w:tc>
          <w:tcPr>
            <w:tcW w:type="dxa" w:w="2507"/>
          </w:tcPr>
          <w:p>
            <w:pPr/>
            <w:r>
              <w:rPr>
                <w:sz w:val="18"/>
              </w:rPr>
            </w:r>
            <w:r>
              <w:rPr>
                <w:sz w:val="18"/>
              </w:rPr>
              <w:t>Confirm understanding of AODA/OHRC obligations</w:t>
            </w:r>
          </w:p>
        </w:tc>
        <w:tc>
          <w:tcPr>
            <w:tcW w:type="dxa" w:w="2507"/>
          </w:tcPr>
          <w:p>
            <w:pPr/>
            <w:r>
              <w:rPr>
                <w:sz w:val="18"/>
              </w:rPr>
            </w:r>
            <w:r>
              <w:rPr>
                <w:sz w:val="18"/>
              </w:rPr>
              <w:t>CLO 2</w:t>
            </w:r>
          </w:p>
        </w:tc>
        <w:tc>
          <w:tcPr>
            <w:tcW w:type="dxa" w:w="2507"/>
          </w:tcPr>
          <w:p>
            <w:pPr/>
            <w:r>
              <w:rPr>
                <w:sz w:val="18"/>
              </w:rPr>
            </w:r>
            <w:r>
              <w:rPr>
                <w:sz w:val="18"/>
              </w:rPr>
              <w:t>End of Module 3</w:t>
            </w:r>
          </w:p>
        </w:tc>
      </w:tr>
      <w:tr>
        <w:tc>
          <w:tcPr>
            <w:tcW w:type="dxa" w:w="2507"/>
          </w:tcPr>
          <w:p>
            <w:pPr/>
            <w:r>
              <w:rPr>
                <w:sz w:val="18"/>
              </w:rPr>
            </w:r>
            <w:r>
              <w:rPr>
                <w:sz w:val="18"/>
              </w:rPr>
            </w:r>
            <w:r>
              <w:rPr>
                <w:b/>
                <w:sz w:val="18"/>
              </w:rPr>
              <w:t>Scenario Reflection: Intersectionality</w:t>
            </w:r>
            <w:r>
              <w:rPr>
                <w:sz w:val="18"/>
              </w:rPr>
              <w:t xml:space="preserve"> (guided reflection with prompts)</w:t>
            </w:r>
          </w:p>
        </w:tc>
        <w:tc>
          <w:tcPr>
            <w:tcW w:type="dxa" w:w="2507"/>
          </w:tcPr>
          <w:p>
            <w:pPr/>
            <w:r>
              <w:rPr>
                <w:sz w:val="18"/>
              </w:rPr>
            </w:r>
            <w:r>
              <w:rPr>
                <w:sz w:val="18"/>
              </w:rPr>
              <w:t>Assess ability to analyze compounded barriers</w:t>
            </w:r>
          </w:p>
        </w:tc>
        <w:tc>
          <w:tcPr>
            <w:tcW w:type="dxa" w:w="2507"/>
          </w:tcPr>
          <w:p>
            <w:pPr/>
            <w:r>
              <w:rPr>
                <w:sz w:val="18"/>
              </w:rPr>
            </w:r>
            <w:r>
              <w:rPr>
                <w:sz w:val="18"/>
              </w:rPr>
              <w:t>CLO 3</w:t>
            </w:r>
          </w:p>
        </w:tc>
        <w:tc>
          <w:tcPr>
            <w:tcW w:type="dxa" w:w="2507"/>
          </w:tcPr>
          <w:p>
            <w:pPr/>
            <w:r>
              <w:rPr>
                <w:sz w:val="18"/>
              </w:rPr>
            </w:r>
            <w:r>
              <w:rPr>
                <w:sz w:val="18"/>
              </w:rPr>
              <w:t>Module 4</w:t>
            </w:r>
          </w:p>
        </w:tc>
      </w:tr>
      <w:tr>
        <w:tc>
          <w:tcPr>
            <w:tcW w:type="dxa" w:w="2507"/>
          </w:tcPr>
          <w:p>
            <w:pPr/>
            <w:r>
              <w:rPr>
                <w:sz w:val="18"/>
              </w:rPr>
            </w:r>
            <w:r>
              <w:rPr>
                <w:sz w:val="18"/>
              </w:rPr>
            </w:r>
            <w:r>
              <w:rPr>
                <w:b/>
                <w:sz w:val="18"/>
              </w:rPr>
              <w:t>Decision Path Interaction</w:t>
            </w:r>
            <w:r>
              <w:rPr>
                <w:sz w:val="18"/>
              </w:rPr>
              <w:t xml:space="preserve"> (branching scenario)</w:t>
            </w:r>
          </w:p>
        </w:tc>
        <w:tc>
          <w:tcPr>
            <w:tcW w:type="dxa" w:w="2507"/>
          </w:tcPr>
          <w:p>
            <w:pPr/>
            <w:r>
              <w:rPr>
                <w:sz w:val="18"/>
              </w:rPr>
            </w:r>
            <w:r>
              <w:rPr>
                <w:sz w:val="18"/>
              </w:rPr>
              <w:t>Assess ability to apply proactive vs. reactive approaches</w:t>
            </w:r>
          </w:p>
        </w:tc>
        <w:tc>
          <w:tcPr>
            <w:tcW w:type="dxa" w:w="2507"/>
          </w:tcPr>
          <w:p>
            <w:pPr/>
            <w:r>
              <w:rPr>
                <w:sz w:val="18"/>
              </w:rPr>
            </w:r>
            <w:r>
              <w:rPr>
                <w:sz w:val="18"/>
              </w:rPr>
              <w:t>CLO 4</w:t>
            </w:r>
          </w:p>
        </w:tc>
        <w:tc>
          <w:tcPr>
            <w:tcW w:type="dxa" w:w="2507"/>
          </w:tcPr>
          <w:p>
            <w:pPr/>
            <w:r>
              <w:rPr>
                <w:sz w:val="18"/>
              </w:rPr>
            </w:r>
            <w:r>
              <w:rPr>
                <w:sz w:val="18"/>
              </w:rPr>
              <w:t>Module 5</w:t>
            </w:r>
          </w:p>
        </w:tc>
      </w:tr>
      <w:tr>
        <w:tc>
          <w:tcPr>
            <w:tcW w:type="dxa" w:w="2507"/>
          </w:tcPr>
          <w:p>
            <w:pPr/>
            <w:r>
              <w:rPr>
                <w:sz w:val="18"/>
              </w:rPr>
            </w:r>
            <w:r>
              <w:rPr>
                <w:sz w:val="18"/>
              </w:rPr>
            </w:r>
            <w:r>
              <w:rPr>
                <w:b/>
                <w:sz w:val="18"/>
              </w:rPr>
              <w:t>My Action Planning (MAP)</w:t>
            </w:r>
            <w:r>
              <w:rPr>
                <w:sz w:val="18"/>
              </w:rPr>
              <w:t xml:space="preserve"> (open-ended commitment activity)</w:t>
            </w:r>
          </w:p>
        </w:tc>
        <w:tc>
          <w:tcPr>
            <w:tcW w:type="dxa" w:w="2507"/>
          </w:tcPr>
          <w:p>
            <w:pPr/>
            <w:r>
              <w:rPr>
                <w:sz w:val="18"/>
              </w:rPr>
            </w:r>
            <w:r>
              <w:rPr>
                <w:sz w:val="18"/>
              </w:rPr>
              <w:t>Assess ability to identify personal actions</w:t>
            </w:r>
          </w:p>
        </w:tc>
        <w:tc>
          <w:tcPr>
            <w:tcW w:type="dxa" w:w="2507"/>
          </w:tcPr>
          <w:p>
            <w:pPr/>
            <w:r>
              <w:rPr>
                <w:sz w:val="18"/>
              </w:rPr>
            </w:r>
            <w:r>
              <w:rPr>
                <w:sz w:val="18"/>
              </w:rPr>
              <w:t>CLO 5</w:t>
            </w:r>
          </w:p>
        </w:tc>
        <w:tc>
          <w:tcPr>
            <w:tcW w:type="dxa" w:w="2507"/>
          </w:tcPr>
          <w:p>
            <w:pPr/>
            <w:r>
              <w:rPr>
                <w:sz w:val="18"/>
              </w:rPr>
            </w:r>
            <w:r>
              <w:rPr>
                <w:sz w:val="18"/>
              </w:rPr>
              <w:t>Module 6</w:t>
            </w:r>
          </w:p>
        </w:tc>
      </w:tr>
    </w:tbl>
    <w:p>
      <w:r/>
      <w:r>
        <w:rPr>
          <w:b/>
        </w:rPr>
        <w:t>Grading approach:</w:t>
      </w:r>
      <w:r>
        <w:t xml:space="preserve"> This course uses a completion-based model. Knowledge checks provide formative feedback (correct/incorrect with rationale) but do not gate course completion. The MAP activity is required for completion.</w:t>
      </w:r>
    </w:p>
    <w:p>
      <w:r/>
      <w:r>
        <w:rPr>
          <w:b/>
        </w:rPr>
        <w:t>Passing criteria:</w:t>
      </w:r>
      <w:r>
        <w:t xml:space="preserve"> Learner must visit all required screens and complete the MAP activity to receive a completion status in the LMS.</w:t>
      </w:r>
    </w:p>
    <w:p>
      <w:pPr>
        <w:spacing w:before="120" w:after="120"/>
      </w:pPr>
      <w:r>
        <w:rPr>
          <w:color w:val="CCCCCC"/>
          <w:sz w:val="16"/>
        </w:rPr>
        <w:t>──────────────────────────────────────────────────</w:t>
      </w:r>
    </w:p>
    <w:p>
      <w:pPr>
        <w:pStyle w:val="Heading2"/>
      </w:pPr>
      <w:r>
        <w:t>7. Interaction Strategy Summary</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Interaction Type</w:t>
            </w:r>
          </w:p>
        </w:tc>
        <w:tc>
          <w:tcPr>
            <w:tcW w:type="dxa" w:w="2507"/>
            <w:shd w:fill="192858" w:val="clear"/>
          </w:tcPr>
          <w:p>
            <w:pPr/>
            <w:r>
              <w:rPr>
                <w:b/>
                <w:color w:val="FFFFFF"/>
                <w:sz w:val="18"/>
              </w:rPr>
            </w:r>
            <w:r>
              <w:rPr>
                <w:b/>
                <w:color w:val="FFFFFF"/>
                <w:sz w:val="18"/>
              </w:rPr>
              <w:t>Description</w:t>
            </w:r>
          </w:p>
        </w:tc>
        <w:tc>
          <w:tcPr>
            <w:tcW w:type="dxa" w:w="2507"/>
            <w:shd w:fill="192858" w:val="clear"/>
          </w:tcPr>
          <w:p>
            <w:pPr/>
            <w:r>
              <w:rPr>
                <w:b/>
                <w:color w:val="FFFFFF"/>
                <w:sz w:val="18"/>
              </w:rPr>
            </w:r>
            <w:r>
              <w:rPr>
                <w:b/>
                <w:color w:val="FFFFFF"/>
                <w:sz w:val="18"/>
              </w:rPr>
              <w:t>Frequency</w:t>
            </w:r>
          </w:p>
        </w:tc>
        <w:tc>
          <w:tcPr>
            <w:tcW w:type="dxa" w:w="2507"/>
            <w:shd w:fill="192858" w:val="clear"/>
          </w:tcPr>
          <w:p>
            <w:pPr/>
            <w:r>
              <w:rPr>
                <w:b/>
                <w:color w:val="FFFFFF"/>
                <w:sz w:val="18"/>
              </w:rPr>
            </w:r>
            <w:r>
              <w:rPr>
                <w:b/>
                <w:color w:val="FFFFFF"/>
                <w:sz w:val="18"/>
              </w:rPr>
              <w:t>Linked CLO(s)</w:t>
            </w:r>
          </w:p>
        </w:tc>
      </w:tr>
      <w:tr>
        <w:tc>
          <w:tcPr>
            <w:tcW w:type="dxa" w:w="2507"/>
          </w:tcPr>
          <w:p>
            <w:pPr/>
            <w:r>
              <w:rPr>
                <w:sz w:val="18"/>
              </w:rPr>
            </w:r>
            <w:r>
              <w:rPr>
                <w:sz w:val="18"/>
              </w:rPr>
            </w:r>
            <w:r>
              <w:rPr>
                <w:b/>
                <w:sz w:val="18"/>
              </w:rPr>
              <w:t>Horizontal step interaction</w:t>
            </w:r>
            <w:r>
              <w:rPr>
                <w:sz w:val="18"/>
              </w:rPr>
            </w:r>
          </w:p>
        </w:tc>
        <w:tc>
          <w:tcPr>
            <w:tcW w:type="dxa" w:w="2507"/>
          </w:tcPr>
          <w:p>
            <w:pPr/>
            <w:r>
              <w:rPr>
                <w:sz w:val="18"/>
              </w:rPr>
            </w:r>
            <w:r>
              <w:rPr>
                <w:sz w:val="18"/>
              </w:rPr>
              <w:t>Accessibility Decision Path walkthrough (5-step linear progression)</w:t>
            </w:r>
          </w:p>
        </w:tc>
        <w:tc>
          <w:tcPr>
            <w:tcW w:type="dxa" w:w="2507"/>
          </w:tcPr>
          <w:p>
            <w:pPr/>
            <w:r>
              <w:rPr>
                <w:sz w:val="18"/>
              </w:rPr>
            </w:r>
            <w:r>
              <w:rPr>
                <w:sz w:val="18"/>
              </w:rPr>
              <w:t>1 instance</w:t>
            </w:r>
          </w:p>
        </w:tc>
        <w:tc>
          <w:tcPr>
            <w:tcW w:type="dxa" w:w="2507"/>
          </w:tcPr>
          <w:p>
            <w:pPr/>
            <w:r>
              <w:rPr>
                <w:sz w:val="18"/>
              </w:rPr>
            </w:r>
            <w:r>
              <w:rPr>
                <w:sz w:val="18"/>
              </w:rPr>
              <w:t>CLO 4</w:t>
            </w:r>
          </w:p>
        </w:tc>
      </w:tr>
      <w:tr>
        <w:tc>
          <w:tcPr>
            <w:tcW w:type="dxa" w:w="2507"/>
          </w:tcPr>
          <w:p>
            <w:pPr/>
            <w:r>
              <w:rPr>
                <w:sz w:val="18"/>
              </w:rPr>
            </w:r>
            <w:r>
              <w:rPr>
                <w:sz w:val="18"/>
              </w:rPr>
            </w:r>
            <w:r>
              <w:rPr>
                <w:b/>
                <w:sz w:val="18"/>
              </w:rPr>
              <w:t>Four-quadrant interaction</w:t>
            </w:r>
            <w:r>
              <w:rPr>
                <w:sz w:val="18"/>
              </w:rPr>
            </w:r>
          </w:p>
        </w:tc>
        <w:tc>
          <w:tcPr>
            <w:tcW w:type="dxa" w:w="2507"/>
          </w:tcPr>
          <w:p>
            <w:pPr/>
            <w:r>
              <w:rPr>
                <w:sz w:val="18"/>
              </w:rPr>
            </w:r>
            <w:r>
              <w:rPr>
                <w:sz w:val="18"/>
              </w:rPr>
              <w:t>Accessibility in Practice model (Awareness, Communication, Environment, Response)</w:t>
            </w:r>
          </w:p>
        </w:tc>
        <w:tc>
          <w:tcPr>
            <w:tcW w:type="dxa" w:w="2507"/>
          </w:tcPr>
          <w:p>
            <w:pPr/>
            <w:r>
              <w:rPr>
                <w:sz w:val="18"/>
              </w:rPr>
            </w:r>
            <w:r>
              <w:rPr>
                <w:sz w:val="18"/>
              </w:rPr>
              <w:t>1 instance</w:t>
            </w:r>
          </w:p>
        </w:tc>
        <w:tc>
          <w:tcPr>
            <w:tcW w:type="dxa" w:w="2507"/>
          </w:tcPr>
          <w:p>
            <w:pPr/>
            <w:r>
              <w:rPr>
                <w:sz w:val="18"/>
              </w:rPr>
            </w:r>
            <w:r>
              <w:rPr>
                <w:sz w:val="18"/>
              </w:rPr>
              <w:t>CLO 5</w:t>
            </w:r>
          </w:p>
        </w:tc>
      </w:tr>
      <w:tr>
        <w:tc>
          <w:tcPr>
            <w:tcW w:type="dxa" w:w="2507"/>
          </w:tcPr>
          <w:p>
            <w:pPr/>
            <w:r>
              <w:rPr>
                <w:sz w:val="18"/>
              </w:rPr>
            </w:r>
            <w:r>
              <w:rPr>
                <w:sz w:val="18"/>
              </w:rPr>
            </w:r>
            <w:r>
              <w:rPr>
                <w:b/>
                <w:sz w:val="18"/>
              </w:rPr>
              <w:t>Branching scenario</w:t>
            </w:r>
            <w:r>
              <w:rPr>
                <w:sz w:val="18"/>
              </w:rPr>
            </w:r>
          </w:p>
        </w:tc>
        <w:tc>
          <w:tcPr>
            <w:tcW w:type="dxa" w:w="2507"/>
          </w:tcPr>
          <w:p>
            <w:pPr/>
            <w:r>
              <w:rPr>
                <w:sz w:val="18"/>
              </w:rPr>
            </w:r>
            <w:r>
              <w:rPr>
                <w:sz w:val="18"/>
              </w:rPr>
              <w:t>Policy vs. Practice scenario with decision points and consequences</w:t>
            </w:r>
          </w:p>
        </w:tc>
        <w:tc>
          <w:tcPr>
            <w:tcW w:type="dxa" w:w="2507"/>
          </w:tcPr>
          <w:p>
            <w:pPr/>
            <w:r>
              <w:rPr>
                <w:sz w:val="18"/>
              </w:rPr>
            </w:r>
            <w:r>
              <w:rPr>
                <w:sz w:val="18"/>
              </w:rPr>
              <w:t>1 instance</w:t>
            </w:r>
          </w:p>
        </w:tc>
        <w:tc>
          <w:tcPr>
            <w:tcW w:type="dxa" w:w="2507"/>
          </w:tcPr>
          <w:p>
            <w:pPr/>
            <w:r>
              <w:rPr>
                <w:sz w:val="18"/>
              </w:rPr>
            </w:r>
            <w:r>
              <w:rPr>
                <w:sz w:val="18"/>
              </w:rPr>
              <w:t>CLO 4</w:t>
            </w:r>
          </w:p>
        </w:tc>
      </w:tr>
      <w:tr>
        <w:tc>
          <w:tcPr>
            <w:tcW w:type="dxa" w:w="2507"/>
          </w:tcPr>
          <w:p>
            <w:pPr/>
            <w:r>
              <w:rPr>
                <w:sz w:val="18"/>
              </w:rPr>
            </w:r>
            <w:r>
              <w:rPr>
                <w:sz w:val="18"/>
              </w:rPr>
            </w:r>
            <w:r>
              <w:rPr>
                <w:b/>
                <w:sz w:val="18"/>
              </w:rPr>
              <w:t>Scenario-based reflection</w:t>
            </w:r>
            <w:r>
              <w:rPr>
                <w:sz w:val="18"/>
              </w:rPr>
            </w:r>
          </w:p>
        </w:tc>
        <w:tc>
          <w:tcPr>
            <w:tcW w:type="dxa" w:w="2507"/>
          </w:tcPr>
          <w:p>
            <w:pPr/>
            <w:r>
              <w:rPr>
                <w:sz w:val="18"/>
              </w:rPr>
            </w:r>
            <w:r>
              <w:rPr>
                <w:sz w:val="18"/>
              </w:rPr>
              <w:t>Guided scenario with reflection prompts (intersectionality, employee awareness, physical environment)</w:t>
            </w:r>
          </w:p>
        </w:tc>
        <w:tc>
          <w:tcPr>
            <w:tcW w:type="dxa" w:w="2507"/>
          </w:tcPr>
          <w:p>
            <w:pPr/>
            <w:r>
              <w:rPr>
                <w:sz w:val="18"/>
              </w:rPr>
            </w:r>
            <w:r>
              <w:rPr>
                <w:sz w:val="18"/>
              </w:rPr>
              <w:t>3 instances</w:t>
            </w:r>
          </w:p>
        </w:tc>
        <w:tc>
          <w:tcPr>
            <w:tcW w:type="dxa" w:w="2507"/>
          </w:tcPr>
          <w:p>
            <w:pPr/>
            <w:r>
              <w:rPr>
                <w:sz w:val="18"/>
              </w:rPr>
            </w:r>
            <w:r>
              <w:rPr>
                <w:sz w:val="18"/>
              </w:rPr>
              <w:t>CLO 3, CLO 5</w:t>
            </w:r>
          </w:p>
        </w:tc>
      </w:tr>
      <w:tr>
        <w:tc>
          <w:tcPr>
            <w:tcW w:type="dxa" w:w="2507"/>
          </w:tcPr>
          <w:p>
            <w:pPr/>
            <w:r>
              <w:rPr>
                <w:sz w:val="18"/>
              </w:rPr>
            </w:r>
            <w:r>
              <w:rPr>
                <w:sz w:val="18"/>
              </w:rPr>
            </w:r>
            <w:r>
              <w:rPr>
                <w:b/>
                <w:sz w:val="18"/>
              </w:rPr>
              <w:t>Drag-and-drop matching</w:t>
            </w:r>
            <w:r>
              <w:rPr>
                <w:sz w:val="18"/>
              </w:rPr>
            </w:r>
          </w:p>
        </w:tc>
        <w:tc>
          <w:tcPr>
            <w:tcW w:type="dxa" w:w="2507"/>
          </w:tcPr>
          <w:p>
            <w:pPr/>
            <w:r>
              <w:rPr>
                <w:sz w:val="18"/>
              </w:rPr>
            </w:r>
            <w:r>
              <w:rPr>
                <w:sz w:val="18"/>
              </w:rPr>
              <w:t>Legislation-to-obligation matching</w:t>
            </w:r>
          </w:p>
        </w:tc>
        <w:tc>
          <w:tcPr>
            <w:tcW w:type="dxa" w:w="2507"/>
          </w:tcPr>
          <w:p>
            <w:pPr/>
            <w:r>
              <w:rPr>
                <w:sz w:val="18"/>
              </w:rPr>
            </w:r>
            <w:r>
              <w:rPr>
                <w:sz w:val="18"/>
              </w:rPr>
              <w:t>1 instance</w:t>
            </w:r>
          </w:p>
        </w:tc>
        <w:tc>
          <w:tcPr>
            <w:tcW w:type="dxa" w:w="2507"/>
          </w:tcPr>
          <w:p>
            <w:pPr/>
            <w:r>
              <w:rPr>
                <w:sz w:val="18"/>
              </w:rPr>
            </w:r>
            <w:r>
              <w:rPr>
                <w:sz w:val="18"/>
              </w:rPr>
              <w:t>CLO 2</w:t>
            </w:r>
          </w:p>
        </w:tc>
      </w:tr>
      <w:tr>
        <w:tc>
          <w:tcPr>
            <w:tcW w:type="dxa" w:w="2507"/>
          </w:tcPr>
          <w:p>
            <w:pPr/>
            <w:r>
              <w:rPr>
                <w:sz w:val="18"/>
              </w:rPr>
            </w:r>
            <w:r>
              <w:rPr>
                <w:sz w:val="18"/>
              </w:rPr>
            </w:r>
            <w:r>
              <w:rPr>
                <w:b/>
                <w:sz w:val="18"/>
              </w:rPr>
              <w:t>Principle cards</w:t>
            </w:r>
            <w:r>
              <w:rPr>
                <w:sz w:val="18"/>
              </w:rPr>
            </w:r>
          </w:p>
        </w:tc>
        <w:tc>
          <w:tcPr>
            <w:tcW w:type="dxa" w:w="2507"/>
          </w:tcPr>
          <w:p>
            <w:pPr/>
            <w:r>
              <w:rPr>
                <w:sz w:val="18"/>
              </w:rPr>
            </w:r>
            <w:r>
              <w:rPr>
                <w:sz w:val="18"/>
              </w:rPr>
              <w:t>Click-to-reveal cards for five guiding principles</w:t>
            </w:r>
          </w:p>
        </w:tc>
        <w:tc>
          <w:tcPr>
            <w:tcW w:type="dxa" w:w="2507"/>
          </w:tcPr>
          <w:p>
            <w:pPr/>
            <w:r>
              <w:rPr>
                <w:sz w:val="18"/>
              </w:rPr>
            </w:r>
            <w:r>
              <w:rPr>
                <w:sz w:val="18"/>
              </w:rPr>
              <w:t>1 instance</w:t>
            </w:r>
          </w:p>
        </w:tc>
        <w:tc>
          <w:tcPr>
            <w:tcW w:type="dxa" w:w="2507"/>
          </w:tcPr>
          <w:p>
            <w:pPr/>
            <w:r>
              <w:rPr>
                <w:sz w:val="18"/>
              </w:rPr>
            </w:r>
            <w:r>
              <w:rPr>
                <w:sz w:val="18"/>
              </w:rPr>
              <w:t>CLO 5</w:t>
            </w:r>
          </w:p>
        </w:tc>
      </w:tr>
      <w:tr>
        <w:tc>
          <w:tcPr>
            <w:tcW w:type="dxa" w:w="2507"/>
          </w:tcPr>
          <w:p>
            <w:pPr/>
            <w:r>
              <w:rPr>
                <w:sz w:val="18"/>
              </w:rPr>
            </w:r>
            <w:r>
              <w:rPr>
                <w:sz w:val="18"/>
              </w:rPr>
            </w:r>
            <w:r>
              <w:rPr>
                <w:b/>
                <w:sz w:val="18"/>
              </w:rPr>
              <w:t>Compare-and-contrast</w:t>
            </w:r>
            <w:r>
              <w:rPr>
                <w:sz w:val="18"/>
              </w:rPr>
            </w:r>
          </w:p>
        </w:tc>
        <w:tc>
          <w:tcPr>
            <w:tcW w:type="dxa" w:w="2507"/>
          </w:tcPr>
          <w:p>
            <w:pPr/>
            <w:r>
              <w:rPr>
                <w:sz w:val="18"/>
              </w:rPr>
            </w:r>
            <w:r>
              <w:rPr>
                <w:sz w:val="18"/>
              </w:rPr>
              <w:t>Medical vs. social vs. rights-based model comparison</w:t>
            </w:r>
          </w:p>
        </w:tc>
        <w:tc>
          <w:tcPr>
            <w:tcW w:type="dxa" w:w="2507"/>
          </w:tcPr>
          <w:p>
            <w:pPr/>
            <w:r>
              <w:rPr>
                <w:sz w:val="18"/>
              </w:rPr>
            </w:r>
            <w:r>
              <w:rPr>
                <w:sz w:val="18"/>
              </w:rPr>
              <w:t>1 instance</w:t>
            </w:r>
          </w:p>
        </w:tc>
        <w:tc>
          <w:tcPr>
            <w:tcW w:type="dxa" w:w="2507"/>
          </w:tcPr>
          <w:p>
            <w:pPr/>
            <w:r>
              <w:rPr>
                <w:sz w:val="18"/>
              </w:rPr>
            </w:r>
            <w:r>
              <w:rPr>
                <w:sz w:val="18"/>
              </w:rPr>
              <w:t>CLO 1</w:t>
            </w:r>
          </w:p>
        </w:tc>
      </w:tr>
      <w:tr>
        <w:tc>
          <w:tcPr>
            <w:tcW w:type="dxa" w:w="2507"/>
          </w:tcPr>
          <w:p>
            <w:pPr/>
            <w:r>
              <w:rPr>
                <w:sz w:val="18"/>
              </w:rPr>
            </w:r>
            <w:r>
              <w:rPr>
                <w:sz w:val="18"/>
              </w:rPr>
            </w:r>
            <w:r>
              <w:rPr>
                <w:b/>
                <w:sz w:val="18"/>
              </w:rPr>
              <w:t>MAP action planning</w:t>
            </w:r>
            <w:r>
              <w:rPr>
                <w:sz w:val="18"/>
              </w:rPr>
            </w:r>
          </w:p>
        </w:tc>
        <w:tc>
          <w:tcPr>
            <w:tcW w:type="dxa" w:w="2507"/>
          </w:tcPr>
          <w:p>
            <w:pPr/>
            <w:r>
              <w:rPr>
                <w:sz w:val="18"/>
              </w:rPr>
            </w:r>
            <w:r>
              <w:rPr>
                <w:sz w:val="18"/>
              </w:rPr>
              <w:t>Downloadable, fillable personal action plan</w:t>
            </w:r>
          </w:p>
        </w:tc>
        <w:tc>
          <w:tcPr>
            <w:tcW w:type="dxa" w:w="2507"/>
          </w:tcPr>
          <w:p>
            <w:pPr/>
            <w:r>
              <w:rPr>
                <w:sz w:val="18"/>
              </w:rPr>
            </w:r>
            <w:r>
              <w:rPr>
                <w:sz w:val="18"/>
              </w:rPr>
              <w:t>1 instance</w:t>
            </w:r>
          </w:p>
        </w:tc>
        <w:tc>
          <w:tcPr>
            <w:tcW w:type="dxa" w:w="2507"/>
          </w:tcPr>
          <w:p>
            <w:pPr/>
            <w:r>
              <w:rPr>
                <w:sz w:val="18"/>
              </w:rPr>
            </w:r>
            <w:r>
              <w:rPr>
                <w:sz w:val="18"/>
              </w:rPr>
              <w:t>CLO 5</w:t>
            </w:r>
          </w:p>
        </w:tc>
      </w:tr>
    </w:tbl>
    <w:p>
      <w:r/>
      <w:r>
        <w:rPr>
          <w:b/>
        </w:rPr>
        <w:t>Design rationale:</w:t>
      </w:r>
      <w:r>
        <w:t xml:space="preserve"> Interactions prioritize reflection and application over recall. As the foundational course in the series, Guide 01 emphasizes awareness-building and attitude-shifting through scenario exposure and personal commitment rather than high-stakes testing.</w:t>
      </w:r>
    </w:p>
    <w:p>
      <w:pPr>
        <w:spacing w:before="120" w:after="120"/>
      </w:pPr>
      <w:r>
        <w:rPr>
          <w:color w:val="CCCCCC"/>
          <w:sz w:val="16"/>
        </w:rPr>
        <w:t>──────────────────────────────────────────────────</w:t>
      </w:r>
    </w:p>
    <w:p>
      <w:pPr>
        <w:pStyle w:val="Heading2"/>
      </w:pPr>
      <w:r>
        <w:t>8. Accessibility Considerations for This Course</w:t>
      </w:r>
    </w:p>
    <w:p>
      <w:pPr>
        <w:pStyle w:val="Heading3"/>
      </w:pPr>
      <w:r>
        <w:t>Content accessibility</w:t>
      </w:r>
    </w:p>
    <w:p/>
    <w:p>
      <w:pPr>
        <w:ind w:left="680"/>
      </w:pPr>
      <w:r>
        <w:rPr>
          <w:rFonts w:ascii="Arial" w:hAnsi="Arial"/>
        </w:rPr>
        <w:t xml:space="preserve">•  </w:t>
      </w:r>
      <w:r>
        <w:t>All text meets WCAG 2.1 AA contrast ratio requirements (minimum 4.5:1 for body text, 3:1 for large text).</w:t>
      </w:r>
    </w:p>
    <w:p/>
    <w:p>
      <w:pPr>
        <w:ind w:left="680"/>
      </w:pPr>
      <w:r>
        <w:rPr>
          <w:rFonts w:ascii="Arial" w:hAnsi="Arial"/>
        </w:rPr>
        <w:t xml:space="preserve">•  </w:t>
      </w:r>
      <w:r>
        <w:t>Plain language is used throughout; reading level targets Grade 8 (Flesch-Kincaid).</w:t>
      </w:r>
    </w:p>
    <w:p/>
    <w:p>
      <w:pPr>
        <w:ind w:left="680"/>
      </w:pPr>
      <w:r>
        <w:rPr>
          <w:rFonts w:ascii="Arial" w:hAnsi="Arial"/>
        </w:rPr>
        <w:t xml:space="preserve">•  </w:t>
      </w:r>
      <w:r>
        <w:t>All acronyms (AODA, OHRC, UHN, IPAC, MAP) are spelled out on first use.</w:t>
      </w:r>
    </w:p>
    <w:p/>
    <w:p>
      <w:pPr>
        <w:ind w:left="680"/>
      </w:pPr>
      <w:r>
        <w:rPr>
          <w:rFonts w:ascii="Arial" w:hAnsi="Arial"/>
        </w:rPr>
        <w:t xml:space="preserve">•  </w:t>
      </w:r>
      <w:r>
        <w:t>Content avoids ableist language and models respectful, person-centred terminology.</w:t>
      </w:r>
    </w:p>
    <w:p>
      <w:pPr>
        <w:pStyle w:val="Heading3"/>
      </w:pPr>
      <w:r>
        <w:t>Media accessibility</w:t>
      </w:r>
    </w:p>
    <w:p/>
    <w:p>
      <w:pPr>
        <w:ind w:left="680"/>
      </w:pPr>
      <w:r>
        <w:rPr>
          <w:rFonts w:ascii="Arial" w:hAnsi="Arial"/>
        </w:rPr>
        <w:t xml:space="preserve">•  </w:t>
      </w:r>
      <w:r>
        <w:t>All images include meaningful alt text descriptions in the storyboard.</w:t>
      </w:r>
    </w:p>
    <w:p/>
    <w:p>
      <w:pPr>
        <w:ind w:left="680"/>
      </w:pPr>
      <w:r>
        <w:rPr>
          <w:rFonts w:ascii="Arial" w:hAnsi="Arial"/>
        </w:rPr>
        <w:t xml:space="preserve">•  </w:t>
      </w:r>
      <w:r>
        <w:t>All audio/video content includes synchronized captions and downloadable transcripts.</w:t>
      </w:r>
    </w:p>
    <w:p/>
    <w:p>
      <w:pPr>
        <w:ind w:left="680"/>
      </w:pPr>
      <w:r>
        <w:rPr>
          <w:rFonts w:ascii="Arial" w:hAnsi="Arial"/>
        </w:rPr>
        <w:t xml:space="preserve">•  </w:t>
      </w:r>
      <w:r>
        <w:t>No content is conveyed through colour alone.</w:t>
      </w:r>
    </w:p>
    <w:p/>
    <w:p>
      <w:pPr>
        <w:ind w:left="680"/>
      </w:pPr>
      <w:r>
        <w:rPr>
          <w:rFonts w:ascii="Arial" w:hAnsi="Arial"/>
        </w:rPr>
        <w:t xml:space="preserve">•  </w:t>
      </w:r>
      <w:r>
        <w:t>Animations can be paused or disabled; no auto-playing media.</w:t>
      </w:r>
    </w:p>
    <w:p>
      <w:pPr>
        <w:pStyle w:val="Heading3"/>
      </w:pPr>
      <w:r>
        <w:t>Interaction accessibility</w:t>
      </w:r>
    </w:p>
    <w:p/>
    <w:p>
      <w:pPr>
        <w:ind w:left="680"/>
      </w:pPr>
      <w:r>
        <w:rPr>
          <w:rFonts w:ascii="Arial" w:hAnsi="Arial"/>
        </w:rPr>
        <w:t xml:space="preserve">•  </w:t>
      </w:r>
      <w:r>
        <w:t>All interactions are keyboard-navigable (Tab, Enter, Arrow keys, Escape).</w:t>
      </w:r>
    </w:p>
    <w:p/>
    <w:p>
      <w:pPr>
        <w:ind w:left="680"/>
      </w:pPr>
      <w:r>
        <w:rPr>
          <w:rFonts w:ascii="Arial" w:hAnsi="Arial"/>
        </w:rPr>
        <w:t xml:space="preserve">•  </w:t>
      </w:r>
      <w:r>
        <w:t>Drag-and-drop activities include an accessible alternative (e.g., dropdown list selection).</w:t>
      </w:r>
    </w:p>
    <w:p/>
    <w:p>
      <w:pPr>
        <w:ind w:left="680"/>
      </w:pPr>
      <w:r>
        <w:rPr>
          <w:rFonts w:ascii="Arial" w:hAnsi="Arial"/>
        </w:rPr>
        <w:t xml:space="preserve">•  </w:t>
      </w:r>
      <w:r>
        <w:t>Focus indicators are visible and meet WCAG 2.1 AA requirements.</w:t>
      </w:r>
    </w:p>
    <w:p/>
    <w:p>
      <w:pPr>
        <w:ind w:left="680"/>
      </w:pPr>
      <w:r>
        <w:rPr>
          <w:rFonts w:ascii="Arial" w:hAnsi="Arial"/>
        </w:rPr>
        <w:t xml:space="preserve">•  </w:t>
      </w:r>
      <w:r>
        <w:t>Screen reader compatibility is tested with JAWS and NVDA before launch.</w:t>
      </w:r>
    </w:p>
    <w:p/>
    <w:p>
      <w:pPr>
        <w:ind w:left="680"/>
      </w:pPr>
      <w:r>
        <w:rPr>
          <w:rFonts w:ascii="Arial" w:hAnsi="Arial"/>
        </w:rPr>
        <w:t xml:space="preserve">•  </w:t>
      </w:r>
      <w:r>
        <w:t>Custom interactions include ARIA labels and role attributes.</w:t>
      </w:r>
    </w:p>
    <w:p>
      <w:pPr>
        <w:pStyle w:val="Heading3"/>
      </w:pPr>
      <w:r>
        <w:t>Storyline-specific considerations</w:t>
      </w:r>
    </w:p>
    <w:p/>
    <w:p>
      <w:pPr>
        <w:ind w:left="680"/>
      </w:pPr>
      <w:r>
        <w:rPr>
          <w:rFonts w:ascii="Arial" w:hAnsi="Arial"/>
        </w:rPr>
        <w:t xml:space="preserve">•  </w:t>
      </w:r>
      <w:r>
        <w:t>Player is configured with accessible player controls enabled.</w:t>
      </w:r>
    </w:p>
    <w:p/>
    <w:p>
      <w:pPr>
        <w:ind w:left="680"/>
      </w:pPr>
      <w:r>
        <w:rPr>
          <w:rFonts w:ascii="Arial" w:hAnsi="Arial"/>
        </w:rPr>
        <w:t xml:space="preserve">•  </w:t>
      </w:r>
      <w:r>
        <w:t>Tab order is set manually on each slide.</w:t>
      </w:r>
    </w:p>
    <w:p/>
    <w:p>
      <w:pPr>
        <w:ind w:left="680"/>
      </w:pPr>
      <w:r>
        <w:rPr>
          <w:rFonts w:ascii="Arial" w:hAnsi="Arial"/>
        </w:rPr>
        <w:t xml:space="preserve">•  </w:t>
      </w:r>
      <w:r>
        <w:t>Slide titles are meaningful and unique for screen reader navigation.</w:t>
      </w:r>
    </w:p>
    <w:p/>
    <w:p>
      <w:pPr>
        <w:ind w:left="680"/>
      </w:pPr>
      <w:r>
        <w:rPr>
          <w:rFonts w:ascii="Arial" w:hAnsi="Arial"/>
        </w:rPr>
        <w:t xml:space="preserve">•  </w:t>
      </w:r>
      <w:r>
        <w:t>Closed captions are embedded in Storyline (not burned into video).</w:t>
      </w:r>
    </w:p>
    <w:p/>
    <w:p>
      <w:pPr>
        <w:ind w:left="680"/>
      </w:pPr>
      <w:r>
        <w:rPr>
          <w:rFonts w:ascii="Arial" w:hAnsi="Arial"/>
        </w:rPr>
        <w:t xml:space="preserve">•  </w:t>
      </w:r>
      <w:r>
        <w:t>Course is tested with Storyline's built-in accessibility checker before publishing.</w:t>
      </w:r>
    </w:p>
    <w:p>
      <w:pPr>
        <w:pStyle w:val="Heading3"/>
      </w:pPr>
      <w:r>
        <w:t>Representational considerations</w:t>
      </w:r>
    </w:p>
    <w:p/>
    <w:p>
      <w:pPr>
        <w:ind w:left="680"/>
      </w:pPr>
      <w:r>
        <w:rPr>
          <w:rFonts w:ascii="Arial" w:hAnsi="Arial"/>
        </w:rPr>
        <w:t xml:space="preserve">•  </w:t>
      </w:r>
      <w:r>
        <w:t>Illustrations and scenario imagery reflect the diversity of UHN's patient and employee populations (race, age, gender, disability, cultural background).</w:t>
      </w:r>
    </w:p>
    <w:p/>
    <w:p>
      <w:pPr>
        <w:ind w:left="680"/>
      </w:pPr>
      <w:r>
        <w:rPr>
          <w:rFonts w:ascii="Arial" w:hAnsi="Arial"/>
        </w:rPr>
        <w:t xml:space="preserve">•  </w:t>
      </w:r>
      <w:r>
        <w:t>Scenarios avoid reinforcing stereotypes about disability.</w:t>
      </w:r>
    </w:p>
    <w:p/>
    <w:p>
      <w:pPr>
        <w:ind w:left="680"/>
      </w:pPr>
      <w:r>
        <w:rPr>
          <w:rFonts w:ascii="Arial" w:hAnsi="Arial"/>
        </w:rPr>
        <w:t xml:space="preserve">•  </w:t>
      </w:r>
      <w:r>
        <w:t>The course itself models the accessible practices it teaches.</w:t>
      </w:r>
    </w:p>
    <w:p>
      <w:pPr>
        <w:spacing w:before="120" w:after="120"/>
      </w:pPr>
      <w:r>
        <w:rPr>
          <w:color w:val="CCCCCC"/>
          <w:sz w:val="16"/>
        </w:rPr>
        <w:t>──────────────────────────────────────────────────</w:t>
      </w:r>
    </w:p>
    <w:p>
      <w:pPr>
        <w:pStyle w:val="Heading2"/>
      </w:pPr>
      <w:r>
        <w:t>9. Target Audience Analysis</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Factor</w:t>
            </w:r>
          </w:p>
        </w:tc>
        <w:tc>
          <w:tcPr>
            <w:tcW w:type="dxa" w:w="5014"/>
            <w:shd w:fill="192858" w:val="clear"/>
          </w:tcPr>
          <w:p>
            <w:pPr/>
            <w:r>
              <w:rPr>
                <w:b/>
                <w:color w:val="FFFFFF"/>
                <w:sz w:val="18"/>
              </w:rPr>
            </w:r>
            <w:r>
              <w:rPr>
                <w:b/>
                <w:color w:val="FFFFFF"/>
                <w:sz w:val="18"/>
              </w:rPr>
              <w:t>Description</w:t>
            </w:r>
          </w:p>
        </w:tc>
      </w:tr>
      <w:tr>
        <w:tc>
          <w:tcPr>
            <w:tcW w:type="dxa" w:w="5014"/>
          </w:tcPr>
          <w:p>
            <w:pPr/>
            <w:r>
              <w:rPr>
                <w:sz w:val="18"/>
              </w:rPr>
            </w:r>
            <w:r>
              <w:rPr>
                <w:sz w:val="18"/>
              </w:rPr>
            </w:r>
            <w:r>
              <w:rPr>
                <w:b/>
                <w:sz w:val="18"/>
              </w:rPr>
              <w:t>Primary audience</w:t>
            </w:r>
            <w:r>
              <w:rPr>
                <w:sz w:val="18"/>
              </w:rPr>
            </w:r>
          </w:p>
        </w:tc>
        <w:tc>
          <w:tcPr>
            <w:tcW w:type="dxa" w:w="5014"/>
          </w:tcPr>
          <w:p>
            <w:pPr/>
            <w:r>
              <w:rPr>
                <w:sz w:val="18"/>
              </w:rPr>
            </w:r>
            <w:r>
              <w:rPr>
                <w:sz w:val="18"/>
              </w:rPr>
              <w:t>All UHN employees across all sites (Toronto General, Toronto Western, Princess Margaret Cancer Centre, Toronto Rehabilitation Institute, The Michener Institute)</w:t>
            </w:r>
          </w:p>
        </w:tc>
      </w:tr>
      <w:tr>
        <w:tc>
          <w:tcPr>
            <w:tcW w:type="dxa" w:w="5014"/>
          </w:tcPr>
          <w:p>
            <w:pPr/>
            <w:r>
              <w:rPr>
                <w:sz w:val="18"/>
              </w:rPr>
            </w:r>
            <w:r>
              <w:rPr>
                <w:sz w:val="18"/>
              </w:rPr>
            </w:r>
            <w:r>
              <w:rPr>
                <w:b/>
                <w:sz w:val="18"/>
              </w:rPr>
              <w:t>Role diversity</w:t>
            </w:r>
            <w:r>
              <w:rPr>
                <w:sz w:val="18"/>
              </w:rPr>
            </w:r>
          </w:p>
        </w:tc>
        <w:tc>
          <w:tcPr>
            <w:tcW w:type="dxa" w:w="5014"/>
          </w:tcPr>
          <w:p>
            <w:pPr/>
            <w:r>
              <w:rPr>
                <w:sz w:val="18"/>
              </w:rPr>
            </w:r>
            <w:r>
              <w:rPr>
                <w:sz w:val="18"/>
              </w:rPr>
              <w:t>Clinical staff (nurses, physicians, allied health), administrative staff, operations, facilities, leadership, research, education/academic, volunteers</w:t>
            </w:r>
          </w:p>
        </w:tc>
      </w:tr>
      <w:tr>
        <w:tc>
          <w:tcPr>
            <w:tcW w:type="dxa" w:w="5014"/>
          </w:tcPr>
          <w:p>
            <w:pPr/>
            <w:r>
              <w:rPr>
                <w:sz w:val="18"/>
              </w:rPr>
            </w:r>
            <w:r>
              <w:rPr>
                <w:sz w:val="18"/>
              </w:rPr>
            </w:r>
            <w:r>
              <w:rPr>
                <w:b/>
                <w:sz w:val="18"/>
              </w:rPr>
              <w:t>Prior knowledge</w:t>
            </w:r>
            <w:r>
              <w:rPr>
                <w:sz w:val="18"/>
              </w:rPr>
            </w:r>
          </w:p>
        </w:tc>
        <w:tc>
          <w:tcPr>
            <w:tcW w:type="dxa" w:w="5014"/>
          </w:tcPr>
          <w:p>
            <w:pPr/>
            <w:r>
              <w:rPr>
                <w:sz w:val="18"/>
              </w:rPr>
            </w:r>
            <w:r>
              <w:rPr>
                <w:sz w:val="18"/>
              </w:rPr>
              <w:t>Varied; some staff may have completed previous accessibility awareness training; many will be encountering formal disability frameworks for the first time</w:t>
            </w:r>
          </w:p>
        </w:tc>
      </w:tr>
      <w:tr>
        <w:tc>
          <w:tcPr>
            <w:tcW w:type="dxa" w:w="5014"/>
          </w:tcPr>
          <w:p>
            <w:pPr/>
            <w:r>
              <w:rPr>
                <w:sz w:val="18"/>
              </w:rPr>
            </w:r>
            <w:r>
              <w:rPr>
                <w:sz w:val="18"/>
              </w:rPr>
            </w:r>
            <w:r>
              <w:rPr>
                <w:b/>
                <w:sz w:val="18"/>
              </w:rPr>
              <w:t>Technology comfort</w:t>
            </w:r>
            <w:r>
              <w:rPr>
                <w:sz w:val="18"/>
              </w:rPr>
            </w:r>
          </w:p>
        </w:tc>
        <w:tc>
          <w:tcPr>
            <w:tcW w:type="dxa" w:w="5014"/>
          </w:tcPr>
          <w:p>
            <w:pPr/>
            <w:r>
              <w:rPr>
                <w:sz w:val="18"/>
              </w:rPr>
            </w:r>
            <w:r>
              <w:rPr>
                <w:sz w:val="18"/>
              </w:rPr>
              <w:t>Ranges from highly comfortable (research, IT) to limited (some clinical, facilities, and support staff); course must not assume advanced digital literacy</w:t>
            </w:r>
          </w:p>
        </w:tc>
      </w:tr>
      <w:tr>
        <w:tc>
          <w:tcPr>
            <w:tcW w:type="dxa" w:w="5014"/>
          </w:tcPr>
          <w:p>
            <w:pPr/>
            <w:r>
              <w:rPr>
                <w:sz w:val="18"/>
              </w:rPr>
            </w:r>
            <w:r>
              <w:rPr>
                <w:sz w:val="18"/>
              </w:rPr>
            </w:r>
            <w:r>
              <w:rPr>
                <w:b/>
                <w:sz w:val="18"/>
              </w:rPr>
              <w:t>Language</w:t>
            </w:r>
            <w:r>
              <w:rPr>
                <w:sz w:val="18"/>
              </w:rPr>
            </w:r>
          </w:p>
        </w:tc>
        <w:tc>
          <w:tcPr>
            <w:tcW w:type="dxa" w:w="5014"/>
          </w:tcPr>
          <w:p>
            <w:pPr/>
            <w:r>
              <w:rPr>
                <w:sz w:val="18"/>
              </w:rPr>
            </w:r>
            <w:r>
              <w:rPr>
                <w:sz w:val="18"/>
              </w:rPr>
              <w:t>English is the primary language of instruction; UHN's workforce includes many multilingual employees for whom English may be an additional language</w:t>
            </w:r>
          </w:p>
        </w:tc>
      </w:tr>
      <w:tr>
        <w:tc>
          <w:tcPr>
            <w:tcW w:type="dxa" w:w="5014"/>
          </w:tcPr>
          <w:p>
            <w:pPr/>
            <w:r>
              <w:rPr>
                <w:sz w:val="18"/>
              </w:rPr>
            </w:r>
            <w:r>
              <w:rPr>
                <w:sz w:val="18"/>
              </w:rPr>
            </w:r>
            <w:r>
              <w:rPr>
                <w:b/>
                <w:sz w:val="18"/>
              </w:rPr>
              <w:t>Motivation</w:t>
            </w:r>
            <w:r>
              <w:rPr>
                <w:sz w:val="18"/>
              </w:rPr>
            </w:r>
          </w:p>
        </w:tc>
        <w:tc>
          <w:tcPr>
            <w:tcW w:type="dxa" w:w="5014"/>
          </w:tcPr>
          <w:p>
            <w:pPr/>
            <w:r>
              <w:rPr>
                <w:sz w:val="18"/>
              </w:rPr>
            </w:r>
            <w:r>
              <w:rPr>
                <w:sz w:val="18"/>
              </w:rPr>
              <w:t>Mix of mandatory compliance (organizational requirement) and intrinsic motivation (personal interest in equity and inclusion)</w:t>
            </w:r>
          </w:p>
        </w:tc>
      </w:tr>
      <w:tr>
        <w:tc>
          <w:tcPr>
            <w:tcW w:type="dxa" w:w="5014"/>
          </w:tcPr>
          <w:p>
            <w:pPr/>
            <w:r>
              <w:rPr>
                <w:sz w:val="18"/>
              </w:rPr>
            </w:r>
            <w:r>
              <w:rPr>
                <w:sz w:val="18"/>
              </w:rPr>
            </w:r>
            <w:r>
              <w:rPr>
                <w:b/>
                <w:sz w:val="18"/>
              </w:rPr>
              <w:t>Learning environment</w:t>
            </w:r>
            <w:r>
              <w:rPr>
                <w:sz w:val="18"/>
              </w:rPr>
            </w:r>
          </w:p>
        </w:tc>
        <w:tc>
          <w:tcPr>
            <w:tcW w:type="dxa" w:w="5014"/>
          </w:tcPr>
          <w:p>
            <w:pPr/>
            <w:r>
              <w:rPr>
                <w:sz w:val="18"/>
              </w:rPr>
            </w:r>
            <w:r>
              <w:rPr>
                <w:sz w:val="18"/>
              </w:rPr>
              <w:t>Likely completed on workstation during shift or on personal device; may be completed in interrupted sessions; must support resume-and-continue</w:t>
            </w:r>
          </w:p>
        </w:tc>
      </w:tr>
      <w:tr>
        <w:tc>
          <w:tcPr>
            <w:tcW w:type="dxa" w:w="5014"/>
          </w:tcPr>
          <w:p>
            <w:pPr/>
            <w:r>
              <w:rPr>
                <w:sz w:val="18"/>
              </w:rPr>
            </w:r>
            <w:r>
              <w:rPr>
                <w:sz w:val="18"/>
              </w:rPr>
            </w:r>
            <w:r>
              <w:rPr>
                <w:b/>
                <w:sz w:val="18"/>
              </w:rPr>
              <w:t>Accessibility needs</w:t>
            </w:r>
            <w:r>
              <w:rPr>
                <w:sz w:val="18"/>
              </w:rPr>
            </w:r>
          </w:p>
        </w:tc>
        <w:tc>
          <w:tcPr>
            <w:tcW w:type="dxa" w:w="5014"/>
          </w:tcPr>
          <w:p>
            <w:pPr/>
            <w:r>
              <w:rPr>
                <w:sz w:val="18"/>
              </w:rPr>
            </w:r>
            <w:r>
              <w:rPr>
                <w:sz w:val="18"/>
              </w:rPr>
              <w:t>Some learners in the audience will themselves have disabilities; the course must be fully accessible to all learners, not just about accessibility</w:t>
            </w:r>
          </w:p>
        </w:tc>
      </w:tr>
      <w:tr>
        <w:tc>
          <w:tcPr>
            <w:tcW w:type="dxa" w:w="5014"/>
          </w:tcPr>
          <w:p>
            <w:pPr/>
            <w:r>
              <w:rPr>
                <w:sz w:val="18"/>
              </w:rPr>
            </w:r>
            <w:r>
              <w:rPr>
                <w:sz w:val="18"/>
              </w:rPr>
            </w:r>
            <w:r>
              <w:rPr>
                <w:b/>
                <w:sz w:val="18"/>
              </w:rPr>
              <w:t>Unionized environment</w:t>
            </w:r>
            <w:r>
              <w:rPr>
                <w:sz w:val="18"/>
              </w:rPr>
            </w:r>
          </w:p>
        </w:tc>
        <w:tc>
          <w:tcPr>
            <w:tcW w:type="dxa" w:w="5014"/>
          </w:tcPr>
          <w:p>
            <w:pPr/>
            <w:r>
              <w:rPr>
                <w:sz w:val="18"/>
              </w:rPr>
            </w:r>
            <w:r>
              <w:rPr>
                <w:sz w:val="18"/>
              </w:rPr>
              <w:t>UHN has multiple bargaining units; training language should be inclusive and non-punitive</w:t>
            </w:r>
          </w:p>
        </w:tc>
      </w:tr>
    </w:tbl>
    <w:p>
      <w:pPr>
        <w:spacing w:before="120" w:after="120"/>
      </w:pPr>
      <w:r>
        <w:rPr>
          <w:color w:val="CCCCCC"/>
          <w:sz w:val="16"/>
        </w:rPr>
        <w:t>──────────────────────────────────────────────────</w:t>
      </w:r>
    </w:p>
    <w:p>
      <w:pPr>
        <w:pStyle w:val="Heading2"/>
      </w:pPr>
      <w:r>
        <w:t>10. Prerequisites</w:t>
      </w:r>
    </w:p>
    <w:p>
      <w:r/>
      <w:r>
        <w:rPr>
          <w:b/>
        </w:rPr>
        <w:t>Formal prerequisites:</w:t>
      </w:r>
      <w:r>
        <w:t xml:space="preserve"> None. This is Guide 1 of 18 and serves as the foundational course for the entire Accessibility First Series. No prior accessibility training is required.</w:t>
      </w:r>
    </w:p>
    <w:p>
      <w:r/>
      <w:r>
        <w:rPr>
          <w:b/>
        </w:rPr>
        <w:t>Recommended prior experience:</w:t>
      </w:r>
      <w:r>
        <w:t xml:space="preserve"> None. The course is designed for learners at all levels of accessibility awareness, from those encountering these concepts for the first time to those seeking to formalize existing knowledge.</w:t>
      </w:r>
    </w:p>
    <w:p>
      <w:r/>
      <w:r>
        <w:rPr>
          <w:b/>
        </w:rPr>
        <w:t>Note:</w:t>
      </w:r>
      <w:r>
        <w:t xml:space="preserve"> Completion of Guide 01 is recommended before proceeding to Guides 02–18, as it establishes shared language, frameworks (Accessibility Decision Path, Accessibility in Practice, Guiding Principles), and foundational concepts that are referenced throughout the series.</w:t>
      </w:r>
    </w:p>
    <w:p>
      <w:pPr>
        <w:spacing w:before="120" w:after="120"/>
      </w:pPr>
      <w:r>
        <w:rPr>
          <w:color w:val="CCCCCC"/>
          <w:sz w:val="16"/>
        </w:rPr>
        <w:t>──────────────────────────────────────────────────</w:t>
      </w:r>
    </w:p>
    <w:p>
      <w:pPr>
        <w:pStyle w:val="Heading2"/>
      </w:pPr>
      <w:r>
        <w:t>11. Production Notes</w:t>
      </w:r>
    </w:p>
    <w:p>
      <w:pPr>
        <w:pStyle w:val="Heading3"/>
      </w:pPr>
      <w:r>
        <w:t>Shared frameworks</w:t>
      </w:r>
    </w:p>
    <w:p>
      <w:r>
        <w:t>This course introduces three frameworks that recur across all 18 guides. Ensure consistent visual treatment, terminology, and interaction patterns:</w:t>
      </w:r>
    </w:p>
    <w:p>
      <w:pPr>
        <w:pStyle w:val="ListNumber"/>
      </w:pPr>
      <w:r/>
      <w:r>
        <w:rPr>
          <w:b/>
        </w:rPr>
        <w:t>Accessibility Decision Path</w:t>
      </w:r>
      <w:r>
        <w:t xml:space="preserve"> (5 steps): Pause and Assess, Listen and Ask, Apply, Adapt, Seek Support</w:t>
      </w:r>
    </w:p>
    <w:p>
      <w:pPr>
        <w:pStyle w:val="ListNumber"/>
      </w:pPr>
      <w:r/>
      <w:r>
        <w:rPr>
          <w:b/>
        </w:rPr>
        <w:t>Accessibility in Practice</w:t>
      </w:r>
      <w:r>
        <w:t xml:space="preserve"> (4 quadrants): Awareness, Communication, Environment, Response</w:t>
      </w:r>
    </w:p>
    <w:p>
      <w:pPr>
        <w:pStyle w:val="ListNumber"/>
      </w:pPr>
      <w:r/>
      <w:r>
        <w:rPr>
          <w:b/>
        </w:rPr>
        <w:t>Guiding Principles</w:t>
      </w:r>
      <w:r>
        <w:t xml:space="preserve"> (5 principles): Dignity, Independence/Autonomy, Inclusion/Participation, Proactive Barrier Prevention/Removal, Equity/Rights/Intersectionality</w:t>
      </w:r>
    </w:p>
    <w:p>
      <w:pPr>
        <w:pStyle w:val="Heading3"/>
      </w:pPr>
      <w:r>
        <w:t>Scenarios</w:t>
      </w:r>
    </w:p>
    <w:p>
      <w:r>
        <w:t>Three scenarios are specified in the source content. Each requires storyboard development:</w:t>
      </w:r>
    </w:p>
    <w:p>
      <w:pPr>
        <w:pStyle w:val="ListNumber"/>
      </w:pPr>
      <w:r/>
      <w:r>
        <w:rPr>
          <w:b/>
        </w:rPr>
        <w:t>Policy vs. Practice</w:t>
      </w:r>
      <w:r>
        <w:t xml:space="preserve"> — Branching scenario exploring the gap between written policy and daily practice</w:t>
      </w:r>
    </w:p>
    <w:p>
      <w:pPr>
        <w:pStyle w:val="ListNumber"/>
      </w:pPr>
      <w:r/>
      <w:r>
        <w:rPr>
          <w:b/>
        </w:rPr>
        <w:t>Physical Environment</w:t>
      </w:r>
      <w:r>
        <w:t xml:space="preserve"> — Scenario highlighting environmental barriers in a healthcare setting</w:t>
      </w:r>
    </w:p>
    <w:p>
      <w:pPr>
        <w:pStyle w:val="ListNumber"/>
      </w:pPr>
      <w:r/>
      <w:r>
        <w:rPr>
          <w:b/>
        </w:rPr>
        <w:t>Employee Awareness</w:t>
      </w:r>
      <w:r>
        <w:t xml:space="preserve"> — Scenario exploring how individual awareness (or lack thereof) affects accessibility</w:t>
      </w:r>
    </w:p>
    <w:p>
      <w:pPr>
        <w:pStyle w:val="Heading3"/>
      </w:pPr>
      <w:r>
        <w:t>Visual and media direction</w:t>
      </w:r>
    </w:p>
    <w:p/>
    <w:p>
      <w:pPr>
        <w:ind w:left="680"/>
      </w:pPr>
      <w:r>
        <w:rPr>
          <w:rFonts w:ascii="Arial" w:hAnsi="Arial"/>
        </w:rPr>
        <w:t xml:space="preserve">•  </w:t>
      </w:r>
      <w:r>
        <w:t>Illustration style should follow the UHN Accessibility Course Illustration Style System (see `/03-supporting-documents/ILLUSTRATION_STYLE_SYSTEM.md`).</w:t>
      </w:r>
    </w:p>
    <w:p/>
    <w:p>
      <w:pPr>
        <w:ind w:left="680"/>
      </w:pPr>
      <w:r>
        <w:rPr>
          <w:rFonts w:ascii="Arial" w:hAnsi="Arial"/>
        </w:rPr>
        <w:t xml:space="preserve">•  </w:t>
      </w:r>
      <w:r>
        <w:t>Use inclusive, representative illustrations generated via approved tools (NanoBanana, Midjourney, or GPT Image 2). Do not use Canva for image generation.</w:t>
      </w:r>
    </w:p>
    <w:p/>
    <w:p>
      <w:pPr>
        <w:ind w:left="680"/>
      </w:pPr>
      <w:r>
        <w:rPr>
          <w:rFonts w:ascii="Arial" w:hAnsi="Arial"/>
        </w:rPr>
        <w:t xml:space="preserve">•  </w:t>
      </w:r>
      <w:r>
        <w:t>Photography, if used, should reflect UHN's diverse patient and employee populations.</w:t>
      </w:r>
    </w:p>
    <w:p>
      <w:pPr>
        <w:pStyle w:val="Heading3"/>
      </w:pPr>
      <w:r>
        <w:t>Branding</w:t>
      </w:r>
    </w:p>
    <w:p/>
    <w:p>
      <w:pPr>
        <w:ind w:left="680"/>
      </w:pPr>
      <w:r>
        <w:rPr>
          <w:rFonts w:ascii="Arial" w:hAnsi="Arial"/>
        </w:rPr>
        <w:t xml:space="preserve">•  </w:t>
      </w:r>
      <w:r>
        <w:t>Follow UHN brand guidelines for colour palette, typography, and logo usage.</w:t>
      </w:r>
    </w:p>
    <w:p/>
    <w:p>
      <w:pPr>
        <w:ind w:left="680"/>
      </w:pPr>
      <w:r>
        <w:rPr>
          <w:rFonts w:ascii="Arial" w:hAnsi="Arial"/>
        </w:rPr>
        <w:t xml:space="preserve">•  </w:t>
      </w:r>
      <w:r>
        <w:t>Course shell should use UHN-approved Storyline template or a custom template aligned with UHN brand standards.</w:t>
      </w:r>
    </w:p>
    <w:p>
      <w:pPr>
        <w:pStyle w:val="Heading3"/>
      </w:pPr>
      <w:r>
        <w:t>Technical specifications</w:t>
      </w:r>
    </w:p>
    <w:p/>
    <w:p>
      <w:pPr>
        <w:ind w:left="680"/>
      </w:pPr>
      <w:r>
        <w:rPr>
          <w:rFonts w:ascii="Arial" w:hAnsi="Arial"/>
        </w:rPr>
        <w:t xml:space="preserve">•  </w:t>
      </w:r>
      <w:r>
        <w:t>Output: Articulate Storyline 360 (.story source file) and published SCORM 2004 package</w:t>
      </w:r>
    </w:p>
    <w:p/>
    <w:p>
      <w:pPr>
        <w:ind w:left="680"/>
      </w:pPr>
      <w:r>
        <w:rPr>
          <w:rFonts w:ascii="Arial" w:hAnsi="Arial"/>
        </w:rPr>
        <w:t xml:space="preserve">•  </w:t>
      </w:r>
      <w:r>
        <w:t>LMS compatibility: Tested against UHN's LMS environment</w:t>
      </w:r>
    </w:p>
    <w:p/>
    <w:p>
      <w:pPr>
        <w:ind w:left="680"/>
      </w:pPr>
      <w:r>
        <w:rPr>
          <w:rFonts w:ascii="Arial" w:hAnsi="Arial"/>
        </w:rPr>
        <w:t xml:space="preserve">•  </w:t>
      </w:r>
      <w:r>
        <w:t>Browser support: Chrome, Edge, Firefox (current versions); Safari (current version for macOS/iOS)</w:t>
      </w:r>
    </w:p>
    <w:p/>
    <w:p>
      <w:pPr>
        <w:ind w:left="680"/>
      </w:pPr>
      <w:r>
        <w:rPr>
          <w:rFonts w:ascii="Arial" w:hAnsi="Arial"/>
        </w:rPr>
        <w:t xml:space="preserve">•  </w:t>
      </w:r>
      <w:r>
        <w:t>Responsive: Storyline responsive player enabled for tablet/desktop; mobile support as feasible</w:t>
      </w:r>
    </w:p>
    <w:p>
      <w:pPr>
        <w:spacing w:before="120" w:after="120"/>
      </w:pPr>
      <w:r>
        <w:rPr>
          <w:color w:val="CCCCCC"/>
          <w:sz w:val="16"/>
        </w:rPr>
        <w:t>──────────────────────────────────────────────────</w:t>
      </w:r>
    </w:p>
    <w:p>
      <w:pPr>
        <w:pStyle w:val="Heading2"/>
      </w:pPr>
      <w:r>
        <w:t>12. SME Review Requirements Summary</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Review Category</w:t>
            </w:r>
          </w:p>
        </w:tc>
        <w:tc>
          <w:tcPr>
            <w:tcW w:type="dxa" w:w="2507"/>
            <w:shd w:fill="192858" w:val="clear"/>
          </w:tcPr>
          <w:p>
            <w:pPr/>
            <w:r>
              <w:rPr>
                <w:b/>
                <w:color w:val="FFFFFF"/>
                <w:sz w:val="18"/>
              </w:rPr>
            </w:r>
            <w:r>
              <w:rPr>
                <w:b/>
                <w:color w:val="FFFFFF"/>
                <w:sz w:val="18"/>
              </w:rPr>
              <w:t>Content Examples</w:t>
            </w:r>
          </w:p>
        </w:tc>
        <w:tc>
          <w:tcPr>
            <w:tcW w:type="dxa" w:w="2507"/>
            <w:shd w:fill="192858" w:val="clear"/>
          </w:tcPr>
          <w:p>
            <w:pPr/>
            <w:r>
              <w:rPr>
                <w:b/>
                <w:color w:val="FFFFFF"/>
                <w:sz w:val="18"/>
              </w:rPr>
            </w:r>
            <w:r>
              <w:rPr>
                <w:b/>
                <w:color w:val="FFFFFF"/>
                <w:sz w:val="18"/>
              </w:rPr>
              <w:t>Risk Level</w:t>
            </w:r>
          </w:p>
        </w:tc>
        <w:tc>
          <w:tcPr>
            <w:tcW w:type="dxa" w:w="2507"/>
            <w:shd w:fill="192858" w:val="clear"/>
          </w:tcPr>
          <w:p>
            <w:pPr/>
            <w:r>
              <w:rPr>
                <w:b/>
                <w:color w:val="FFFFFF"/>
                <w:sz w:val="18"/>
              </w:rPr>
            </w:r>
            <w:r>
              <w:rPr>
                <w:b/>
                <w:color w:val="FFFFFF"/>
                <w:sz w:val="18"/>
              </w:rPr>
              <w:t>Review Timing</w:t>
            </w:r>
          </w:p>
        </w:tc>
      </w:tr>
      <w:tr>
        <w:tc>
          <w:tcPr>
            <w:tcW w:type="dxa" w:w="2507"/>
          </w:tcPr>
          <w:p>
            <w:pPr/>
            <w:r>
              <w:rPr>
                <w:sz w:val="18"/>
              </w:rPr>
            </w:r>
            <w:r>
              <w:rPr>
                <w:sz w:val="18"/>
              </w:rPr>
            </w:r>
            <w:r>
              <w:rPr>
                <w:b/>
                <w:sz w:val="18"/>
              </w:rPr>
              <w:t>Legal/compliance statements</w:t>
            </w:r>
            <w:r>
              <w:rPr>
                <w:sz w:val="18"/>
              </w:rPr>
            </w:r>
          </w:p>
        </w:tc>
        <w:tc>
          <w:tcPr>
            <w:tcW w:type="dxa" w:w="2507"/>
          </w:tcPr>
          <w:p>
            <w:pPr/>
            <w:r>
              <w:rPr>
                <w:sz w:val="18"/>
              </w:rPr>
            </w:r>
            <w:r>
              <w:rPr>
                <w:sz w:val="18"/>
              </w:rPr>
              <w:t>AODA obligations, OHRC duty to accommodate, legislative interpretation</w:t>
            </w:r>
          </w:p>
        </w:tc>
        <w:tc>
          <w:tcPr>
            <w:tcW w:type="dxa" w:w="2507"/>
          </w:tcPr>
          <w:p>
            <w:pPr/>
            <w:r>
              <w:rPr>
                <w:sz w:val="18"/>
              </w:rPr>
            </w:r>
            <w:r>
              <w:rPr>
                <w:sz w:val="18"/>
              </w:rPr>
              <w:t>High</w:t>
            </w:r>
          </w:p>
        </w:tc>
        <w:tc>
          <w:tcPr>
            <w:tcW w:type="dxa" w:w="2507"/>
          </w:tcPr>
          <w:p>
            <w:pPr/>
            <w:r>
              <w:rPr>
                <w:sz w:val="18"/>
              </w:rPr>
            </w:r>
            <w:r>
              <w:rPr>
                <w:sz w:val="18"/>
              </w:rPr>
              <w:t>Before storyboard approval</w:t>
            </w:r>
          </w:p>
        </w:tc>
      </w:tr>
      <w:tr>
        <w:tc>
          <w:tcPr>
            <w:tcW w:type="dxa" w:w="2507"/>
          </w:tcPr>
          <w:p>
            <w:pPr/>
            <w:r>
              <w:rPr>
                <w:sz w:val="18"/>
              </w:rPr>
            </w:r>
            <w:r>
              <w:rPr>
                <w:sz w:val="18"/>
              </w:rPr>
            </w:r>
            <w:r>
              <w:rPr>
                <w:b/>
                <w:sz w:val="18"/>
              </w:rPr>
              <w:t>Policy interpretation</w:t>
            </w:r>
            <w:r>
              <w:rPr>
                <w:sz w:val="18"/>
              </w:rPr>
            </w:r>
          </w:p>
        </w:tc>
        <w:tc>
          <w:tcPr>
            <w:tcW w:type="dxa" w:w="2507"/>
          </w:tcPr>
          <w:p>
            <w:pPr/>
            <w:r>
              <w:rPr>
                <w:sz w:val="18"/>
              </w:rPr>
            </w:r>
            <w:r>
              <w:rPr>
                <w:sz w:val="18"/>
              </w:rPr>
              <w:t>UHN Accessibility Policy, organizational commitments</w:t>
            </w:r>
          </w:p>
        </w:tc>
        <w:tc>
          <w:tcPr>
            <w:tcW w:type="dxa" w:w="2507"/>
          </w:tcPr>
          <w:p>
            <w:pPr/>
            <w:r>
              <w:rPr>
                <w:sz w:val="18"/>
              </w:rPr>
            </w:r>
            <w:r>
              <w:rPr>
                <w:sz w:val="18"/>
              </w:rPr>
              <w:t>High</w:t>
            </w:r>
          </w:p>
        </w:tc>
        <w:tc>
          <w:tcPr>
            <w:tcW w:type="dxa" w:w="2507"/>
          </w:tcPr>
          <w:p>
            <w:pPr/>
            <w:r>
              <w:rPr>
                <w:sz w:val="18"/>
              </w:rPr>
            </w:r>
            <w:r>
              <w:rPr>
                <w:sz w:val="18"/>
              </w:rPr>
              <w:t>Before storyboard approval</w:t>
            </w:r>
          </w:p>
        </w:tc>
      </w:tr>
      <w:tr>
        <w:tc>
          <w:tcPr>
            <w:tcW w:type="dxa" w:w="2507"/>
          </w:tcPr>
          <w:p>
            <w:pPr/>
            <w:r>
              <w:rPr>
                <w:sz w:val="18"/>
              </w:rPr>
            </w:r>
            <w:r>
              <w:rPr>
                <w:sz w:val="18"/>
              </w:rPr>
            </w:r>
            <w:r>
              <w:rPr>
                <w:b/>
                <w:sz w:val="18"/>
              </w:rPr>
              <w:t>Accessibility legislation interpretation</w:t>
            </w:r>
            <w:r>
              <w:rPr>
                <w:sz w:val="18"/>
              </w:rPr>
            </w:r>
          </w:p>
        </w:tc>
        <w:tc>
          <w:tcPr>
            <w:tcW w:type="dxa" w:w="2507"/>
          </w:tcPr>
          <w:p>
            <w:pPr/>
            <w:r>
              <w:rPr>
                <w:sz w:val="18"/>
              </w:rPr>
            </w:r>
            <w:r>
              <w:rPr>
                <w:sz w:val="18"/>
              </w:rPr>
              <w:t>Specific legal requirements, compliance thresholds</w:t>
            </w:r>
          </w:p>
        </w:tc>
        <w:tc>
          <w:tcPr>
            <w:tcW w:type="dxa" w:w="2507"/>
          </w:tcPr>
          <w:p>
            <w:pPr/>
            <w:r>
              <w:rPr>
                <w:sz w:val="18"/>
              </w:rPr>
            </w:r>
            <w:r>
              <w:rPr>
                <w:sz w:val="18"/>
              </w:rPr>
              <w:t>High</w:t>
            </w:r>
          </w:p>
        </w:tc>
        <w:tc>
          <w:tcPr>
            <w:tcW w:type="dxa" w:w="2507"/>
          </w:tcPr>
          <w:p>
            <w:pPr/>
            <w:r>
              <w:rPr>
                <w:sz w:val="18"/>
              </w:rPr>
            </w:r>
            <w:r>
              <w:rPr>
                <w:sz w:val="18"/>
              </w:rPr>
              <w:t>Before storyboard approval</w:t>
            </w:r>
          </w:p>
        </w:tc>
      </w:tr>
      <w:tr>
        <w:tc>
          <w:tcPr>
            <w:tcW w:type="dxa" w:w="2507"/>
          </w:tcPr>
          <w:p>
            <w:pPr/>
            <w:r>
              <w:rPr>
                <w:sz w:val="18"/>
              </w:rPr>
            </w:r>
            <w:r>
              <w:rPr>
                <w:sz w:val="18"/>
              </w:rPr>
            </w:r>
            <w:r>
              <w:rPr>
                <w:b/>
                <w:sz w:val="18"/>
              </w:rPr>
              <w:t>Scenarios</w:t>
            </w:r>
            <w:r>
              <w:rPr>
                <w:sz w:val="18"/>
              </w:rPr>
            </w:r>
          </w:p>
        </w:tc>
        <w:tc>
          <w:tcPr>
            <w:tcW w:type="dxa" w:w="2507"/>
          </w:tcPr>
          <w:p>
            <w:pPr/>
            <w:r>
              <w:rPr>
                <w:sz w:val="18"/>
              </w:rPr>
            </w:r>
            <w:r>
              <w:rPr>
                <w:sz w:val="18"/>
              </w:rPr>
              <w:t>Policy vs. Practice, Physical Environment, Employee Awareness scenarios</w:t>
            </w:r>
          </w:p>
        </w:tc>
        <w:tc>
          <w:tcPr>
            <w:tcW w:type="dxa" w:w="2507"/>
          </w:tcPr>
          <w:p>
            <w:pPr/>
            <w:r>
              <w:rPr>
                <w:sz w:val="18"/>
              </w:rPr>
            </w:r>
            <w:r>
              <w:rPr>
                <w:sz w:val="18"/>
              </w:rPr>
              <w:t>Medium</w:t>
            </w:r>
          </w:p>
        </w:tc>
        <w:tc>
          <w:tcPr>
            <w:tcW w:type="dxa" w:w="2507"/>
          </w:tcPr>
          <w:p>
            <w:pPr/>
            <w:r>
              <w:rPr>
                <w:sz w:val="18"/>
              </w:rPr>
            </w:r>
            <w:r>
              <w:rPr>
                <w:sz w:val="18"/>
              </w:rPr>
              <w:t>During storyboard draft review</w:t>
            </w:r>
          </w:p>
        </w:tc>
      </w:tr>
      <w:tr>
        <w:tc>
          <w:tcPr>
            <w:tcW w:type="dxa" w:w="2507"/>
          </w:tcPr>
          <w:p>
            <w:pPr/>
            <w:r>
              <w:rPr>
                <w:sz w:val="18"/>
              </w:rPr>
            </w:r>
            <w:r>
              <w:rPr>
                <w:sz w:val="18"/>
              </w:rPr>
            </w:r>
            <w:r>
              <w:rPr>
                <w:b/>
                <w:sz w:val="18"/>
              </w:rPr>
              <w:t>Practice tips</w:t>
            </w:r>
            <w:r>
              <w:rPr>
                <w:sz w:val="18"/>
              </w:rPr>
            </w:r>
          </w:p>
        </w:tc>
        <w:tc>
          <w:tcPr>
            <w:tcW w:type="dxa" w:w="2507"/>
          </w:tcPr>
          <w:p>
            <w:pPr/>
            <w:r>
              <w:rPr>
                <w:sz w:val="18"/>
              </w:rPr>
            </w:r>
            <w:r>
              <w:rPr>
                <w:sz w:val="18"/>
              </w:rPr>
              <w:t>Inclusive practice recommendations</w:t>
            </w:r>
          </w:p>
        </w:tc>
        <w:tc>
          <w:tcPr>
            <w:tcW w:type="dxa" w:w="2507"/>
          </w:tcPr>
          <w:p>
            <w:pPr/>
            <w:r>
              <w:rPr>
                <w:sz w:val="18"/>
              </w:rPr>
            </w:r>
            <w:r>
              <w:rPr>
                <w:sz w:val="18"/>
              </w:rPr>
              <w:t>Medium</w:t>
            </w:r>
          </w:p>
        </w:tc>
        <w:tc>
          <w:tcPr>
            <w:tcW w:type="dxa" w:w="2507"/>
          </w:tcPr>
          <w:p>
            <w:pPr/>
            <w:r>
              <w:rPr>
                <w:sz w:val="18"/>
              </w:rPr>
            </w:r>
            <w:r>
              <w:rPr>
                <w:sz w:val="18"/>
              </w:rPr>
              <w:t>During storyboard draft review</w:t>
            </w:r>
          </w:p>
        </w:tc>
      </w:tr>
      <w:tr>
        <w:tc>
          <w:tcPr>
            <w:tcW w:type="dxa" w:w="2507"/>
          </w:tcPr>
          <w:p>
            <w:pPr/>
            <w:r>
              <w:rPr>
                <w:sz w:val="18"/>
              </w:rPr>
            </w:r>
            <w:r>
              <w:rPr>
                <w:sz w:val="18"/>
              </w:rPr>
            </w:r>
            <w:r>
              <w:rPr>
                <w:b/>
                <w:sz w:val="18"/>
              </w:rPr>
              <w:t>Terminology</w:t>
            </w:r>
            <w:r>
              <w:rPr>
                <w:sz w:val="18"/>
              </w:rPr>
            </w:r>
          </w:p>
        </w:tc>
        <w:tc>
          <w:tcPr>
            <w:tcW w:type="dxa" w:w="2507"/>
          </w:tcPr>
          <w:p>
            <w:pPr/>
            <w:r>
              <w:rPr>
                <w:sz w:val="18"/>
              </w:rPr>
            </w:r>
            <w:r>
              <w:rPr>
                <w:sz w:val="18"/>
              </w:rPr>
              <w:t>Disability-related language, person-centred terminology</w:t>
            </w:r>
          </w:p>
        </w:tc>
        <w:tc>
          <w:tcPr>
            <w:tcW w:type="dxa" w:w="2507"/>
          </w:tcPr>
          <w:p>
            <w:pPr/>
            <w:r>
              <w:rPr>
                <w:sz w:val="18"/>
              </w:rPr>
            </w:r>
            <w:r>
              <w:rPr>
                <w:sz w:val="18"/>
              </w:rPr>
              <w:t>Medium</w:t>
            </w:r>
          </w:p>
        </w:tc>
        <w:tc>
          <w:tcPr>
            <w:tcW w:type="dxa" w:w="2507"/>
          </w:tcPr>
          <w:p>
            <w:pPr/>
            <w:r>
              <w:rPr>
                <w:sz w:val="18"/>
              </w:rPr>
            </w:r>
            <w:r>
              <w:rPr>
                <w:sz w:val="18"/>
              </w:rPr>
              <w:t>During storyboard draft review</w:t>
            </w:r>
          </w:p>
        </w:tc>
      </w:tr>
      <w:tr>
        <w:tc>
          <w:tcPr>
            <w:tcW w:type="dxa" w:w="2507"/>
          </w:tcPr>
          <w:p>
            <w:pPr/>
            <w:r>
              <w:rPr>
                <w:sz w:val="18"/>
              </w:rPr>
            </w:r>
            <w:r>
              <w:rPr>
                <w:sz w:val="18"/>
              </w:rPr>
            </w:r>
            <w:r>
              <w:rPr>
                <w:b/>
                <w:sz w:val="18"/>
              </w:rPr>
              <w:t>Assessment items</w:t>
            </w:r>
            <w:r>
              <w:rPr>
                <w:sz w:val="18"/>
              </w:rPr>
            </w:r>
          </w:p>
        </w:tc>
        <w:tc>
          <w:tcPr>
            <w:tcW w:type="dxa" w:w="2507"/>
          </w:tcPr>
          <w:p>
            <w:pPr/>
            <w:r>
              <w:rPr>
                <w:sz w:val="18"/>
              </w:rPr>
            </w:r>
            <w:r>
              <w:rPr>
                <w:sz w:val="18"/>
              </w:rPr>
              <w:t>Knowledge check questions and answer rationales</w:t>
            </w:r>
          </w:p>
        </w:tc>
        <w:tc>
          <w:tcPr>
            <w:tcW w:type="dxa" w:w="2507"/>
          </w:tcPr>
          <w:p>
            <w:pPr/>
            <w:r>
              <w:rPr>
                <w:sz w:val="18"/>
              </w:rPr>
            </w:r>
            <w:r>
              <w:rPr>
                <w:sz w:val="18"/>
              </w:rPr>
              <w:t>Medium</w:t>
            </w:r>
          </w:p>
        </w:tc>
        <w:tc>
          <w:tcPr>
            <w:tcW w:type="dxa" w:w="2507"/>
          </w:tcPr>
          <w:p>
            <w:pPr/>
            <w:r>
              <w:rPr>
                <w:sz w:val="18"/>
              </w:rPr>
            </w:r>
            <w:r>
              <w:rPr>
                <w:sz w:val="18"/>
              </w:rPr>
              <w:t>During storyboard draft review</w:t>
            </w:r>
          </w:p>
        </w:tc>
      </w:tr>
      <w:tr>
        <w:tc>
          <w:tcPr>
            <w:tcW w:type="dxa" w:w="2507"/>
          </w:tcPr>
          <w:p>
            <w:pPr/>
            <w:r>
              <w:rPr>
                <w:sz w:val="18"/>
              </w:rPr>
            </w:r>
            <w:r>
              <w:rPr>
                <w:sz w:val="18"/>
              </w:rPr>
            </w:r>
            <w:r>
              <w:rPr>
                <w:b/>
                <w:sz w:val="18"/>
              </w:rPr>
              <w:t>General wording</w:t>
            </w:r>
            <w:r>
              <w:rPr>
                <w:sz w:val="18"/>
              </w:rPr>
            </w:r>
          </w:p>
        </w:tc>
        <w:tc>
          <w:tcPr>
            <w:tcW w:type="dxa" w:w="2507"/>
          </w:tcPr>
          <w:p>
            <w:pPr/>
            <w:r>
              <w:rPr>
                <w:sz w:val="18"/>
              </w:rPr>
            </w:r>
            <w:r>
              <w:rPr>
                <w:sz w:val="18"/>
              </w:rPr>
              <w:t>Instructional text, transitions, UI labels</w:t>
            </w:r>
          </w:p>
        </w:tc>
        <w:tc>
          <w:tcPr>
            <w:tcW w:type="dxa" w:w="2507"/>
          </w:tcPr>
          <w:p>
            <w:pPr/>
            <w:r>
              <w:rPr>
                <w:sz w:val="18"/>
              </w:rPr>
            </w:r>
            <w:r>
              <w:rPr>
                <w:sz w:val="18"/>
              </w:rPr>
              <w:t>Low</w:t>
            </w:r>
          </w:p>
        </w:tc>
        <w:tc>
          <w:tcPr>
            <w:tcW w:type="dxa" w:w="2507"/>
          </w:tcPr>
          <w:p>
            <w:pPr/>
            <w:r>
              <w:rPr>
                <w:sz w:val="18"/>
              </w:rPr>
            </w:r>
            <w:r>
              <w:rPr>
                <w:sz w:val="18"/>
              </w:rPr>
              <w:t>During QA</w:t>
            </w:r>
          </w:p>
        </w:tc>
      </w:tr>
      <w:tr>
        <w:tc>
          <w:tcPr>
            <w:tcW w:type="dxa" w:w="2507"/>
          </w:tcPr>
          <w:p>
            <w:pPr/>
            <w:r>
              <w:rPr>
                <w:sz w:val="18"/>
              </w:rPr>
            </w:r>
            <w:r>
              <w:rPr>
                <w:sz w:val="18"/>
              </w:rPr>
            </w:r>
            <w:r>
              <w:rPr>
                <w:b/>
                <w:sz w:val="18"/>
              </w:rPr>
              <w:t>Interaction structure</w:t>
            </w:r>
            <w:r>
              <w:rPr>
                <w:sz w:val="18"/>
              </w:rPr>
            </w:r>
          </w:p>
        </w:tc>
        <w:tc>
          <w:tcPr>
            <w:tcW w:type="dxa" w:w="2507"/>
          </w:tcPr>
          <w:p>
            <w:pPr/>
            <w:r>
              <w:rPr>
                <w:sz w:val="18"/>
              </w:rPr>
            </w:r>
            <w:r>
              <w:rPr>
                <w:sz w:val="18"/>
              </w:rPr>
              <w:t>Navigation flow, interaction mechanics</w:t>
            </w:r>
          </w:p>
        </w:tc>
        <w:tc>
          <w:tcPr>
            <w:tcW w:type="dxa" w:w="2507"/>
          </w:tcPr>
          <w:p>
            <w:pPr/>
            <w:r>
              <w:rPr>
                <w:sz w:val="18"/>
              </w:rPr>
            </w:r>
            <w:r>
              <w:rPr>
                <w:sz w:val="18"/>
              </w:rPr>
              <w:t>Low</w:t>
            </w:r>
          </w:p>
        </w:tc>
        <w:tc>
          <w:tcPr>
            <w:tcW w:type="dxa" w:w="2507"/>
          </w:tcPr>
          <w:p>
            <w:pPr/>
            <w:r>
              <w:rPr>
                <w:sz w:val="18"/>
              </w:rPr>
            </w:r>
            <w:r>
              <w:rPr>
                <w:sz w:val="18"/>
              </w:rPr>
              <w:t>During QA</w:t>
            </w:r>
          </w:p>
        </w:tc>
      </w:tr>
      <w:tr>
        <w:tc>
          <w:tcPr>
            <w:tcW w:type="dxa" w:w="2507"/>
          </w:tcPr>
          <w:p>
            <w:pPr/>
            <w:r>
              <w:rPr>
                <w:sz w:val="18"/>
              </w:rPr>
            </w:r>
            <w:r>
              <w:rPr>
                <w:sz w:val="18"/>
              </w:rPr>
            </w:r>
            <w:r>
              <w:rPr>
                <w:b/>
                <w:sz w:val="18"/>
              </w:rPr>
              <w:t>Reflection prompts</w:t>
            </w:r>
            <w:r>
              <w:rPr>
                <w:sz w:val="18"/>
              </w:rPr>
            </w:r>
          </w:p>
        </w:tc>
        <w:tc>
          <w:tcPr>
            <w:tcW w:type="dxa" w:w="2507"/>
          </w:tcPr>
          <w:p>
            <w:pPr/>
            <w:r>
              <w:rPr>
                <w:sz w:val="18"/>
              </w:rPr>
            </w:r>
            <w:r>
              <w:rPr>
                <w:sz w:val="18"/>
              </w:rPr>
              <w:t>Generic reflection and MAP prompts</w:t>
            </w:r>
          </w:p>
        </w:tc>
        <w:tc>
          <w:tcPr>
            <w:tcW w:type="dxa" w:w="2507"/>
          </w:tcPr>
          <w:p>
            <w:pPr/>
            <w:r>
              <w:rPr>
                <w:sz w:val="18"/>
              </w:rPr>
            </w:r>
            <w:r>
              <w:rPr>
                <w:sz w:val="18"/>
              </w:rPr>
              <w:t>Low</w:t>
            </w:r>
          </w:p>
        </w:tc>
        <w:tc>
          <w:tcPr>
            <w:tcW w:type="dxa" w:w="2507"/>
          </w:tcPr>
          <w:p>
            <w:pPr/>
            <w:r>
              <w:rPr>
                <w:sz w:val="18"/>
              </w:rPr>
            </w:r>
            <w:r>
              <w:rPr>
                <w:sz w:val="18"/>
              </w:rPr>
              <w:t>During QA</w:t>
            </w:r>
          </w:p>
        </w:tc>
      </w:tr>
    </w:tbl>
    <w:p>
      <w:r/>
      <w:r>
        <w:rPr>
          <w:b/>
        </w:rPr>
        <w:t>SME review gates:</w:t>
      </w:r>
      <w:r/>
    </w:p>
    <w:p>
      <w:pPr>
        <w:pStyle w:val="ListNumber"/>
      </w:pPr>
      <w:r/>
      <w:r>
        <w:rPr>
          <w:b/>
        </w:rPr>
        <w:t>Gate 1 — Blueprint review:</w:t>
      </w:r>
      <w:r>
        <w:t xml:space="preserve"> SME reviews course learning outcomes, module structure, and key content points before storyboard development begins.</w:t>
      </w:r>
    </w:p>
    <w:p>
      <w:pPr>
        <w:pStyle w:val="ListNumber"/>
      </w:pPr>
      <w:r/>
      <w:r>
        <w:rPr>
          <w:b/>
        </w:rPr>
        <w:t>Gate 2 — Storyboard review:</w:t>
      </w:r>
      <w:r>
        <w:t xml:space="preserve"> SME reviews full storyboard with on-screen text, narration scripts, scenario content, and assessment items. High-risk content (legal, policy, terminology) is flagged for priority review.</w:t>
      </w:r>
    </w:p>
    <w:p>
      <w:pPr>
        <w:pStyle w:val="ListNumber"/>
      </w:pPr>
      <w:r/>
      <w:r>
        <w:rPr>
          <w:b/>
        </w:rPr>
        <w:t>Gate 3 — Final build review:</w:t>
      </w:r>
      <w:r>
        <w:t xml:space="preserve"> SME reviews the built Storyline course for content accuracy before LMS testing.</w:t>
      </w:r>
    </w:p>
    <w:p>
      <w:pPr>
        <w:spacing w:before="120" w:after="120"/>
      </w:pPr>
      <w:r>
        <w:rPr>
          <w:color w:val="CCCCCC"/>
          <w:sz w:val="16"/>
        </w:rPr>
        <w:t>──────────────────────────────────────────────────</w:t>
      </w:r>
    </w:p>
    <w:p>
      <w:pPr>
        <w:pStyle w:val="Heading2"/>
      </w:pPr>
      <w:r>
        <w:t>13. Estimated Production Timeline</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Phase</w:t>
            </w:r>
          </w:p>
        </w:tc>
        <w:tc>
          <w:tcPr>
            <w:tcW w:type="dxa" w:w="2507"/>
            <w:shd w:fill="192858" w:val="clear"/>
          </w:tcPr>
          <w:p>
            <w:pPr/>
            <w:r>
              <w:rPr>
                <w:b/>
                <w:color w:val="FFFFFF"/>
                <w:sz w:val="18"/>
              </w:rPr>
            </w:r>
            <w:r>
              <w:rPr>
                <w:b/>
                <w:color w:val="FFFFFF"/>
                <w:sz w:val="18"/>
              </w:rPr>
              <w:t>Activities</w:t>
            </w:r>
          </w:p>
        </w:tc>
        <w:tc>
          <w:tcPr>
            <w:tcW w:type="dxa" w:w="2507"/>
            <w:shd w:fill="192858" w:val="clear"/>
          </w:tcPr>
          <w:p>
            <w:pPr/>
            <w:r>
              <w:rPr>
                <w:b/>
                <w:color w:val="FFFFFF"/>
                <w:sz w:val="18"/>
              </w:rPr>
            </w:r>
            <w:r>
              <w:rPr>
                <w:b/>
                <w:color w:val="FFFFFF"/>
                <w:sz w:val="18"/>
              </w:rPr>
              <w:t>Estimated Duration</w:t>
            </w:r>
          </w:p>
        </w:tc>
        <w:tc>
          <w:tcPr>
            <w:tcW w:type="dxa" w:w="2507"/>
            <w:shd w:fill="192858" w:val="clear"/>
          </w:tcPr>
          <w:p>
            <w:pPr/>
            <w:r>
              <w:rPr>
                <w:b/>
                <w:color w:val="FFFFFF"/>
                <w:sz w:val="18"/>
              </w:rPr>
            </w:r>
            <w:r>
              <w:rPr>
                <w:b/>
                <w:color w:val="FFFFFF"/>
                <w:sz w:val="18"/>
              </w:rPr>
              <w:t>Dependencies</w:t>
            </w:r>
          </w:p>
        </w:tc>
      </w:tr>
      <w:tr>
        <w:tc>
          <w:tcPr>
            <w:tcW w:type="dxa" w:w="2507"/>
          </w:tcPr>
          <w:p>
            <w:pPr/>
            <w:r>
              <w:rPr>
                <w:sz w:val="18"/>
              </w:rPr>
            </w:r>
            <w:r>
              <w:rPr>
                <w:sz w:val="18"/>
              </w:rPr>
            </w:r>
            <w:r>
              <w:rPr>
                <w:b/>
                <w:sz w:val="18"/>
              </w:rPr>
              <w:t>Analysis and planning</w:t>
            </w:r>
            <w:r>
              <w:rPr>
                <w:sz w:val="18"/>
              </w:rPr>
            </w:r>
          </w:p>
        </w:tc>
        <w:tc>
          <w:tcPr>
            <w:tcW w:type="dxa" w:w="2507"/>
          </w:tcPr>
          <w:p>
            <w:pPr/>
            <w:r>
              <w:rPr>
                <w:sz w:val="18"/>
              </w:rPr>
            </w:r>
            <w:r>
              <w:rPr>
                <w:sz w:val="18"/>
              </w:rPr>
              <w:t>Source review, audience analysis, course overview document, CLO development</w:t>
            </w:r>
          </w:p>
        </w:tc>
        <w:tc>
          <w:tcPr>
            <w:tcW w:type="dxa" w:w="2507"/>
          </w:tcPr>
          <w:p>
            <w:pPr/>
            <w:r>
              <w:rPr>
                <w:sz w:val="18"/>
              </w:rPr>
            </w:r>
            <w:r>
              <w:rPr>
                <w:sz w:val="18"/>
              </w:rPr>
              <w:t>1 week</w:t>
            </w:r>
          </w:p>
        </w:tc>
        <w:tc>
          <w:tcPr>
            <w:tcW w:type="dxa" w:w="2507"/>
          </w:tcPr>
          <w:p>
            <w:pPr/>
            <w:r>
              <w:rPr>
                <w:sz w:val="18"/>
              </w:rPr>
            </w:r>
            <w:r>
              <w:rPr>
                <w:sz w:val="18"/>
              </w:rPr>
              <w:t>Source content finalized</w:t>
            </w:r>
          </w:p>
        </w:tc>
      </w:tr>
      <w:tr>
        <w:tc>
          <w:tcPr>
            <w:tcW w:type="dxa" w:w="2507"/>
          </w:tcPr>
          <w:p>
            <w:pPr/>
            <w:r>
              <w:rPr>
                <w:sz w:val="18"/>
              </w:rPr>
            </w:r>
            <w:r>
              <w:rPr>
                <w:sz w:val="18"/>
              </w:rPr>
            </w:r>
            <w:r>
              <w:rPr>
                <w:b/>
                <w:sz w:val="18"/>
              </w:rPr>
              <w:t>Blueprint and SME Gate 1</w:t>
            </w:r>
            <w:r>
              <w:rPr>
                <w:sz w:val="18"/>
              </w:rPr>
            </w:r>
          </w:p>
        </w:tc>
        <w:tc>
          <w:tcPr>
            <w:tcW w:type="dxa" w:w="2507"/>
          </w:tcPr>
          <w:p>
            <w:pPr/>
            <w:r>
              <w:rPr>
                <w:sz w:val="18"/>
              </w:rPr>
            </w:r>
            <w:r>
              <w:rPr>
                <w:sz w:val="18"/>
              </w:rPr>
              <w:t>Module structure, content outline; SME review of blueprint</w:t>
            </w:r>
          </w:p>
        </w:tc>
        <w:tc>
          <w:tcPr>
            <w:tcW w:type="dxa" w:w="2507"/>
          </w:tcPr>
          <w:p>
            <w:pPr/>
            <w:r>
              <w:rPr>
                <w:sz w:val="18"/>
              </w:rPr>
            </w:r>
            <w:r>
              <w:rPr>
                <w:sz w:val="18"/>
              </w:rPr>
              <w:t>1 week</w:t>
            </w:r>
          </w:p>
        </w:tc>
        <w:tc>
          <w:tcPr>
            <w:tcW w:type="dxa" w:w="2507"/>
          </w:tcPr>
          <w:p>
            <w:pPr/>
            <w:r>
              <w:rPr>
                <w:sz w:val="18"/>
              </w:rPr>
            </w:r>
            <w:r>
              <w:rPr>
                <w:sz w:val="18"/>
              </w:rPr>
              <w:t>Course overview approved</w:t>
            </w:r>
          </w:p>
        </w:tc>
      </w:tr>
      <w:tr>
        <w:tc>
          <w:tcPr>
            <w:tcW w:type="dxa" w:w="2507"/>
          </w:tcPr>
          <w:p>
            <w:pPr/>
            <w:r>
              <w:rPr>
                <w:sz w:val="18"/>
              </w:rPr>
            </w:r>
            <w:r>
              <w:rPr>
                <w:sz w:val="18"/>
              </w:rPr>
            </w:r>
            <w:r>
              <w:rPr>
                <w:b/>
                <w:sz w:val="18"/>
              </w:rPr>
              <w:t>Storyboard development</w:t>
            </w:r>
            <w:r>
              <w:rPr>
                <w:sz w:val="18"/>
              </w:rPr>
            </w:r>
          </w:p>
        </w:tc>
        <w:tc>
          <w:tcPr>
            <w:tcW w:type="dxa" w:w="2507"/>
          </w:tcPr>
          <w:p>
            <w:pPr/>
            <w:r>
              <w:rPr>
                <w:sz w:val="18"/>
              </w:rPr>
            </w:r>
            <w:r>
              <w:rPr>
                <w:sz w:val="18"/>
              </w:rPr>
              <w:t>Full storyboard with on-screen text, narration, interaction direction, media direction, accessibility notes</w:t>
            </w:r>
          </w:p>
        </w:tc>
        <w:tc>
          <w:tcPr>
            <w:tcW w:type="dxa" w:w="2507"/>
          </w:tcPr>
          <w:p>
            <w:pPr/>
            <w:r>
              <w:rPr>
                <w:sz w:val="18"/>
              </w:rPr>
            </w:r>
            <w:r>
              <w:rPr>
                <w:sz w:val="18"/>
              </w:rPr>
              <w:t>1.5–2 weeks</w:t>
            </w:r>
          </w:p>
        </w:tc>
        <w:tc>
          <w:tcPr>
            <w:tcW w:type="dxa" w:w="2507"/>
          </w:tcPr>
          <w:p>
            <w:pPr/>
            <w:r>
              <w:rPr>
                <w:sz w:val="18"/>
              </w:rPr>
            </w:r>
            <w:r>
              <w:rPr>
                <w:sz w:val="18"/>
              </w:rPr>
              <w:t>Blueprint approved</w:t>
            </w:r>
          </w:p>
        </w:tc>
      </w:tr>
      <w:tr>
        <w:tc>
          <w:tcPr>
            <w:tcW w:type="dxa" w:w="2507"/>
          </w:tcPr>
          <w:p>
            <w:pPr/>
            <w:r>
              <w:rPr>
                <w:sz w:val="18"/>
              </w:rPr>
            </w:r>
            <w:r>
              <w:rPr>
                <w:sz w:val="18"/>
              </w:rPr>
            </w:r>
            <w:r>
              <w:rPr>
                <w:b/>
                <w:sz w:val="18"/>
              </w:rPr>
              <w:t>SME Gate 2</w:t>
            </w:r>
            <w:r>
              <w:rPr>
                <w:sz w:val="18"/>
              </w:rPr>
            </w:r>
          </w:p>
        </w:tc>
        <w:tc>
          <w:tcPr>
            <w:tcW w:type="dxa" w:w="2507"/>
          </w:tcPr>
          <w:p>
            <w:pPr/>
            <w:r>
              <w:rPr>
                <w:sz w:val="18"/>
              </w:rPr>
            </w:r>
            <w:r>
              <w:rPr>
                <w:sz w:val="18"/>
              </w:rPr>
              <w:t>SME review of storyboard; revisions</w:t>
            </w:r>
          </w:p>
        </w:tc>
        <w:tc>
          <w:tcPr>
            <w:tcW w:type="dxa" w:w="2507"/>
          </w:tcPr>
          <w:p>
            <w:pPr/>
            <w:r>
              <w:rPr>
                <w:sz w:val="18"/>
              </w:rPr>
            </w:r>
            <w:r>
              <w:rPr>
                <w:sz w:val="18"/>
              </w:rPr>
              <w:t>1 week</w:t>
            </w:r>
          </w:p>
        </w:tc>
        <w:tc>
          <w:tcPr>
            <w:tcW w:type="dxa" w:w="2507"/>
          </w:tcPr>
          <w:p>
            <w:pPr/>
            <w:r>
              <w:rPr>
                <w:sz w:val="18"/>
              </w:rPr>
            </w:r>
            <w:r>
              <w:rPr>
                <w:sz w:val="18"/>
              </w:rPr>
              <w:t>Storyboard draft complete</w:t>
            </w:r>
          </w:p>
        </w:tc>
      </w:tr>
      <w:tr>
        <w:tc>
          <w:tcPr>
            <w:tcW w:type="dxa" w:w="2507"/>
          </w:tcPr>
          <w:p>
            <w:pPr/>
            <w:r>
              <w:rPr>
                <w:sz w:val="18"/>
              </w:rPr>
            </w:r>
            <w:r>
              <w:rPr>
                <w:sz w:val="18"/>
              </w:rPr>
            </w:r>
            <w:r>
              <w:rPr>
                <w:b/>
                <w:sz w:val="18"/>
              </w:rPr>
              <w:t>Visual design and media production</w:t>
            </w:r>
            <w:r>
              <w:rPr>
                <w:sz w:val="18"/>
              </w:rPr>
            </w:r>
          </w:p>
        </w:tc>
        <w:tc>
          <w:tcPr>
            <w:tcW w:type="dxa" w:w="2507"/>
          </w:tcPr>
          <w:p>
            <w:pPr/>
            <w:r>
              <w:rPr>
                <w:sz w:val="18"/>
              </w:rPr>
            </w:r>
            <w:r>
              <w:rPr>
                <w:sz w:val="18"/>
              </w:rPr>
              <w:t>Illustration creation, scenario imagery, audio recording (if applicable), video production (if applicable)</w:t>
            </w:r>
          </w:p>
        </w:tc>
        <w:tc>
          <w:tcPr>
            <w:tcW w:type="dxa" w:w="2507"/>
          </w:tcPr>
          <w:p>
            <w:pPr/>
            <w:r>
              <w:rPr>
                <w:sz w:val="18"/>
              </w:rPr>
            </w:r>
            <w:r>
              <w:rPr>
                <w:sz w:val="18"/>
              </w:rPr>
              <w:t>1–2 weeks</w:t>
            </w:r>
          </w:p>
        </w:tc>
        <w:tc>
          <w:tcPr>
            <w:tcW w:type="dxa" w:w="2507"/>
          </w:tcPr>
          <w:p>
            <w:pPr/>
            <w:r>
              <w:rPr>
                <w:sz w:val="18"/>
              </w:rPr>
            </w:r>
            <w:r>
              <w:rPr>
                <w:sz w:val="18"/>
              </w:rPr>
              <w:t>Storyboard approved; can overlap with build</w:t>
            </w:r>
          </w:p>
        </w:tc>
      </w:tr>
      <w:tr>
        <w:tc>
          <w:tcPr>
            <w:tcW w:type="dxa" w:w="2507"/>
          </w:tcPr>
          <w:p>
            <w:pPr/>
            <w:r>
              <w:rPr>
                <w:sz w:val="18"/>
              </w:rPr>
            </w:r>
            <w:r>
              <w:rPr>
                <w:sz w:val="18"/>
              </w:rPr>
            </w:r>
            <w:r>
              <w:rPr>
                <w:b/>
                <w:sz w:val="18"/>
              </w:rPr>
              <w:t>Storyline build</w:t>
            </w:r>
            <w:r>
              <w:rPr>
                <w:sz w:val="18"/>
              </w:rPr>
            </w:r>
          </w:p>
        </w:tc>
        <w:tc>
          <w:tcPr>
            <w:tcW w:type="dxa" w:w="2507"/>
          </w:tcPr>
          <w:p>
            <w:pPr/>
            <w:r>
              <w:rPr>
                <w:sz w:val="18"/>
              </w:rPr>
            </w:r>
            <w:r>
              <w:rPr>
                <w:sz w:val="18"/>
              </w:rPr>
              <w:t>Course assembly in Articulate Storyline 360; interaction programming; accessibility configuration</w:t>
            </w:r>
          </w:p>
        </w:tc>
        <w:tc>
          <w:tcPr>
            <w:tcW w:type="dxa" w:w="2507"/>
          </w:tcPr>
          <w:p>
            <w:pPr/>
            <w:r>
              <w:rPr>
                <w:sz w:val="18"/>
              </w:rPr>
            </w:r>
            <w:r>
              <w:rPr>
                <w:sz w:val="18"/>
              </w:rPr>
              <w:t>1.5–2 weeks</w:t>
            </w:r>
          </w:p>
        </w:tc>
        <w:tc>
          <w:tcPr>
            <w:tcW w:type="dxa" w:w="2507"/>
          </w:tcPr>
          <w:p>
            <w:pPr/>
            <w:r>
              <w:rPr>
                <w:sz w:val="18"/>
              </w:rPr>
            </w:r>
            <w:r>
              <w:rPr>
                <w:sz w:val="18"/>
              </w:rPr>
              <w:t>Approved storyboard and media assets</w:t>
            </w:r>
          </w:p>
        </w:tc>
      </w:tr>
      <w:tr>
        <w:tc>
          <w:tcPr>
            <w:tcW w:type="dxa" w:w="2507"/>
          </w:tcPr>
          <w:p>
            <w:pPr/>
            <w:r>
              <w:rPr>
                <w:sz w:val="18"/>
              </w:rPr>
            </w:r>
            <w:r>
              <w:rPr>
                <w:sz w:val="18"/>
              </w:rPr>
            </w:r>
            <w:r>
              <w:rPr>
                <w:b/>
                <w:sz w:val="18"/>
              </w:rPr>
              <w:t>Internal QA</w:t>
            </w:r>
            <w:r>
              <w:rPr>
                <w:sz w:val="18"/>
              </w:rPr>
            </w:r>
          </w:p>
        </w:tc>
        <w:tc>
          <w:tcPr>
            <w:tcW w:type="dxa" w:w="2507"/>
          </w:tcPr>
          <w:p>
            <w:pPr/>
            <w:r>
              <w:rPr>
                <w:sz w:val="18"/>
              </w:rPr>
            </w:r>
            <w:r>
              <w:rPr>
                <w:sz w:val="18"/>
              </w:rPr>
              <w:t>Accessibility testing, instructional design QA, functional testing, browser/device testing</w:t>
            </w:r>
          </w:p>
        </w:tc>
        <w:tc>
          <w:tcPr>
            <w:tcW w:type="dxa" w:w="2507"/>
          </w:tcPr>
          <w:p>
            <w:pPr/>
            <w:r>
              <w:rPr>
                <w:sz w:val="18"/>
              </w:rPr>
            </w:r>
            <w:r>
              <w:rPr>
                <w:sz w:val="18"/>
              </w:rPr>
              <w:t>1 week</w:t>
            </w:r>
          </w:p>
        </w:tc>
        <w:tc>
          <w:tcPr>
            <w:tcW w:type="dxa" w:w="2507"/>
          </w:tcPr>
          <w:p>
            <w:pPr/>
            <w:r>
              <w:rPr>
                <w:sz w:val="18"/>
              </w:rPr>
            </w:r>
            <w:r>
              <w:rPr>
                <w:sz w:val="18"/>
              </w:rPr>
              <w:t>Build complete</w:t>
            </w:r>
          </w:p>
        </w:tc>
      </w:tr>
      <w:tr>
        <w:tc>
          <w:tcPr>
            <w:tcW w:type="dxa" w:w="2507"/>
          </w:tcPr>
          <w:p>
            <w:pPr/>
            <w:r>
              <w:rPr>
                <w:sz w:val="18"/>
              </w:rPr>
            </w:r>
            <w:r>
              <w:rPr>
                <w:sz w:val="18"/>
              </w:rPr>
            </w:r>
            <w:r>
              <w:rPr>
                <w:b/>
                <w:sz w:val="18"/>
              </w:rPr>
              <w:t>SME Gate 3 and revisions</w:t>
            </w:r>
            <w:r>
              <w:rPr>
                <w:sz w:val="18"/>
              </w:rPr>
            </w:r>
          </w:p>
        </w:tc>
        <w:tc>
          <w:tcPr>
            <w:tcW w:type="dxa" w:w="2507"/>
          </w:tcPr>
          <w:p>
            <w:pPr/>
            <w:r>
              <w:rPr>
                <w:sz w:val="18"/>
              </w:rPr>
            </w:r>
            <w:r>
              <w:rPr>
                <w:sz w:val="18"/>
              </w:rPr>
              <w:t>SME final review of built course; revisions</w:t>
            </w:r>
          </w:p>
        </w:tc>
        <w:tc>
          <w:tcPr>
            <w:tcW w:type="dxa" w:w="2507"/>
          </w:tcPr>
          <w:p>
            <w:pPr/>
            <w:r>
              <w:rPr>
                <w:sz w:val="18"/>
              </w:rPr>
            </w:r>
            <w:r>
              <w:rPr>
                <w:sz w:val="18"/>
              </w:rPr>
              <w:t>1 week</w:t>
            </w:r>
          </w:p>
        </w:tc>
        <w:tc>
          <w:tcPr>
            <w:tcW w:type="dxa" w:w="2507"/>
          </w:tcPr>
          <w:p>
            <w:pPr/>
            <w:r>
              <w:rPr>
                <w:sz w:val="18"/>
              </w:rPr>
            </w:r>
            <w:r>
              <w:rPr>
                <w:sz w:val="18"/>
              </w:rPr>
              <w:t>QA complete</w:t>
            </w:r>
          </w:p>
        </w:tc>
      </w:tr>
      <w:tr>
        <w:tc>
          <w:tcPr>
            <w:tcW w:type="dxa" w:w="2507"/>
          </w:tcPr>
          <w:p>
            <w:pPr/>
            <w:r>
              <w:rPr>
                <w:sz w:val="18"/>
              </w:rPr>
            </w:r>
            <w:r>
              <w:rPr>
                <w:sz w:val="18"/>
              </w:rPr>
            </w:r>
            <w:r>
              <w:rPr>
                <w:b/>
                <w:sz w:val="18"/>
              </w:rPr>
              <w:t>LMS testing</w:t>
            </w:r>
            <w:r>
              <w:rPr>
                <w:sz w:val="18"/>
              </w:rPr>
            </w:r>
          </w:p>
        </w:tc>
        <w:tc>
          <w:tcPr>
            <w:tcW w:type="dxa" w:w="2507"/>
          </w:tcPr>
          <w:p>
            <w:pPr/>
            <w:r>
              <w:rPr>
                <w:sz w:val="18"/>
              </w:rPr>
            </w:r>
            <w:r>
              <w:rPr>
                <w:sz w:val="18"/>
              </w:rPr>
              <w:t>SCORM upload, tracking verification, completion status testing</w:t>
            </w:r>
          </w:p>
        </w:tc>
        <w:tc>
          <w:tcPr>
            <w:tcW w:type="dxa" w:w="2507"/>
          </w:tcPr>
          <w:p>
            <w:pPr/>
            <w:r>
              <w:rPr>
                <w:sz w:val="18"/>
              </w:rPr>
            </w:r>
            <w:r>
              <w:rPr>
                <w:sz w:val="18"/>
              </w:rPr>
              <w:t>0.5 week</w:t>
            </w:r>
          </w:p>
        </w:tc>
        <w:tc>
          <w:tcPr>
            <w:tcW w:type="dxa" w:w="2507"/>
          </w:tcPr>
          <w:p>
            <w:pPr/>
            <w:r>
              <w:rPr>
                <w:sz w:val="18"/>
              </w:rPr>
            </w:r>
            <w:r>
              <w:rPr>
                <w:sz w:val="18"/>
              </w:rPr>
              <w:t>SME final approval</w:t>
            </w:r>
          </w:p>
        </w:tc>
      </w:tr>
      <w:tr>
        <w:tc>
          <w:tcPr>
            <w:tcW w:type="dxa" w:w="2507"/>
          </w:tcPr>
          <w:p>
            <w:pPr/>
            <w:r>
              <w:rPr>
                <w:sz w:val="18"/>
              </w:rPr>
            </w:r>
            <w:r>
              <w:rPr>
                <w:sz w:val="18"/>
              </w:rPr>
            </w:r>
            <w:r>
              <w:rPr>
                <w:b/>
                <w:sz w:val="18"/>
              </w:rPr>
              <w:t>Launch</w:t>
            </w:r>
            <w:r>
              <w:rPr>
                <w:sz w:val="18"/>
              </w:rPr>
            </w:r>
          </w:p>
        </w:tc>
        <w:tc>
          <w:tcPr>
            <w:tcW w:type="dxa" w:w="2507"/>
          </w:tcPr>
          <w:p>
            <w:pPr/>
            <w:r>
              <w:rPr>
                <w:sz w:val="18"/>
              </w:rPr>
            </w:r>
            <w:r>
              <w:rPr>
                <w:sz w:val="18"/>
              </w:rPr>
              <w:t>Deployment to production LMS; learner communications</w:t>
            </w:r>
          </w:p>
        </w:tc>
        <w:tc>
          <w:tcPr>
            <w:tcW w:type="dxa" w:w="2507"/>
          </w:tcPr>
          <w:p>
            <w:pPr/>
            <w:r>
              <w:rPr>
                <w:sz w:val="18"/>
              </w:rPr>
            </w:r>
            <w:r>
              <w:rPr>
                <w:sz w:val="18"/>
              </w:rPr>
              <w:t>0.5 week</w:t>
            </w:r>
          </w:p>
        </w:tc>
        <w:tc>
          <w:tcPr>
            <w:tcW w:type="dxa" w:w="2507"/>
          </w:tcPr>
          <w:p>
            <w:pPr/>
            <w:r>
              <w:rPr>
                <w:sz w:val="18"/>
              </w:rPr>
            </w:r>
            <w:r>
              <w:rPr>
                <w:sz w:val="18"/>
              </w:rPr>
              <w:t>LMS testing passed</w:t>
            </w:r>
          </w:p>
        </w:tc>
      </w:tr>
    </w:tbl>
    <w:p>
      <w:r/>
      <w:r>
        <w:rPr>
          <w:b/>
        </w:rPr>
        <w:t>Estimated total production time:</w:t>
      </w:r>
      <w:r>
        <w:t xml:space="preserve"> 9–12 weeks (from analysis to launch)</w:t>
      </w:r>
    </w:p>
    <w:p>
      <w:r/>
      <w:r>
        <w:rPr>
          <w:b/>
        </w:rPr>
        <w:t>Note:</w:t>
      </w:r>
      <w:r>
        <w:t xml:space="preserve"> Timeline assumes a single instructional designer with dedicated SME availability. Parallel workstreams (e.g., media production during build) can compress the timeline. Delays in SME review are the most common risk to schedule.</w:t>
      </w:r>
    </w:p>
    <w:p>
      <w:pPr>
        <w:spacing w:before="120" w:after="120"/>
      </w:pPr>
      <w:r>
        <w:rPr>
          <w:color w:val="CCCCCC"/>
          <w:sz w:val="16"/>
        </w:rPr>
        <w:t>──────────────────────────────────────────────────</w:t>
      </w:r>
    </w:p>
    <w:p>
      <w:pPr>
        <w:pStyle w:val="Heading2"/>
      </w:pPr>
      <w:r>
        <w:t>References</w:t>
      </w:r>
    </w:p>
    <w:p>
      <w:r>
        <w:t>Accessibility for Ontarians with Disabilities Act, 2005, S.O. 2005, c. 11. https://www.ontario.ca/laws/statute/05a11</w:t>
      </w:r>
    </w:p>
    <w:p>
      <w:r>
        <w:t xml:space="preserve">Ontario Human Rights Commission. (n.d.). </w:t>
      </w:r>
      <w:r>
        <w:rPr>
          <w:i/>
        </w:rPr>
        <w:t>Policy on ableism and discrimination based on disability</w:t>
      </w:r>
      <w:r>
        <w:t>. https://www.ohrc.on.ca/en/policy-ableism-and-discrimination-based-disability</w:t>
      </w:r>
    </w:p>
    <w:p>
      <w:r>
        <w:t xml:space="preserve">University Health Network. (n.d.). </w:t>
      </w:r>
      <w:r>
        <w:rPr>
          <w:i/>
        </w:rPr>
        <w:t>UHN accessibility policy</w:t>
      </w:r>
      <w:r>
        <w:t>. [Internal document].</w:t>
      </w:r>
    </w:p>
    <w:p>
      <w:r>
        <w:t xml:space="preserve">World Health Organization. (2011). </w:t>
      </w:r>
      <w:r>
        <w:rPr>
          <w:i/>
        </w:rPr>
        <w:t>World report on disability</w:t>
      </w:r>
      <w:r>
        <w:t>. WHO Press.</w:t>
      </w:r>
    </w:p>
    <w:p>
      <w:pPr>
        <w:spacing w:before="120" w:after="120"/>
      </w:pPr>
      <w:r>
        <w:rPr>
          <w:color w:val="CCCCCC"/>
          <w:sz w:val="16"/>
        </w:rPr>
        <w:t>──────────────────────────────────────────────────</w:t>
      </w:r>
    </w:p>
    <w:p>
      <w:r/>
      <w:r>
        <w:rPr>
          <w:i/>
        </w:rPr>
        <w:t>Document version: 1.0 Draft | Created: 2026-05-23 | Instructional Designer: Yijin</w:t>
      </w:r>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