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top w:w="28" w:type="dxa"/>
          <w:left w:w="57" w:type="dxa"/>
          <w:bottom w:w="28" w:type="dxa"/>
          <w:right w:w="57" w:type="dxa"/>
        </w:tblCellMar>
        <w:tblLook w:val="04A0" w:firstRow="1" w:lastRow="0" w:firstColumn="1" w:lastColumn="0" w:noHBand="0" w:noVBand="1"/>
      </w:tblPr>
      <w:tblGrid>
        <w:gridCol w:w="2158"/>
        <w:gridCol w:w="2159"/>
        <w:gridCol w:w="2159"/>
        <w:gridCol w:w="2159"/>
      </w:tblGrid>
      <w:tr w:rsidRPr="000777AB" w:rsidR="000C2511" w:rsidTr="002D1016" w14:paraId="77B1EE70" w14:textId="77777777">
        <w:trPr>
          <w:trHeight w:val="300"/>
          <w:jc w:val="center"/>
        </w:trPr>
        <w:tc>
          <w:tcPr>
            <w:tcW w:w="2220" w:type="dxa"/>
            <w:shd w:val="clear" w:color="auto" w:fill="192958"/>
            <w:hideMark/>
          </w:tcPr>
          <w:p w:rsidRPr="000777AB" w:rsidR="000C2511" w:rsidP="002D1016" w:rsidRDefault="000C2511" w14:paraId="22679DC6"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1 </w:t>
            </w:r>
          </w:p>
        </w:tc>
        <w:tc>
          <w:tcPr>
            <w:tcW w:w="2220" w:type="dxa"/>
            <w:shd w:val="clear" w:color="auto" w:fill="192958"/>
            <w:hideMark/>
          </w:tcPr>
          <w:p w:rsidRPr="000777AB" w:rsidR="000C2511" w:rsidP="002D1016" w:rsidRDefault="000C2511" w14:paraId="7C1C719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2 </w:t>
            </w:r>
          </w:p>
        </w:tc>
        <w:tc>
          <w:tcPr>
            <w:tcW w:w="2220" w:type="dxa"/>
            <w:shd w:val="clear" w:color="auto" w:fill="192958"/>
            <w:hideMark/>
          </w:tcPr>
          <w:p w:rsidRPr="000777AB" w:rsidR="000C2511" w:rsidP="002D1016" w:rsidRDefault="000C2511" w14:paraId="6A3FBF8B"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3 </w:t>
            </w:r>
          </w:p>
        </w:tc>
        <w:tc>
          <w:tcPr>
            <w:tcW w:w="2220" w:type="dxa"/>
            <w:shd w:val="clear" w:color="auto" w:fill="192958"/>
            <w:hideMark/>
          </w:tcPr>
          <w:p w:rsidRPr="000777AB" w:rsidR="000C2511" w:rsidP="002D1016" w:rsidRDefault="000C2511" w14:paraId="2AA42F28"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Item 4 </w:t>
            </w:r>
          </w:p>
        </w:tc>
      </w:tr>
      <w:tr w:rsidRPr="000777AB" w:rsidR="000C2511" w:rsidTr="002D1016" w14:paraId="0D36CFC9" w14:textId="77777777">
        <w:trPr>
          <w:trHeight w:val="300"/>
          <w:jc w:val="center"/>
        </w:trPr>
        <w:tc>
          <w:tcPr>
            <w:tcW w:w="2220" w:type="dxa"/>
            <w:shd w:val="clear" w:color="auto" w:fill="255CAA"/>
            <w:hideMark/>
          </w:tcPr>
          <w:p w:rsidRPr="000777AB" w:rsidR="000C2511" w:rsidP="002D1016" w:rsidRDefault="000C2511" w14:paraId="001547E3"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4B73730E"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2711C4A5"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c>
          <w:tcPr>
            <w:tcW w:w="2220" w:type="dxa"/>
            <w:shd w:val="clear" w:color="auto" w:fill="255CAA"/>
            <w:hideMark/>
          </w:tcPr>
          <w:p w:rsidRPr="000777AB" w:rsidR="000C2511" w:rsidP="002D1016" w:rsidRDefault="000C2511" w14:paraId="6FB1A5E9" w14:textId="77777777">
            <w:pPr>
              <w:spacing w:after="0"/>
              <w:textAlignment w:val="baseline"/>
              <w:rPr>
                <w:rFonts w:ascii="Segoe UI" w:hAnsi="Segoe UI" w:eastAsia="Times New Roman" w:cs="Segoe UI"/>
                <w:color w:val="1D2958"/>
                <w:kern w:val="0"/>
                <w:sz w:val="18"/>
                <w:szCs w:val="18"/>
                <w:lang w:eastAsia="en-CA"/>
              </w:rPr>
            </w:pPr>
            <w:r w:rsidRPr="000777AB">
              <w:rPr>
                <w:rFonts w:eastAsia="Times New Roman"/>
                <w:color w:val="FFFFFF"/>
                <w:kern w:val="0"/>
                <w:lang w:eastAsia="en-CA"/>
              </w:rPr>
              <w:t>Subcategory </w:t>
            </w:r>
          </w:p>
        </w:tc>
      </w:tr>
      <w:tr w:rsidRPr="000777AB" w:rsidR="000C2511" w:rsidTr="002D1016" w14:paraId="6E0873B3" w14:textId="77777777">
        <w:trPr>
          <w:trHeight w:val="300"/>
          <w:jc w:val="center"/>
        </w:trPr>
        <w:tc>
          <w:tcPr>
            <w:tcW w:w="2220" w:type="dxa"/>
            <w:shd w:val="clear" w:color="auto" w:fill="auto"/>
            <w:hideMark/>
          </w:tcPr>
          <w:p w:rsidRPr="000777AB" w:rsidR="000C2511" w:rsidP="002D1016" w:rsidRDefault="000C2511" w14:paraId="0ACE1A7B" w14:textId="77777777">
            <w:pPr>
              <w:rPr>
                <w:rFonts w:ascii="Segoe UI" w:hAnsi="Segoe UI" w:cs="Segoe UI"/>
                <w:sz w:val="18"/>
                <w:szCs w:val="18"/>
                <w:lang w:eastAsia="en-CA"/>
              </w:rPr>
            </w:pPr>
            <w:r>
              <w:rPr>
                <w:lang w:eastAsia="en-CA"/>
              </w:rPr>
              <w:t>Content</w:t>
            </w:r>
          </w:p>
        </w:tc>
        <w:tc>
          <w:tcPr>
            <w:tcW w:w="2220" w:type="dxa"/>
            <w:shd w:val="clear" w:color="auto" w:fill="auto"/>
            <w:hideMark/>
          </w:tcPr>
          <w:p w:rsidRPr="000777AB" w:rsidR="000C2511" w:rsidP="002D1016" w:rsidRDefault="000C2511" w14:paraId="1FDA8699"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D6A71FA"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c>
          <w:tcPr>
            <w:tcW w:w="2220" w:type="dxa"/>
            <w:shd w:val="clear" w:color="auto" w:fill="auto"/>
            <w:hideMark/>
          </w:tcPr>
          <w:p w:rsidRPr="000777AB" w:rsidR="000C2511" w:rsidP="002D1016" w:rsidRDefault="000C2511" w14:paraId="17A347DC"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Content</w:t>
            </w:r>
          </w:p>
        </w:tc>
      </w:tr>
      <w:tr w:rsidRPr="000777AB" w:rsidR="000C2511" w:rsidTr="002D1016" w14:paraId="29AFB136" w14:textId="77777777">
        <w:trPr>
          <w:trHeight w:val="300"/>
          <w:jc w:val="center"/>
        </w:trPr>
        <w:tc>
          <w:tcPr>
            <w:tcW w:w="2220" w:type="dxa"/>
            <w:shd w:val="clear" w:color="auto" w:fill="auto"/>
          </w:tcPr>
          <w:p w:rsidRPr="000777AB" w:rsidR="000C2511" w:rsidP="002D1016" w:rsidRDefault="000C2511" w14:paraId="554B7D62" w14:textId="77777777">
            <w:pPr>
              <w:rPr>
                <w:lang w:eastAsia="en-CA"/>
              </w:rPr>
            </w:pPr>
            <w:r>
              <w:rPr>
                <w:lang w:eastAsia="en-CA"/>
              </w:rPr>
              <w:t>Bulleted content</w:t>
            </w:r>
          </w:p>
        </w:tc>
        <w:tc>
          <w:tcPr>
            <w:tcW w:w="2220" w:type="dxa"/>
            <w:shd w:val="clear" w:color="auto" w:fill="auto"/>
          </w:tcPr>
          <w:p w:rsidR="000C2511" w:rsidP="002D1016" w:rsidRDefault="000C2511" w14:paraId="4C15ED0C" w14:textId="77777777">
            <w:pPr>
              <w:rPr>
                <w:rFonts w:eastAsia="Times New Roman"/>
                <w:color w:val="1D2958"/>
                <w:kern w:val="0"/>
                <w:lang w:eastAsia="en-CA"/>
              </w:rPr>
            </w:pPr>
          </w:p>
        </w:tc>
        <w:tc>
          <w:tcPr>
            <w:tcW w:w="2220" w:type="dxa"/>
            <w:shd w:val="clear" w:color="auto" w:fill="auto"/>
          </w:tcPr>
          <w:p w:rsidR="000C2511" w:rsidP="002D1016" w:rsidRDefault="000C2511" w14:paraId="0033B40A" w14:textId="77777777">
            <w:pPr>
              <w:rPr>
                <w:rFonts w:eastAsia="Times New Roman"/>
                <w:color w:val="1D2958"/>
                <w:kern w:val="0"/>
                <w:lang w:eastAsia="en-CA"/>
              </w:rPr>
            </w:pPr>
          </w:p>
        </w:tc>
        <w:tc>
          <w:tcPr>
            <w:tcW w:w="2220" w:type="dxa"/>
            <w:shd w:val="clear" w:color="auto" w:fill="auto"/>
          </w:tcPr>
          <w:p w:rsidR="000C2511" w:rsidP="002D1016" w:rsidRDefault="000C2511" w14:paraId="5A8E8C78" w14:textId="77777777">
            <w:pPr>
              <w:rPr>
                <w:rFonts w:eastAsia="Times New Roman"/>
                <w:color w:val="1D2958"/>
                <w:kern w:val="0"/>
                <w:lang w:eastAsia="en-CA"/>
              </w:rPr>
            </w:pPr>
          </w:p>
        </w:tc>
      </w:tr>
      <w:tr w:rsidRPr="000777AB" w:rsidR="000C2511" w:rsidTr="002D1016" w14:paraId="63317AE4" w14:textId="77777777">
        <w:trPr>
          <w:trHeight w:val="300"/>
          <w:jc w:val="center"/>
        </w:trPr>
        <w:tc>
          <w:tcPr>
            <w:tcW w:w="2220" w:type="dxa"/>
            <w:shd w:val="clear" w:color="auto" w:fill="C58BBD"/>
            <w:hideMark/>
          </w:tcPr>
          <w:p w:rsidRPr="000777AB" w:rsidR="000C2511" w:rsidP="002D1016" w:rsidRDefault="000C2511" w14:paraId="542E2FC5" w14:textId="77777777">
            <w:pPr>
              <w:rPr>
                <w:rFonts w:ascii="Segoe UI" w:hAnsi="Segoe UI" w:eastAsia="Times New Roman" w:cs="Segoe UI"/>
                <w:color w:val="1D2958"/>
                <w:kern w:val="0"/>
                <w:sz w:val="18"/>
                <w:szCs w:val="18"/>
                <w:lang w:eastAsia="en-CA"/>
              </w:rPr>
            </w:pPr>
            <w:r>
              <w:rPr>
                <w:rFonts w:eastAsia="Times New Roman"/>
                <w:color w:val="1D2958"/>
                <w:kern w:val="0"/>
                <w:lang w:eastAsia="en-CA"/>
              </w:rPr>
              <w:t>Subcategory 2</w:t>
            </w:r>
          </w:p>
        </w:tc>
        <w:tc>
          <w:tcPr>
            <w:tcW w:w="2220" w:type="dxa"/>
            <w:shd w:val="clear" w:color="auto" w:fill="C58BBD"/>
            <w:hideMark/>
          </w:tcPr>
          <w:p w:rsidRPr="000777AB" w:rsidR="000C2511" w:rsidP="002D1016" w:rsidRDefault="000C2511" w14:paraId="0AEB7987"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r>
              <w:rPr>
                <w:rFonts w:eastAsia="Times New Roman"/>
                <w:color w:val="1D2958"/>
                <w:kern w:val="0"/>
                <w:lang w:eastAsia="en-CA"/>
              </w:rPr>
              <w:t xml:space="preserve"> </w:t>
            </w:r>
          </w:p>
        </w:tc>
        <w:tc>
          <w:tcPr>
            <w:tcW w:w="2220" w:type="dxa"/>
            <w:shd w:val="clear" w:color="auto" w:fill="C58BBD"/>
            <w:hideMark/>
          </w:tcPr>
          <w:p w:rsidRPr="000777AB" w:rsidR="000C2511" w:rsidP="002D1016" w:rsidRDefault="000C2511" w14:paraId="06A1E52C"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c>
          <w:tcPr>
            <w:tcW w:w="2220" w:type="dxa"/>
            <w:shd w:val="clear" w:color="auto" w:fill="C58BBD"/>
            <w:hideMark/>
          </w:tcPr>
          <w:p w:rsidRPr="000777AB" w:rsidR="000C2511" w:rsidP="002D1016" w:rsidRDefault="000C2511" w14:paraId="0BE17426" w14:textId="77777777">
            <w:pPr>
              <w:rPr>
                <w:rFonts w:ascii="Segoe UI" w:hAnsi="Segoe UI" w:eastAsia="Times New Roman" w:cs="Segoe UI"/>
                <w:color w:val="1D2958"/>
                <w:kern w:val="0"/>
                <w:sz w:val="18"/>
                <w:szCs w:val="18"/>
                <w:lang w:eastAsia="en-CA"/>
              </w:rPr>
            </w:pPr>
            <w:r w:rsidRPr="000777AB">
              <w:rPr>
                <w:rFonts w:eastAsia="Times New Roman"/>
                <w:color w:val="1D2958"/>
                <w:kern w:val="0"/>
                <w:lang w:eastAsia="en-CA"/>
              </w:rPr>
              <w:t> </w:t>
            </w:r>
          </w:p>
        </w:tc>
      </w:tr>
    </w:tbl>
    <w:tbl>
      <w:tblPr>
        <w:tblW w:w="8910" w:type="dxa"/>
        <w:jc w:val="center"/>
        <w:tblBorders>
          <w:top w:val="single" w:color="D9D9D9" w:themeColor="background1" w:themeShade="D9" w:sz="2" w:space="0"/>
          <w:left w:val="single" w:color="D9D9D9" w:themeColor="background1" w:themeShade="D9" w:sz="2" w:space="0"/>
          <w:bottom w:val="single" w:color="D9D9D9" w:themeColor="background1" w:themeShade="D9" w:sz="2" w:space="0"/>
          <w:right w:val="single" w:color="D9D9D9" w:themeColor="background1" w:themeShade="D9" w:sz="2" w:space="0"/>
          <w:insideH w:val="single" w:color="D9D9D9" w:themeColor="background1" w:themeShade="D9" w:sz="2" w:space="0"/>
          <w:insideV w:val="single" w:color="D9D9D9" w:themeColor="background1" w:themeShade="D9" w:sz="2" w:space="0"/>
        </w:tblBorders>
        <w:tblCellMar>
          <w:top w:w="57" w:type="dxa"/>
          <w:left w:w="57" w:type="dxa"/>
          <w:bottom w:w="57" w:type="dxa"/>
          <w:right w:w="57" w:type="dxa"/>
        </w:tblCellMar>
        <w:tblLook w:val="04A0" w:firstRow="1" w:lastRow="0" w:firstColumn="1" w:lastColumn="0" w:noHBand="0" w:noVBand="1"/>
      </w:tblPr>
      <w:tblGrid>
        <w:gridCol w:w="4455"/>
        <w:gridCol w:w="1354"/>
        <w:gridCol w:w="3101"/>
      </w:tblGrid>
      <w:tr w:rsidRPr="00D537A5" w:rsidR="00D537A5" w:rsidTr="00826D64" w14:paraId="732BBCE3" w14:textId="77777777">
        <w:trPr>
          <w:trHeight w:val="300"/>
          <w:jc w:val="center"/>
        </w:trPr>
        <w:tc>
          <w:tcPr>
            <w:tcW w:w="4455" w:type="dxa"/>
            <w:shd w:val="clear" w:color="auto" w:fill="auto"/>
            <w:hideMark/>
          </w:tcPr>
          <w:p w:rsidRPr="00D537A5" w:rsidR="00D537A5" w:rsidP="00D537A5" w:rsidRDefault="00D537A5" w14:paraId="3CE1C82B"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CC8F542"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0405C652" wp14:editId="3A437833">
                  <wp:extent cx="1866900" cy="1333500"/>
                  <wp:effectExtent l="0" t="0" r="0" b="0"/>
                  <wp:docPr id="2" name="Picture 2"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tc>
        <w:tc>
          <w:tcPr>
            <w:tcW w:w="4455" w:type="dxa"/>
            <w:gridSpan w:val="2"/>
            <w:shd w:val="clear" w:color="auto" w:fill="auto"/>
            <w:hideMark/>
          </w:tcPr>
          <w:p w:rsidRPr="00D537A5" w:rsidR="00D537A5" w:rsidP="00D537A5" w:rsidRDefault="00D537A5" w14:paraId="0475C470"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p w:rsidRPr="00D537A5" w:rsidR="00D537A5" w:rsidP="00D537A5" w:rsidRDefault="00D537A5" w14:paraId="34FDBFE6" w14:textId="77777777">
            <w:pPr>
              <w:spacing w:after="0"/>
              <w:jc w:val="center"/>
              <w:textAlignment w:val="baseline"/>
              <w:rPr>
                <w:rFonts w:ascii="Segoe UI" w:hAnsi="Segoe UI" w:eastAsia="Times New Roman" w:cs="Segoe UI"/>
                <w:color w:val="1D2958"/>
                <w:kern w:val="0"/>
                <w:sz w:val="18"/>
                <w:szCs w:val="18"/>
                <w:lang w:eastAsia="en-CA"/>
              </w:rPr>
            </w:pPr>
            <w:r w:rsidRPr="00D537A5">
              <w:rPr>
                <w:noProof/>
                <w:lang w:eastAsia="en-CA"/>
              </w:rPr>
              <w:drawing>
                <wp:inline distT="0" distB="0" distL="0" distR="0" wp14:anchorId="4C41BA77" wp14:editId="0FB55325">
                  <wp:extent cx="1866900" cy="1333500"/>
                  <wp:effectExtent l="0" t="0" r="0" b="0"/>
                  <wp:docPr id="1" name="Picture 1" descr="C:\Users\t109244uhn\AppData\Local\Microsoft\Windows\INetCache\Content.MSO\8C0786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109244uhn\AppData\Local\Microsoft\Windows\INetCache\Content.MSO\8C0786D0.tm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66900" cy="1333500"/>
                          </a:xfrm>
                          <a:prstGeom prst="rect">
                            <a:avLst/>
                          </a:prstGeom>
                          <a:noFill/>
                          <a:ln>
                            <a:noFill/>
                          </a:ln>
                        </pic:spPr>
                      </pic:pic>
                    </a:graphicData>
                  </a:graphic>
                </wp:inline>
              </w:drawing>
            </w:r>
            <w:r w:rsidRPr="00D537A5">
              <w:rPr>
                <w:rFonts w:eastAsia="Times New Roman"/>
                <w:color w:val="1D2958"/>
                <w:kern w:val="0"/>
                <w:lang w:eastAsia="en-CA"/>
              </w:rPr>
              <w:t> </w:t>
            </w:r>
          </w:p>
          <w:p w:rsidRPr="00D537A5" w:rsidR="00D537A5" w:rsidP="00D537A5" w:rsidRDefault="00D537A5" w14:paraId="05B7B1C6" w14:textId="77777777">
            <w:pPr>
              <w:spacing w:after="0"/>
              <w:textAlignment w:val="baseline"/>
              <w:rPr>
                <w:rFonts w:ascii="Segoe UI" w:hAnsi="Segoe UI" w:eastAsia="Times New Roman" w:cs="Segoe UI"/>
                <w:color w:val="1D2958"/>
                <w:kern w:val="0"/>
                <w:sz w:val="18"/>
                <w:szCs w:val="18"/>
                <w:lang w:eastAsia="en-CA"/>
              </w:rPr>
            </w:pPr>
            <w:r w:rsidRPr="00D537A5">
              <w:rPr>
                <w:rFonts w:eastAsia="Times New Roman"/>
                <w:color w:val="1D2958"/>
                <w:kern w:val="0"/>
                <w:lang w:eastAsia="en-CA"/>
              </w:rPr>
              <w:t> </w:t>
            </w:r>
          </w:p>
        </w:tc>
      </w:tr>
      <w:tr w:rsidRPr="00D537A5" w:rsidR="00826D64" w:rsidTr="00826D64" w14:paraId="6AC1C1EE" w14:textId="77777777">
        <w:trPr>
          <w:trHeight w:val="300"/>
          <w:jc w:val="center"/>
        </w:trPr>
        <w:tc>
          <w:tcPr>
            <w:tcW w:w="5809" w:type="dxa"/>
            <w:gridSpan w:val="2"/>
            <w:shd w:val="clear" w:color="auto" w:fill="auto"/>
          </w:tcPr>
          <w:p w:rsidRPr="00D537A5" w:rsidR="00826D64" w:rsidP="00D537A5" w:rsidRDefault="00826D64" w14:paraId="06549586" w14:textId="7A69E4F1">
            <w:pPr>
              <w:spacing w:after="0"/>
              <w:textAlignment w:val="baseline"/>
              <w:rPr>
                <w:rFonts w:eastAsia="Times New Roman"/>
                <w:color w:val="1D2958"/>
                <w:kern w:val="0"/>
                <w:lang w:eastAsia="en-CA"/>
              </w:rPr>
            </w:pPr>
            <w:r w:rsidRPr="00BB0B12">
              <w:t>Lorem ipsum dolor sit amet, consectetur adipiscing elit, sed do eiusmod tempor incididunt ut labore et dolore magna aliqua. Ut enim ad minim veniam, quis nostrud exercitation ullamco laboris nisi ut aliquip ex ea commodo consequat.</w:t>
            </w:r>
          </w:p>
        </w:tc>
        <w:tc>
          <w:tcPr>
            <w:tcW w:w="3101" w:type="dxa"/>
            <w:shd w:val="clear" w:color="auto" w:fill="auto"/>
          </w:tcPr>
          <w:p w:rsidRPr="00D537A5" w:rsidR="00826D64" w:rsidP="00826D64" w:rsidRDefault="00826D64" w14:paraId="75F8F451" w14:textId="35A08126">
            <w:pPr>
              <w:spacing w:after="0"/>
              <w:jc w:val="center"/>
              <w:textAlignment w:val="baseline"/>
              <w:rPr>
                <w:rFonts w:eastAsia="Times New Roman"/>
                <w:color w:val="1D2958"/>
                <w:kern w:val="0"/>
                <w:lang w:eastAsia="en-CA"/>
              </w:rPr>
            </w:pPr>
            <w:r w:rsidRPr="00D537A5">
              <w:rPr>
                <w:noProof/>
                <w:lang w:eastAsia="en-CA"/>
              </w:rPr>
              <w:drawing>
                <wp:inline distT="0" distB="0" distL="0" distR="0" wp14:anchorId="6987504A" wp14:editId="69739BB3">
                  <wp:extent cx="1178207" cy="841576"/>
                  <wp:effectExtent l="0" t="0" r="3175" b="0"/>
                  <wp:docPr id="4" name="Picture 4" descr="C:\Users\t109244uhn\AppData\Local\Microsoft\Windows\INetCache\Content.MSO\9146E1F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109244uhn\AppData\Local\Microsoft\Windows\INetCache\Content.MSO\9146E1F2.tm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84871" cy="846336"/>
                          </a:xfrm>
                          <a:prstGeom prst="rect">
                            <a:avLst/>
                          </a:prstGeom>
                          <a:noFill/>
                          <a:ln>
                            <a:noFill/>
                          </a:ln>
                        </pic:spPr>
                      </pic:pic>
                    </a:graphicData>
                  </a:graphic>
                </wp:inline>
              </w:drawing>
            </w:r>
          </w:p>
        </w:tc>
      </w:tr>
    </w:tbl>
    <w:p>
      <w:pPr>
        <w:pStyle w:val="Heading1"/>
      </w:pPr>
      <w:r>
        <w:t>Assessment Bank -- Guide 01: Foundations of Disability, Inclusion, and Accessible Design</w:t>
      </w:r>
    </w:p>
    <w:p>
      <w:r/>
      <w:r>
        <w:rPr>
          <w:b/>
        </w:rPr>
        <w:t>Course:</w:t>
      </w:r>
      <w:r>
        <w:t xml:space="preserve"> UHN Accessibility First Course Series</w:t>
      </w:r>
    </w:p>
    <w:p>
      <w:r/>
      <w:r>
        <w:rPr>
          <w:b/>
        </w:rPr>
        <w:t>Guide:</w:t>
      </w:r>
      <w:r>
        <w:t xml:space="preserve"> 01 -- Foundations of Disability, Inclusion, and Accessible Design</w:t>
      </w:r>
    </w:p>
    <w:p>
      <w:r/>
      <w:r>
        <w:rPr>
          <w:b/>
        </w:rPr>
        <w:t>Version:</w:t>
      </w:r>
      <w:r>
        <w:t xml:space="preserve"> 1.0</w:t>
      </w:r>
    </w:p>
    <w:p>
      <w:r/>
      <w:r>
        <w:rPr>
          <w:b/>
        </w:rPr>
        <w:t>Date:</w:t>
      </w:r>
      <w:r>
        <w:t xml:space="preserve"> 2026-05-23</w:t>
      </w:r>
    </w:p>
    <w:p>
      <w:r/>
      <w:r>
        <w:rPr>
          <w:b/>
        </w:rPr>
        <w:t>Total Items:</w:t>
      </w:r>
      <w:r>
        <w:t xml:space="preserve"> 11</w:t>
      </w:r>
    </w:p>
    <w:p>
      <w:pPr>
        <w:spacing w:before="120" w:after="120"/>
      </w:pPr>
      <w:r>
        <w:rPr>
          <w:color w:val="CCCCCC"/>
          <w:sz w:val="16"/>
        </w:rPr>
        <w:t>──────────────────────────────────────────────────</w:t>
      </w:r>
    </w:p>
    <w:p>
      <w:pPr>
        <w:pStyle w:val="Heading2"/>
      </w:pPr>
      <w:r>
        <w:t>Course Learning Outcomes (CLOs)</w:t>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CLO</w:t>
            </w:r>
          </w:p>
        </w:tc>
        <w:tc>
          <w:tcPr>
            <w:tcW w:type="dxa" w:w="5014"/>
            <w:shd w:fill="192858" w:val="clear"/>
          </w:tcPr>
          <w:p>
            <w:pPr/>
            <w:r>
              <w:rPr>
                <w:b/>
                <w:color w:val="FFFFFF"/>
                <w:sz w:val="18"/>
              </w:rPr>
            </w:r>
            <w:r>
              <w:rPr>
                <w:b/>
                <w:color w:val="FFFFFF"/>
                <w:sz w:val="18"/>
              </w:rPr>
              <w:t>Description</w:t>
            </w:r>
          </w:p>
        </w:tc>
      </w:tr>
      <w:tr>
        <w:tc>
          <w:tcPr>
            <w:tcW w:type="dxa" w:w="5014"/>
          </w:tcPr>
          <w:p>
            <w:pPr/>
            <w:r>
              <w:rPr>
                <w:sz w:val="18"/>
              </w:rPr>
            </w:r>
            <w:r>
              <w:rPr>
                <w:sz w:val="18"/>
              </w:rPr>
              <w:t>CLO 1</w:t>
            </w:r>
          </w:p>
        </w:tc>
        <w:tc>
          <w:tcPr>
            <w:tcW w:type="dxa" w:w="5014"/>
          </w:tcPr>
          <w:p>
            <w:pPr/>
            <w:r>
              <w:rPr>
                <w:sz w:val="18"/>
              </w:rPr>
            </w:r>
            <w:r>
              <w:rPr>
                <w:sz w:val="18"/>
              </w:rPr>
              <w:t>Define accessibility beyond physical barriers, including attitudinal, systemic, communication, digital, and policy dimensions</w:t>
            </w:r>
          </w:p>
        </w:tc>
      </w:tr>
      <w:tr>
        <w:tc>
          <w:tcPr>
            <w:tcW w:type="dxa" w:w="5014"/>
          </w:tcPr>
          <w:p>
            <w:pPr/>
            <w:r>
              <w:rPr>
                <w:sz w:val="18"/>
              </w:rPr>
            </w:r>
            <w:r>
              <w:rPr>
                <w:sz w:val="18"/>
              </w:rPr>
              <w:t>CLO 2</w:t>
            </w:r>
          </w:p>
        </w:tc>
        <w:tc>
          <w:tcPr>
            <w:tcW w:type="dxa" w:w="5014"/>
          </w:tcPr>
          <w:p>
            <w:pPr/>
            <w:r>
              <w:rPr>
                <w:sz w:val="18"/>
              </w:rPr>
            </w:r>
            <w:r>
              <w:rPr>
                <w:sz w:val="18"/>
              </w:rPr>
              <w:t>Explain the foundational roles of the Accessibility for Ontarians with Disabilities Act (AODA) and the Ontario Human Rights Code (OHRC) in healthcare settings</w:t>
            </w:r>
          </w:p>
        </w:tc>
      </w:tr>
      <w:tr>
        <w:tc>
          <w:tcPr>
            <w:tcW w:type="dxa" w:w="5014"/>
          </w:tcPr>
          <w:p>
            <w:pPr/>
            <w:r>
              <w:rPr>
                <w:sz w:val="18"/>
              </w:rPr>
            </w:r>
            <w:r>
              <w:rPr>
                <w:sz w:val="18"/>
              </w:rPr>
              <w:t>CLO 3</w:t>
            </w:r>
          </w:p>
        </w:tc>
        <w:tc>
          <w:tcPr>
            <w:tcW w:type="dxa" w:w="5014"/>
          </w:tcPr>
          <w:p>
            <w:pPr/>
            <w:r>
              <w:rPr>
                <w:sz w:val="18"/>
              </w:rPr>
            </w:r>
            <w:r>
              <w:rPr>
                <w:sz w:val="18"/>
              </w:rPr>
              <w:t>Analyze how intersectionality -- including disability combined with race, gender, age, income, and language -- shapes patient and staff experiences</w:t>
            </w:r>
          </w:p>
        </w:tc>
      </w:tr>
      <w:tr>
        <w:tc>
          <w:tcPr>
            <w:tcW w:type="dxa" w:w="5014"/>
          </w:tcPr>
          <w:p>
            <w:pPr/>
            <w:r>
              <w:rPr>
                <w:sz w:val="18"/>
              </w:rPr>
            </w:r>
            <w:r>
              <w:rPr>
                <w:sz w:val="18"/>
              </w:rPr>
              <w:t>CLO 4</w:t>
            </w:r>
          </w:p>
        </w:tc>
        <w:tc>
          <w:tcPr>
            <w:tcW w:type="dxa" w:w="5014"/>
          </w:tcPr>
          <w:p>
            <w:pPr/>
            <w:r>
              <w:rPr>
                <w:sz w:val="18"/>
              </w:rPr>
            </w:r>
            <w:r>
              <w:rPr>
                <w:sz w:val="18"/>
              </w:rPr>
              <w:t>Differentiate reactive accommodation from proactive inclusive design</w:t>
            </w:r>
          </w:p>
        </w:tc>
      </w:tr>
      <w:tr>
        <w:tc>
          <w:tcPr>
            <w:tcW w:type="dxa" w:w="5014"/>
          </w:tcPr>
          <w:p>
            <w:pPr/>
            <w:r>
              <w:rPr>
                <w:sz w:val="18"/>
              </w:rPr>
            </w:r>
            <w:r>
              <w:rPr>
                <w:sz w:val="18"/>
              </w:rPr>
              <w:t>CLO 5</w:t>
            </w:r>
          </w:p>
        </w:tc>
        <w:tc>
          <w:tcPr>
            <w:tcW w:type="dxa" w:w="5014"/>
          </w:tcPr>
          <w:p>
            <w:pPr/>
            <w:r>
              <w:rPr>
                <w:sz w:val="18"/>
              </w:rPr>
            </w:r>
            <w:r>
              <w:rPr>
                <w:sz w:val="18"/>
              </w:rPr>
              <w:t>Identify personal and team-level actions that contribute to shared organizational responsibility for accessibility</w:t>
            </w:r>
          </w:p>
        </w:tc>
      </w:tr>
    </w:tbl>
    <w:p>
      <w:pPr>
        <w:spacing w:before="120" w:after="120"/>
      </w:pPr>
      <w:r>
        <w:rPr>
          <w:color w:val="CCCCCC"/>
          <w:sz w:val="16"/>
        </w:rPr>
        <w:t>──────────────────────────────────────────────────</w:t>
      </w:r>
    </w:p>
    <w:p>
      <w:pPr>
        <w:pStyle w:val="Heading2"/>
      </w:pPr>
      <w:r>
        <w:t>Multiple Choice Items (MC-01 through MC-04)</w:t>
      </w:r>
    </w:p>
    <w:p>
      <w:pPr>
        <w:pStyle w:val="Heading3"/>
      </w:pPr>
      <w:r>
        <w:t>MC-01</w:t>
      </w:r>
    </w:p>
    <w:p>
      <w:r/>
      <w:r>
        <w:rPr>
          <w:b/>
        </w:rPr>
        <w:t>Linked CLO:</w:t>
      </w:r>
      <w:r>
        <w:t xml:space="preserve"> CLO 1</w:t>
      </w:r>
    </w:p>
    <w:p>
      <w:r/>
      <w:r>
        <w:rPr>
          <w:b/>
        </w:rPr>
        <w:t>Bloom's Level:</w:t>
      </w:r>
      <w:r>
        <w:t xml:space="preserve"> Understanding (Level 2)</w:t>
      </w:r>
    </w:p>
    <w:p>
      <w:r/>
      <w:r>
        <w:rPr>
          <w:b/>
        </w:rPr>
        <w:t>Item Type:</w:t>
      </w:r>
      <w:r>
        <w:t xml:space="preserve"> Multiple Choice -- Single Select</w:t>
      </w:r>
    </w:p>
    <w:p>
      <w:r/>
      <w:r>
        <w:rPr>
          <w:b/>
        </w:rPr>
        <w:t>Stem:</w:t>
      </w:r>
      <w:r>
        <w:t xml:space="preserve"> A patient who uses a power wheelchair arrives at a UHN outpatient clinic and can enter the building independently using the automatic doors. However, the clinic's patient intake forms are only available on paper at a high counter, and the receptionist speaks rapidly without checking comprehension. Which statement best describes the barriers this patient is experiencing?</w:t>
      </w:r>
    </w:p>
    <w:p>
      <w:r>
        <w:t>A) The patient is experiencing physical barriers because the counter is too high.</w:t>
      </w:r>
    </w:p>
    <w:p>
      <w:r>
        <w:t>B) The patient is experiencing communication and systemic barriers, even though the physical environment is partially accessible.</w:t>
      </w:r>
    </w:p>
    <w:p>
      <w:r>
        <w:t>C) The patient is not experiencing any barriers because they were able to enter the building.</w:t>
      </w:r>
    </w:p>
    <w:p>
      <w:r>
        <w:t>D) The patient is experiencing attitudinal barriers caused by the receptionist's personal bias against people with disabilities.</w:t>
      </w:r>
    </w:p>
    <w:p>
      <w:r/>
      <w:r>
        <w:rPr>
          <w:b/>
        </w:rPr>
        <w:t>Correct Answer:</w:t>
      </w:r>
      <w:r>
        <w:t xml:space="preserve"> B</w:t>
      </w:r>
    </w:p>
    <w:p>
      <w:r/>
      <w:r>
        <w:rPr>
          <w:b/>
        </w:rPr>
        <w:t>Feedback -- Correct:</w:t>
      </w:r>
      <w:r>
        <w:t xml:space="preserve"> Correct. Accessibility extends beyond physical access. This patient encounters communication barriers (rapid speech without comprehension checks, paper-only forms at an inaccessible height) and systemic barriers (intake processes that were not designed with diverse needs in mind). Recognizing these multiple dimensions is essential for truly inclusive healthcare.</w:t>
      </w:r>
    </w:p>
    <w:p>
      <w:r/>
      <w:r>
        <w:rPr>
          <w:b/>
        </w:rPr>
        <w:t>Feedback -- Incorrect:</w:t>
      </w:r>
      <w:r>
        <w:t xml:space="preserve"> Not quite. While the high counter is a physical element, the broader picture includes how information is communicated and how organizational systems were designed. Accessibility involves physical, attitudinal, systemic, communication, digital, and policy dimensions. Re-read the scenario and consider which processes and interactions create barriers beyond the built environment.</w:t>
      </w:r>
    </w:p>
    <w:p>
      <w:pPr>
        <w:spacing w:before="120" w:after="120"/>
      </w:pPr>
      <w:r>
        <w:rPr>
          <w:color w:val="CCCCCC"/>
          <w:sz w:val="16"/>
        </w:rPr>
        <w:t>──────────────────────────────────────────────────</w:t>
      </w:r>
    </w:p>
    <w:p>
      <w:pPr>
        <w:pStyle w:val="Heading3"/>
      </w:pPr>
      <w:r>
        <w:t>MC-02</w:t>
      </w:r>
    </w:p>
    <w:p>
      <w:r/>
      <w:r>
        <w:rPr>
          <w:b/>
        </w:rPr>
        <w:t>Linked CLO:</w:t>
      </w:r>
      <w:r>
        <w:t xml:space="preserve"> CLO 2</w:t>
      </w:r>
    </w:p>
    <w:p>
      <w:r/>
      <w:r>
        <w:rPr>
          <w:b/>
        </w:rPr>
        <w:t>Bloom's Level:</w:t>
      </w:r>
      <w:r>
        <w:t xml:space="preserve"> Knowledge (Level 1)</w:t>
      </w:r>
    </w:p>
    <w:p>
      <w:r/>
      <w:r>
        <w:rPr>
          <w:b/>
        </w:rPr>
        <w:t>Item Type:</w:t>
      </w:r>
      <w:r>
        <w:t xml:space="preserve"> Multiple Choice -- Single Select</w:t>
      </w:r>
    </w:p>
    <w:p>
      <w:r/>
      <w:r>
        <w:rPr>
          <w:b/>
        </w:rPr>
        <w:t>Stem:</w:t>
      </w:r>
      <w:r>
        <w:t xml:space="preserve"> Under the Accessibility for Ontarians with Disabilities Act (AODA), which of the following is a requirement that applies to UHN as a public-sector healthcare organization?</w:t>
      </w:r>
    </w:p>
    <w:p>
      <w:r>
        <w:t>A) Provide accessibility training only to front-line clinical staff who interact with patients directly.</w:t>
      </w:r>
    </w:p>
    <w:p>
      <w:r>
        <w:t>B) Ensure that all employees and volunteers receive training on the Integrated Accessibility Standards Regulation (IASR) and the Ontario Human Rights Code as it pertains to people with disabilities.</w:t>
      </w:r>
    </w:p>
    <w:p>
      <w:r>
        <w:t>C) Comply with accessibility standards only when a patient files a formal complaint.</w:t>
      </w:r>
    </w:p>
    <w:p>
      <w:r>
        <w:t>D) Meet accessibility standards for new construction but not for existing facilities or digital services.</w:t>
      </w:r>
    </w:p>
    <w:p>
      <w:r/>
      <w:r>
        <w:rPr>
          <w:b/>
        </w:rPr>
        <w:t>Correct Answer:</w:t>
      </w:r>
      <w:r>
        <w:t xml:space="preserve"> B</w:t>
      </w:r>
    </w:p>
    <w:p>
      <w:r/>
      <w:r>
        <w:rPr>
          <w:b/>
        </w:rPr>
        <w:t>Feedback -- Correct:</w:t>
      </w:r>
      <w:r>
        <w:t xml:space="preserve"> Correct. The AODA and its Integrated Accessibility Standards Regulation (IASR) require that all employees, volunteers, and anyone who provides goods, services, or facilities on behalf of the organization receive training on accessibility standards and on the Human Rights Code as it relates to people with disabilities (O. Reg. 191/11, s. 7). This applies to all staff, not only those in patient-facing roles.</w:t>
      </w:r>
    </w:p>
    <w:p>
      <w:r/>
      <w:r>
        <w:rPr>
          <w:b/>
        </w:rPr>
        <w:t>Feedback -- Incorrect:</w:t>
      </w:r>
      <w:r>
        <w:t xml:space="preserve"> The AODA requires comprehensive accessibility training for all employees and volunteers, not only front-line staff. Compliance is proactive and ongoing, not complaint-driven, and extends to digital services and existing processes -- not just new construction. Review the IASR training requirements under O. Reg. 191/11, section 7.</w:t>
      </w:r>
    </w:p>
    <w:p>
      <w:pPr>
        <w:spacing w:before="120" w:after="120"/>
      </w:pPr>
      <w:r>
        <w:rPr>
          <w:color w:val="CCCCCC"/>
          <w:sz w:val="16"/>
        </w:rPr>
        <w:t>──────────────────────────────────────────────────</w:t>
      </w:r>
    </w:p>
    <w:p>
      <w:pPr>
        <w:pStyle w:val="Heading3"/>
      </w:pPr>
      <w:r>
        <w:t>MC-03</w:t>
      </w:r>
    </w:p>
    <w:p>
      <w:r/>
      <w:r>
        <w:rPr>
          <w:b/>
        </w:rPr>
        <w:t>Linked CLO:</w:t>
      </w:r>
      <w:r>
        <w:t xml:space="preserve"> CLO 4</w:t>
      </w:r>
    </w:p>
    <w:p>
      <w:r/>
      <w:r>
        <w:rPr>
          <w:b/>
        </w:rPr>
        <w:t>Bloom's Level:</w:t>
      </w:r>
      <w:r>
        <w:t xml:space="preserve"> Analysis (Level 4)</w:t>
      </w:r>
    </w:p>
    <w:p>
      <w:r/>
      <w:r>
        <w:rPr>
          <w:b/>
        </w:rPr>
        <w:t>Item Type:</w:t>
      </w:r>
      <w:r>
        <w:t xml:space="preserve"> Multiple Choice -- Single Select</w:t>
      </w:r>
    </w:p>
    <w:p>
      <w:r/>
      <w:r>
        <w:rPr>
          <w:b/>
        </w:rPr>
        <w:t>Stem:</w:t>
      </w:r>
      <w:r>
        <w:t xml:space="preserve"> A UHN department receives a request from a Deaf patient for a sign language interpreter for an upcoming appointment. The department arranges an interpreter within 48 hours. Which of the following best characterizes this response?</w:t>
      </w:r>
    </w:p>
    <w:p>
      <w:r>
        <w:t>A) Proactive inclusive design, because the department responded promptly.</w:t>
      </w:r>
    </w:p>
    <w:p>
      <w:r>
        <w:t>B) Reactive accommodation, because the service was arranged only after a specific request was made.</w:t>
      </w:r>
    </w:p>
    <w:p>
      <w:r>
        <w:t>C) Universal design, because the interpreter service is available to all patients.</w:t>
      </w:r>
    </w:p>
    <w:p>
      <w:r>
        <w:t>D) Systemic inclusion, because the department has a process for handling such requests.</w:t>
      </w:r>
    </w:p>
    <w:p>
      <w:r/>
      <w:r>
        <w:rPr>
          <w:b/>
        </w:rPr>
        <w:t>Correct Answer:</w:t>
      </w:r>
      <w:r>
        <w:t xml:space="preserve"> B</w:t>
      </w:r>
    </w:p>
    <w:p>
      <w:r/>
      <w:r>
        <w:rPr>
          <w:b/>
        </w:rPr>
        <w:t>Feedback -- Correct:</w:t>
      </w:r>
      <w:r>
        <w:t xml:space="preserve"> Correct. While the department responded appropriately, this is reactive accommodation -- a response triggered by an individual request. Proactive inclusive design would involve embedding interpreter availability, multilingual signage, and communication options into the standard appointment process so that patients do not need to disclose a disability and advocate for support each time they seek care.</w:t>
      </w:r>
    </w:p>
    <w:p>
      <w:r/>
      <w:r>
        <w:rPr>
          <w:b/>
        </w:rPr>
        <w:t>Feedback -- Incorrect:</w:t>
      </w:r>
      <w:r>
        <w:t xml:space="preserve"> A prompt response is important, but responding only after a patient requests an accommodation is reactive by definition. Proactive design would build interpretation services, visual communication tools, and multiple format options into the default service delivery model. Consider what the appointment experience would look like if no request were needed at all.</w:t>
      </w:r>
    </w:p>
    <w:p>
      <w:pPr>
        <w:spacing w:before="120" w:after="120"/>
      </w:pPr>
      <w:r>
        <w:rPr>
          <w:color w:val="CCCCCC"/>
          <w:sz w:val="16"/>
        </w:rPr>
        <w:t>──────────────────────────────────────────────────</w:t>
      </w:r>
    </w:p>
    <w:p>
      <w:pPr>
        <w:pStyle w:val="Heading3"/>
      </w:pPr>
      <w:r>
        <w:t>MC-04</w:t>
      </w:r>
    </w:p>
    <w:p>
      <w:r/>
      <w:r>
        <w:rPr>
          <w:b/>
        </w:rPr>
        <w:t>Linked CLO:</w:t>
      </w:r>
      <w:r>
        <w:t xml:space="preserve"> CLO 5</w:t>
      </w:r>
    </w:p>
    <w:p>
      <w:r/>
      <w:r>
        <w:rPr>
          <w:b/>
        </w:rPr>
        <w:t>Bloom's Level:</w:t>
      </w:r>
      <w:r>
        <w:t xml:space="preserve"> Application (Level 3)</w:t>
      </w:r>
    </w:p>
    <w:p>
      <w:r/>
      <w:r>
        <w:rPr>
          <w:b/>
        </w:rPr>
        <w:t>Item Type:</w:t>
      </w:r>
      <w:r>
        <w:t xml:space="preserve"> Multiple Choice -- Single Select</w:t>
      </w:r>
    </w:p>
    <w:p>
      <w:r/>
      <w:r>
        <w:rPr>
          <w:b/>
        </w:rPr>
        <w:t>Stem:</w:t>
      </w:r>
      <w:r>
        <w:t xml:space="preserve"> During a team huddle on a medical-surgical unit at UHN, a nurse mentions that a patient with a cognitive disability seems confused by the whiteboard schedule in their room. A colleague responds, "That is not really our responsibility -- the accessibility office handles that." Which response from the charge nurse best reflects shared organizational responsibility?</w:t>
      </w:r>
    </w:p>
    <w:p>
      <w:r>
        <w:t>A) "You are right. Submit a request to the accessibility office and they will follow up."</w:t>
      </w:r>
    </w:p>
    <w:p>
      <w:r>
        <w:t>B) "Let us flag it for now and revisit at the next quarterly accessibility audit."</w:t>
      </w:r>
    </w:p>
    <w:p>
      <w:r>
        <w:t>C) "Actually, accessibility is all of our responsibility. Let us think about what we can do right now to help this patient understand their schedule, and also flag the whiteboard design for broader review."</w:t>
      </w:r>
    </w:p>
    <w:p>
      <w:r>
        <w:t>D) "We should wait for the patient's family to arrive and explain the schedule to them."</w:t>
      </w:r>
    </w:p>
    <w:p>
      <w:r/>
      <w:r>
        <w:rPr>
          <w:b/>
        </w:rPr>
        <w:t>Correct Answer:</w:t>
      </w:r>
      <w:r>
        <w:t xml:space="preserve"> C</w:t>
      </w:r>
    </w:p>
    <w:p>
      <w:r/>
      <w:r>
        <w:rPr>
          <w:b/>
        </w:rPr>
        <w:t>Feedback -- Correct:</w:t>
      </w:r>
      <w:r>
        <w:t xml:space="preserve"> Correct. Shared organizational responsibility means that every team member, regardless of role, has a part to play in identifying and reducing barriers. The charge nurse's response addresses the immediate patient need while also initiating a systemic improvement -- both hallmarks of an accessibility-first culture.</w:t>
      </w:r>
    </w:p>
    <w:p>
      <w:r/>
      <w:r>
        <w:rPr>
          <w:b/>
        </w:rPr>
        <w:t>Feedback -- Incorrect:</w:t>
      </w:r>
      <w:r>
        <w:t xml:space="preserve"> Accessibility is a shared responsibility across all roles and levels, not solely the domain of a specialized office. Waiting for audits or family members delays resolution and places the burden on the patient. Effective accessibility practice involves both immediate action and systemic follow-up. Review the concept of shared organizational responsibility in the guiding principles.</w:t>
      </w:r>
    </w:p>
    <w:p>
      <w:pPr>
        <w:spacing w:before="120" w:after="120"/>
      </w:pPr>
      <w:r>
        <w:rPr>
          <w:color w:val="CCCCCC"/>
          <w:sz w:val="16"/>
        </w:rPr>
        <w:t>──────────────────────────────────────────────────</w:t>
      </w:r>
    </w:p>
    <w:p>
      <w:pPr>
        <w:pStyle w:val="Heading2"/>
      </w:pPr>
      <w:r>
        <w:t>Multiple Select Items (MS-01 and MS-02)</w:t>
      </w:r>
    </w:p>
    <w:p>
      <w:pPr>
        <w:pStyle w:val="Heading3"/>
      </w:pPr>
      <w:r>
        <w:t>MS-01</w:t>
      </w:r>
    </w:p>
    <w:p>
      <w:r/>
      <w:r>
        <w:rPr>
          <w:b/>
        </w:rPr>
        <w:t>Linked CLO:</w:t>
      </w:r>
      <w:r>
        <w:t xml:space="preserve"> CLO 1</w:t>
      </w:r>
    </w:p>
    <w:p>
      <w:r/>
      <w:r>
        <w:rPr>
          <w:b/>
        </w:rPr>
        <w:t>Bloom's Level:</w:t>
      </w:r>
      <w:r>
        <w:t xml:space="preserve"> Understanding (Level 2)</w:t>
      </w:r>
    </w:p>
    <w:p>
      <w:r/>
      <w:r>
        <w:rPr>
          <w:b/>
        </w:rPr>
        <w:t>Item Type:</w:t>
      </w:r>
      <w:r>
        <w:t xml:space="preserve"> Multiple Select (select all that apply)</w:t>
      </w:r>
    </w:p>
    <w:p>
      <w:r/>
      <w:r>
        <w:rPr>
          <w:b/>
        </w:rPr>
        <w:t>Stem:</w:t>
      </w:r>
      <w:r>
        <w:t xml:space="preserve"> Which of the following are recognized dimensions of accessibility barriers in healthcare? Select ALL that apply.</w:t>
      </w:r>
    </w:p>
    <w:p>
      <w:r>
        <w:t>A) Physical barriers (e.g., stairs, narrow doorways, inaccessible examination tables)</w:t>
      </w:r>
    </w:p>
    <w:p>
      <w:r>
        <w:t>B) Attitudinal barriers (e.g., assumptions about a patient's capacity based on their disability)</w:t>
      </w:r>
    </w:p>
    <w:p>
      <w:r>
        <w:t>C) Financial barriers experienced only by uninsured patients</w:t>
      </w:r>
    </w:p>
    <w:p>
      <w:r>
        <w:t>D) Communication barriers (e.g., lack of plain language materials, no sign language interpretation)</w:t>
      </w:r>
    </w:p>
    <w:p>
      <w:r>
        <w:t>E) Digital barriers (e.g., inaccessible patient portals, websites that do not work with screen readers)</w:t>
      </w:r>
    </w:p>
    <w:p>
      <w:r>
        <w:t>F) Policy barriers (e.g., intake procedures that require handwritten signatures only)</w:t>
      </w:r>
    </w:p>
    <w:p>
      <w:r/>
      <w:r>
        <w:rPr>
          <w:b/>
        </w:rPr>
        <w:t>Correct Answers:</w:t>
      </w:r>
      <w:r>
        <w:t xml:space="preserve"> A, B, D, E, F</w:t>
      </w:r>
    </w:p>
    <w:p>
      <w:r/>
      <w:r>
        <w:rPr>
          <w:b/>
        </w:rPr>
        <w:t>Feedback -- Correct:</w:t>
      </w:r>
      <w:r>
        <w:t xml:space="preserve"> Correct. Accessibility barriers span physical, attitudinal, communication, digital, and policy dimensions. While financial barriers are real, option C narrowly frames them as affecting only uninsured patients, which is inaccurate -- financial barriers can affect anyone. The five dimensions listed in the correct answers reflect the comprehensive understanding of accessibility emphasized in this guide.</w:t>
      </w:r>
    </w:p>
    <w:p>
      <w:r/>
      <w:r>
        <w:rPr>
          <w:b/>
        </w:rPr>
        <w:t>Feedback -- Incorrect:</w:t>
      </w:r>
      <w:r>
        <w:t xml:space="preserve"> Review the five dimensions of accessibility barriers covered in this guide: physical, attitudinal, communication, digital, and policy. Option C is too narrow in its framing. Each of the other options represents a recognized category of barrier that healthcare organizations must address.</w:t>
      </w:r>
    </w:p>
    <w:p>
      <w:pPr>
        <w:spacing w:before="120" w:after="120"/>
      </w:pPr>
      <w:r>
        <w:rPr>
          <w:color w:val="CCCCCC"/>
          <w:sz w:val="16"/>
        </w:rPr>
        <w:t>──────────────────────────────────────────────────</w:t>
      </w:r>
    </w:p>
    <w:p>
      <w:pPr>
        <w:pStyle w:val="Heading3"/>
      </w:pPr>
      <w:r>
        <w:t>MS-02</w:t>
      </w:r>
    </w:p>
    <w:p>
      <w:r/>
      <w:r>
        <w:rPr>
          <w:b/>
        </w:rPr>
        <w:t>Linked CLO:</w:t>
      </w:r>
      <w:r>
        <w:t xml:space="preserve"> CLO 3</w:t>
      </w:r>
    </w:p>
    <w:p>
      <w:r/>
      <w:r>
        <w:rPr>
          <w:b/>
        </w:rPr>
        <w:t>Bloom's Level:</w:t>
      </w:r>
      <w:r>
        <w:t xml:space="preserve"> Analysis (Level 4)</w:t>
      </w:r>
    </w:p>
    <w:p>
      <w:r/>
      <w:r>
        <w:rPr>
          <w:b/>
        </w:rPr>
        <w:t>Item Type:</w:t>
      </w:r>
      <w:r>
        <w:t xml:space="preserve"> Multiple Select (select all that apply)</w:t>
      </w:r>
    </w:p>
    <w:p>
      <w:r/>
      <w:r>
        <w:rPr>
          <w:b/>
        </w:rPr>
        <w:t>Stem:</w:t>
      </w:r>
      <w:r>
        <w:t xml:space="preserve"> A 72-year-old Cantonese-speaking woman with low vision is navigating a UHN hospital to attend a diagnostic imaging appointment. Which of the following factors illustrate how intersectionality can compound barriers to access? Select ALL that apply.</w:t>
      </w:r>
    </w:p>
    <w:p>
      <w:r>
        <w:t>A) Wayfinding signage is in English and French only, with small font sizes.</w:t>
      </w:r>
    </w:p>
    <w:p>
      <w:r>
        <w:t>B) The patient portal sends appointment reminders only by email, in English.</w:t>
      </w:r>
    </w:p>
    <w:p>
      <w:r>
        <w:t>C) The diagnostic imaging department is located on the ground floor with step-free access.</w:t>
      </w:r>
    </w:p>
    <w:p>
      <w:r>
        <w:t>D) Staff assume the patient's adult child should make decisions on her behalf.</w:t>
      </w:r>
    </w:p>
    <w:p>
      <w:r>
        <w:t>E) The patient's Ontario Health Insurance Plan (OHIP) covers the imaging procedure.</w:t>
      </w:r>
    </w:p>
    <w:p>
      <w:r/>
      <w:r>
        <w:rPr>
          <w:b/>
        </w:rPr>
        <w:t>Correct Answers:</w:t>
      </w:r>
      <w:r>
        <w:t xml:space="preserve"> A, B, D</w:t>
      </w:r>
    </w:p>
    <w:p>
      <w:r/>
      <w:r>
        <w:rPr>
          <w:b/>
        </w:rPr>
        <w:t>Feedback -- Correct:</w:t>
      </w:r>
      <w:r>
        <w:t xml:space="preserve"> Correct. Intersectionality means that this patient's experience is shaped by the interaction of multiple identity factors -- age, language, disability, and cultural background. Signage that is not multilingual or in large print (A), digital-only English communications (B), and ageist assumptions that remove her agency (D) all illustrate compounding barriers. Step-free access (C) and OHIP coverage (E) are facilitators, not barriers.</w:t>
      </w:r>
    </w:p>
    <w:p>
      <w:r/>
      <w:r>
        <w:rPr>
          <w:b/>
        </w:rPr>
        <w:t>Feedback -- Incorrect:</w:t>
      </w:r>
      <w:r>
        <w:t xml:space="preserve"> Consider how multiple aspects of this patient's identity -- age, language, disability status, and cultural background -- interact to create compounding barriers. Options C and E describe positive facilitators rather than barriers. Review the intersectionality framework (Crenshaw, 1989) and how it applies to healthcare access.</w:t>
      </w:r>
    </w:p>
    <w:p>
      <w:pPr>
        <w:spacing w:before="120" w:after="120"/>
      </w:pPr>
      <w:r>
        <w:rPr>
          <w:color w:val="CCCCCC"/>
          <w:sz w:val="16"/>
        </w:rPr>
        <w:t>──────────────────────────────────────────────────</w:t>
      </w:r>
    </w:p>
    <w:p>
      <w:pPr>
        <w:pStyle w:val="Heading2"/>
      </w:pPr>
      <w:r>
        <w:t>Scenario-Based Items (SB-01 and SB-02)</w:t>
      </w:r>
    </w:p>
    <w:p>
      <w:pPr>
        <w:pStyle w:val="Heading3"/>
      </w:pPr>
      <w:r>
        <w:t>SB-01</w:t>
      </w:r>
    </w:p>
    <w:p>
      <w:r/>
      <w:r>
        <w:rPr>
          <w:b/>
        </w:rPr>
        <w:t>Linked CLO:</w:t>
      </w:r>
      <w:r>
        <w:t xml:space="preserve"> CLO 4</w:t>
      </w:r>
    </w:p>
    <w:p>
      <w:r/>
      <w:r>
        <w:rPr>
          <w:b/>
        </w:rPr>
        <w:t>Bloom's Level:</w:t>
      </w:r>
      <w:r>
        <w:t xml:space="preserve"> Evaluation (Level 5)</w:t>
      </w:r>
    </w:p>
    <w:p>
      <w:r/>
      <w:r>
        <w:rPr>
          <w:b/>
        </w:rPr>
        <w:t>Item Type:</w:t>
      </w:r>
      <w:r>
        <w:t xml:space="preserve"> Scenario-Based (constructed response with rubric)</w:t>
      </w:r>
    </w:p>
    <w:p>
      <w:r/>
      <w:r>
        <w:rPr>
          <w:b/>
        </w:rPr>
        <w:t>Scenario:</w:t>
      </w:r>
      <w:r>
        <w:t xml:space="preserve"> You are a program coordinator at a UHN ambulatory care clinic. Your clinic recently transitioned to a fully digital check-in system using touchscreen kiosks. Since implementation, several patients -- including an older adult with essential tremor, a patient with low vision, and a newcomer to Canada with limited English proficiency -- have reported difficulty using the kiosks. The clinic manager states, "We meet AODA compliance because the kiosk vendor certified the product as accessible."</w:t>
      </w:r>
    </w:p>
    <w:p>
      <w:r/>
      <w:r>
        <w:rPr>
          <w:b/>
        </w:rPr>
        <w:t>Prompt:</w:t>
      </w:r>
      <w:r>
        <w:t xml:space="preserve"> In 200-300 words, evaluate the clinic manager's statement. In your response: (a) explain why vendor certification alone may not ensure accessibility in practice, (b) identify at least two specific barriers the kiosk system creates for the patients described, and (c) recommend two changes that would shift the clinic from reactive accommodation to proactive inclusive design.</w:t>
      </w:r>
    </w:p>
    <w:p>
      <w:r/>
      <w:r>
        <w:rPr>
          <w:b/>
        </w:rPr>
        <w:t>Rubric:</w:t>
      </w:r>
      <w:r/>
    </w:p>
    <w:tbl>
      <w:tblPr>
        <w:tblStyle w:val="TableGrid"/>
        <w:tblW w:type="auto" w:w="0"/>
        <w:jc w:val="center"/>
        <w:tblLayout w:type="autofit"/>
        <w:tblLook w:firstColumn="1" w:firstRow="1" w:lastColumn="0" w:lastRow="0" w:noHBand="0" w:noVBand="1" w:val="04A0"/>
      </w:tblPr>
      <w:tblGrid>
        <w:gridCol w:w="2006"/>
        <w:gridCol w:w="2006"/>
        <w:gridCol w:w="2006"/>
        <w:gridCol w:w="2006"/>
        <w:gridCol w:w="2006"/>
      </w:tblGrid>
      <w:tr>
        <w:tc>
          <w:tcPr>
            <w:tcW w:type="dxa" w:w="2006"/>
            <w:shd w:fill="192858" w:val="clear"/>
          </w:tcPr>
          <w:p>
            <w:pPr/>
            <w:r>
              <w:rPr>
                <w:b/>
                <w:color w:val="FFFFFF"/>
                <w:sz w:val="18"/>
              </w:rPr>
            </w:r>
            <w:r>
              <w:rPr>
                <w:b/>
                <w:color w:val="FFFFFF"/>
                <w:sz w:val="18"/>
              </w:rPr>
              <w:t>Criterion</w:t>
            </w:r>
          </w:p>
        </w:tc>
        <w:tc>
          <w:tcPr>
            <w:tcW w:type="dxa" w:w="2006"/>
            <w:shd w:fill="192858" w:val="clear"/>
          </w:tcPr>
          <w:p>
            <w:pPr/>
            <w:r>
              <w:rPr>
                <w:b/>
                <w:color w:val="FFFFFF"/>
                <w:sz w:val="18"/>
              </w:rPr>
            </w:r>
            <w:r>
              <w:rPr>
                <w:b/>
                <w:color w:val="FFFFFF"/>
                <w:sz w:val="18"/>
              </w:rPr>
              <w:t>Exemplary (3)</w:t>
            </w:r>
          </w:p>
        </w:tc>
        <w:tc>
          <w:tcPr>
            <w:tcW w:type="dxa" w:w="2006"/>
            <w:shd w:fill="192858" w:val="clear"/>
          </w:tcPr>
          <w:p>
            <w:pPr/>
            <w:r>
              <w:rPr>
                <w:b/>
                <w:color w:val="FFFFFF"/>
                <w:sz w:val="18"/>
              </w:rPr>
            </w:r>
            <w:r>
              <w:rPr>
                <w:b/>
                <w:color w:val="FFFFFF"/>
                <w:sz w:val="18"/>
              </w:rPr>
              <w:t>Proficient (2)</w:t>
            </w:r>
          </w:p>
        </w:tc>
        <w:tc>
          <w:tcPr>
            <w:tcW w:type="dxa" w:w="2006"/>
            <w:shd w:fill="192858" w:val="clear"/>
          </w:tcPr>
          <w:p>
            <w:pPr/>
            <w:r>
              <w:rPr>
                <w:b/>
                <w:color w:val="FFFFFF"/>
                <w:sz w:val="18"/>
              </w:rPr>
            </w:r>
            <w:r>
              <w:rPr>
                <w:b/>
                <w:color w:val="FFFFFF"/>
                <w:sz w:val="18"/>
              </w:rPr>
              <w:t>Developing (1)</w:t>
            </w:r>
          </w:p>
        </w:tc>
        <w:tc>
          <w:tcPr>
            <w:tcW w:type="dxa" w:w="2006"/>
            <w:shd w:fill="192858" w:val="clear"/>
          </w:tcPr>
          <w:p>
            <w:pPr/>
            <w:r>
              <w:rPr>
                <w:b/>
                <w:color w:val="FFFFFF"/>
                <w:sz w:val="18"/>
              </w:rPr>
            </w:r>
            <w:r>
              <w:rPr>
                <w:b/>
                <w:color w:val="FFFFFF"/>
                <w:sz w:val="18"/>
              </w:rPr>
              <w:t>Insufficient (0)</w:t>
            </w:r>
          </w:p>
        </w:tc>
      </w:tr>
      <w:tr>
        <w:tc>
          <w:tcPr>
            <w:tcW w:type="dxa" w:w="2006"/>
          </w:tcPr>
          <w:p>
            <w:pPr/>
            <w:r>
              <w:rPr>
                <w:sz w:val="18"/>
              </w:rPr>
            </w:r>
            <w:r>
              <w:rPr>
                <w:sz w:val="18"/>
              </w:rPr>
              <w:t>Critical analysis of compliance vs. accessibility</w:t>
            </w:r>
          </w:p>
        </w:tc>
        <w:tc>
          <w:tcPr>
            <w:tcW w:type="dxa" w:w="2006"/>
          </w:tcPr>
          <w:p>
            <w:pPr/>
            <w:r>
              <w:rPr>
                <w:sz w:val="18"/>
              </w:rPr>
            </w:r>
            <w:r>
              <w:rPr>
                <w:sz w:val="18"/>
              </w:rPr>
              <w:t>Clearly distinguishes between technical compliance and real-world usability; identifies systemic assumptions embedded in the kiosk-only approach</w:t>
            </w:r>
          </w:p>
        </w:tc>
        <w:tc>
          <w:tcPr>
            <w:tcW w:type="dxa" w:w="2006"/>
          </w:tcPr>
          <w:p>
            <w:pPr/>
            <w:r>
              <w:rPr>
                <w:sz w:val="18"/>
              </w:rPr>
            </w:r>
            <w:r>
              <w:rPr>
                <w:sz w:val="18"/>
              </w:rPr>
              <w:t>Distinguishes compliance from usability but with limited depth</w:t>
            </w:r>
          </w:p>
        </w:tc>
        <w:tc>
          <w:tcPr>
            <w:tcW w:type="dxa" w:w="2006"/>
          </w:tcPr>
          <w:p>
            <w:pPr/>
            <w:r>
              <w:rPr>
                <w:sz w:val="18"/>
              </w:rPr>
            </w:r>
            <w:r>
              <w:rPr>
                <w:sz w:val="18"/>
              </w:rPr>
              <w:t>Mentions the distinction but does not develop the analysis</w:t>
            </w:r>
          </w:p>
        </w:tc>
        <w:tc>
          <w:tcPr>
            <w:tcW w:type="dxa" w:w="2006"/>
          </w:tcPr>
          <w:p>
            <w:pPr/>
            <w:r>
              <w:rPr>
                <w:sz w:val="18"/>
              </w:rPr>
            </w:r>
            <w:r>
              <w:rPr>
                <w:sz w:val="18"/>
              </w:rPr>
              <w:t>Does not address the distinction</w:t>
            </w:r>
          </w:p>
        </w:tc>
      </w:tr>
      <w:tr>
        <w:tc>
          <w:tcPr>
            <w:tcW w:type="dxa" w:w="2006"/>
          </w:tcPr>
          <w:p>
            <w:pPr/>
            <w:r>
              <w:rPr>
                <w:sz w:val="18"/>
              </w:rPr>
            </w:r>
            <w:r>
              <w:rPr>
                <w:sz w:val="18"/>
              </w:rPr>
              <w:t>Barrier identification</w:t>
            </w:r>
          </w:p>
        </w:tc>
        <w:tc>
          <w:tcPr>
            <w:tcW w:type="dxa" w:w="2006"/>
          </w:tcPr>
          <w:p>
            <w:pPr/>
            <w:r>
              <w:rPr>
                <w:sz w:val="18"/>
              </w:rPr>
            </w:r>
            <w:r>
              <w:rPr>
                <w:sz w:val="18"/>
              </w:rPr>
              <w:t>Identifies 2+ specific barriers with clear connections to the patients described</w:t>
            </w:r>
          </w:p>
        </w:tc>
        <w:tc>
          <w:tcPr>
            <w:tcW w:type="dxa" w:w="2006"/>
          </w:tcPr>
          <w:p>
            <w:pPr/>
            <w:r>
              <w:rPr>
                <w:sz w:val="18"/>
              </w:rPr>
            </w:r>
            <w:r>
              <w:rPr>
                <w:sz w:val="18"/>
              </w:rPr>
              <w:t>Identifies 2 barriers but connections to patients are vague</w:t>
            </w:r>
          </w:p>
        </w:tc>
        <w:tc>
          <w:tcPr>
            <w:tcW w:type="dxa" w:w="2006"/>
          </w:tcPr>
          <w:p>
            <w:pPr/>
            <w:r>
              <w:rPr>
                <w:sz w:val="18"/>
              </w:rPr>
            </w:r>
            <w:r>
              <w:rPr>
                <w:sz w:val="18"/>
              </w:rPr>
              <w:t>Identifies 1 barrier</w:t>
            </w:r>
          </w:p>
        </w:tc>
        <w:tc>
          <w:tcPr>
            <w:tcW w:type="dxa" w:w="2006"/>
          </w:tcPr>
          <w:p>
            <w:pPr/>
            <w:r>
              <w:rPr>
                <w:sz w:val="18"/>
              </w:rPr>
            </w:r>
            <w:r>
              <w:rPr>
                <w:sz w:val="18"/>
              </w:rPr>
              <w:t>Does not identify specific barriers</w:t>
            </w:r>
          </w:p>
        </w:tc>
      </w:tr>
      <w:tr>
        <w:tc>
          <w:tcPr>
            <w:tcW w:type="dxa" w:w="2006"/>
          </w:tcPr>
          <w:p>
            <w:pPr/>
            <w:r>
              <w:rPr>
                <w:sz w:val="18"/>
              </w:rPr>
            </w:r>
            <w:r>
              <w:rPr>
                <w:sz w:val="18"/>
              </w:rPr>
              <w:t>Proactive design recommendations</w:t>
            </w:r>
          </w:p>
        </w:tc>
        <w:tc>
          <w:tcPr>
            <w:tcW w:type="dxa" w:w="2006"/>
          </w:tcPr>
          <w:p>
            <w:pPr/>
            <w:r>
              <w:rPr>
                <w:sz w:val="18"/>
              </w:rPr>
            </w:r>
            <w:r>
              <w:rPr>
                <w:sz w:val="18"/>
              </w:rPr>
              <w:t>Recommends 2+ actionable changes that embed inclusion into default processes</w:t>
            </w:r>
          </w:p>
        </w:tc>
        <w:tc>
          <w:tcPr>
            <w:tcW w:type="dxa" w:w="2006"/>
          </w:tcPr>
          <w:p>
            <w:pPr/>
            <w:r>
              <w:rPr>
                <w:sz w:val="18"/>
              </w:rPr>
            </w:r>
            <w:r>
              <w:rPr>
                <w:sz w:val="18"/>
              </w:rPr>
              <w:t>Recommends 2 changes but they remain reactive in nature</w:t>
            </w:r>
          </w:p>
        </w:tc>
        <w:tc>
          <w:tcPr>
            <w:tcW w:type="dxa" w:w="2006"/>
          </w:tcPr>
          <w:p>
            <w:pPr/>
            <w:r>
              <w:rPr>
                <w:sz w:val="18"/>
              </w:rPr>
            </w:r>
            <w:r>
              <w:rPr>
                <w:sz w:val="18"/>
              </w:rPr>
              <w:t>Recommends 1 change</w:t>
            </w:r>
          </w:p>
        </w:tc>
        <w:tc>
          <w:tcPr>
            <w:tcW w:type="dxa" w:w="2006"/>
          </w:tcPr>
          <w:p>
            <w:pPr/>
            <w:r>
              <w:rPr>
                <w:sz w:val="18"/>
              </w:rPr>
            </w:r>
            <w:r>
              <w:rPr>
                <w:sz w:val="18"/>
              </w:rPr>
              <w:t>Does not provide recommendations</w:t>
            </w:r>
          </w:p>
        </w:tc>
      </w:tr>
      <w:tr>
        <w:tc>
          <w:tcPr>
            <w:tcW w:type="dxa" w:w="2006"/>
          </w:tcPr>
          <w:p>
            <w:pPr/>
            <w:r>
              <w:rPr>
                <w:sz w:val="18"/>
              </w:rPr>
            </w:r>
            <w:r>
              <w:rPr>
                <w:sz w:val="18"/>
              </w:rPr>
              <w:t>Use of course concepts</w:t>
            </w:r>
          </w:p>
        </w:tc>
        <w:tc>
          <w:tcPr>
            <w:tcW w:type="dxa" w:w="2006"/>
          </w:tcPr>
          <w:p>
            <w:pPr/>
            <w:r>
              <w:rPr>
                <w:sz w:val="18"/>
              </w:rPr>
            </w:r>
            <w:r>
              <w:rPr>
                <w:sz w:val="18"/>
              </w:rPr>
              <w:t>Integrates relevant concepts (e.g., reactive vs. proactive, dimensions of accessibility, AODA/OHRC principles) accurately</w:t>
            </w:r>
          </w:p>
        </w:tc>
        <w:tc>
          <w:tcPr>
            <w:tcW w:type="dxa" w:w="2006"/>
          </w:tcPr>
          <w:p>
            <w:pPr/>
            <w:r>
              <w:rPr>
                <w:sz w:val="18"/>
              </w:rPr>
            </w:r>
            <w:r>
              <w:rPr>
                <w:sz w:val="18"/>
              </w:rPr>
              <w:t>References course concepts but with minor inaccuracies</w:t>
            </w:r>
          </w:p>
        </w:tc>
        <w:tc>
          <w:tcPr>
            <w:tcW w:type="dxa" w:w="2006"/>
          </w:tcPr>
          <w:p>
            <w:pPr/>
            <w:r>
              <w:rPr>
                <w:sz w:val="18"/>
              </w:rPr>
            </w:r>
            <w:r>
              <w:rPr>
                <w:sz w:val="18"/>
              </w:rPr>
              <w:t>Mentions a concept without applying it</w:t>
            </w:r>
          </w:p>
        </w:tc>
        <w:tc>
          <w:tcPr>
            <w:tcW w:type="dxa" w:w="2006"/>
          </w:tcPr>
          <w:p>
            <w:pPr/>
            <w:r>
              <w:rPr>
                <w:sz w:val="18"/>
              </w:rPr>
            </w:r>
            <w:r>
              <w:rPr>
                <w:sz w:val="18"/>
              </w:rPr>
              <w:t>Does not reference course concepts</w:t>
            </w:r>
          </w:p>
        </w:tc>
      </w:tr>
    </w:tbl>
    <w:p>
      <w:pPr>
        <w:spacing w:before="120" w:after="120"/>
      </w:pPr>
      <w:r>
        <w:rPr>
          <w:color w:val="CCCCCC"/>
          <w:sz w:val="16"/>
        </w:rPr>
        <w:t>──────────────────────────────────────────────────</w:t>
      </w:r>
    </w:p>
    <w:p>
      <w:pPr>
        <w:pStyle w:val="Heading3"/>
      </w:pPr>
      <w:r>
        <w:t>SB-02</w:t>
      </w:r>
    </w:p>
    <w:p>
      <w:r/>
      <w:r>
        <w:rPr>
          <w:b/>
        </w:rPr>
        <w:t>Linked CLO:</w:t>
      </w:r>
      <w:r>
        <w:t xml:space="preserve"> CLO 3 and CLO 5</w:t>
      </w:r>
    </w:p>
    <w:p>
      <w:r/>
      <w:r>
        <w:rPr>
          <w:b/>
        </w:rPr>
        <w:t>Bloom's Level:</w:t>
      </w:r>
      <w:r>
        <w:t xml:space="preserve"> Application (Level 3)</w:t>
      </w:r>
    </w:p>
    <w:p>
      <w:r/>
      <w:r>
        <w:rPr>
          <w:b/>
        </w:rPr>
        <w:t>Item Type:</w:t>
      </w:r>
      <w:r>
        <w:t xml:space="preserve"> Scenario-Based (constructed response with rubric)</w:t>
      </w:r>
    </w:p>
    <w:p>
      <w:r/>
      <w:r>
        <w:rPr>
          <w:b/>
        </w:rPr>
        <w:t>Scenario:</w:t>
      </w:r>
      <w:r>
        <w:t xml:space="preserve"> You are a clinical educator at UHN's Toronto Western Hospital. During an in-service training session on patient communication, a physiotherapist says: "I treat everyone the same -- I do not see disability. That way I am being fair to all my patients." Another team member, an occupational therapist, responds: "But some of our patients face more barriers than others because of who they are -- not just their diagnosis."</w:t>
      </w:r>
    </w:p>
    <w:p>
      <w:r/>
      <w:r>
        <w:rPr>
          <w:b/>
        </w:rPr>
        <w:t>Prompt:</w:t>
      </w:r>
      <w:r>
        <w:t xml:space="preserve"> In 150-250 words: (a) explain why the "treat everyone the same" approach, while well-intentioned, can perpetuate inequity for patients with disabilities who hold additional marginalized identities, and (b) describe one concrete action the physiotherapy team could take to move toward equitable, intersectional practice.</w:t>
      </w:r>
    </w:p>
    <w:p>
      <w:r/>
      <w:r>
        <w:rPr>
          <w:b/>
        </w:rPr>
        <w:t>Rubric:</w:t>
      </w:r>
      <w:r/>
    </w:p>
    <w:tbl>
      <w:tblPr>
        <w:tblStyle w:val="TableGrid"/>
        <w:tblW w:type="auto" w:w="0"/>
        <w:jc w:val="center"/>
        <w:tblLayout w:type="autofit"/>
        <w:tblLook w:firstColumn="1" w:firstRow="1" w:lastColumn="0" w:lastRow="0" w:noHBand="0" w:noVBand="1" w:val="04A0"/>
      </w:tblPr>
      <w:tblGrid>
        <w:gridCol w:w="2006"/>
        <w:gridCol w:w="2006"/>
        <w:gridCol w:w="2006"/>
        <w:gridCol w:w="2006"/>
        <w:gridCol w:w="2006"/>
      </w:tblGrid>
      <w:tr>
        <w:tc>
          <w:tcPr>
            <w:tcW w:type="dxa" w:w="2006"/>
            <w:shd w:fill="192858" w:val="clear"/>
          </w:tcPr>
          <w:p>
            <w:pPr/>
            <w:r>
              <w:rPr>
                <w:b/>
                <w:color w:val="FFFFFF"/>
                <w:sz w:val="18"/>
              </w:rPr>
            </w:r>
            <w:r>
              <w:rPr>
                <w:b/>
                <w:color w:val="FFFFFF"/>
                <w:sz w:val="18"/>
              </w:rPr>
              <w:t>Criterion</w:t>
            </w:r>
          </w:p>
        </w:tc>
        <w:tc>
          <w:tcPr>
            <w:tcW w:type="dxa" w:w="2006"/>
            <w:shd w:fill="192858" w:val="clear"/>
          </w:tcPr>
          <w:p>
            <w:pPr/>
            <w:r>
              <w:rPr>
                <w:b/>
                <w:color w:val="FFFFFF"/>
                <w:sz w:val="18"/>
              </w:rPr>
            </w:r>
            <w:r>
              <w:rPr>
                <w:b/>
                <w:color w:val="FFFFFF"/>
                <w:sz w:val="18"/>
              </w:rPr>
              <w:t>Exemplary (3)</w:t>
            </w:r>
          </w:p>
        </w:tc>
        <w:tc>
          <w:tcPr>
            <w:tcW w:type="dxa" w:w="2006"/>
            <w:shd w:fill="192858" w:val="clear"/>
          </w:tcPr>
          <w:p>
            <w:pPr/>
            <w:r>
              <w:rPr>
                <w:b/>
                <w:color w:val="FFFFFF"/>
                <w:sz w:val="18"/>
              </w:rPr>
            </w:r>
            <w:r>
              <w:rPr>
                <w:b/>
                <w:color w:val="FFFFFF"/>
                <w:sz w:val="18"/>
              </w:rPr>
              <w:t>Proficient (2)</w:t>
            </w:r>
          </w:p>
        </w:tc>
        <w:tc>
          <w:tcPr>
            <w:tcW w:type="dxa" w:w="2006"/>
            <w:shd w:fill="192858" w:val="clear"/>
          </w:tcPr>
          <w:p>
            <w:pPr/>
            <w:r>
              <w:rPr>
                <w:b/>
                <w:color w:val="FFFFFF"/>
                <w:sz w:val="18"/>
              </w:rPr>
            </w:r>
            <w:r>
              <w:rPr>
                <w:b/>
                <w:color w:val="FFFFFF"/>
                <w:sz w:val="18"/>
              </w:rPr>
              <w:t>Developing (1)</w:t>
            </w:r>
          </w:p>
        </w:tc>
        <w:tc>
          <w:tcPr>
            <w:tcW w:type="dxa" w:w="2006"/>
            <w:shd w:fill="192858" w:val="clear"/>
          </w:tcPr>
          <w:p>
            <w:pPr/>
            <w:r>
              <w:rPr>
                <w:b/>
                <w:color w:val="FFFFFF"/>
                <w:sz w:val="18"/>
              </w:rPr>
            </w:r>
            <w:r>
              <w:rPr>
                <w:b/>
                <w:color w:val="FFFFFF"/>
                <w:sz w:val="18"/>
              </w:rPr>
              <w:t>Insufficient (0)</w:t>
            </w:r>
          </w:p>
        </w:tc>
      </w:tr>
      <w:tr>
        <w:tc>
          <w:tcPr>
            <w:tcW w:type="dxa" w:w="2006"/>
          </w:tcPr>
          <w:p>
            <w:pPr/>
            <w:r>
              <w:rPr>
                <w:sz w:val="18"/>
              </w:rPr>
            </w:r>
            <w:r>
              <w:rPr>
                <w:sz w:val="18"/>
              </w:rPr>
              <w:t>Analysis of equity vs. equality</w:t>
            </w:r>
          </w:p>
        </w:tc>
        <w:tc>
          <w:tcPr>
            <w:tcW w:type="dxa" w:w="2006"/>
          </w:tcPr>
          <w:p>
            <w:pPr/>
            <w:r>
              <w:rPr>
                <w:sz w:val="18"/>
              </w:rPr>
            </w:r>
            <w:r>
              <w:rPr>
                <w:sz w:val="18"/>
              </w:rPr>
              <w:t>Clearly explains why identical treatment is not equitable; connects to intersectionality framework</w:t>
            </w:r>
          </w:p>
        </w:tc>
        <w:tc>
          <w:tcPr>
            <w:tcW w:type="dxa" w:w="2006"/>
          </w:tcPr>
          <w:p>
            <w:pPr/>
            <w:r>
              <w:rPr>
                <w:sz w:val="18"/>
              </w:rPr>
            </w:r>
            <w:r>
              <w:rPr>
                <w:sz w:val="18"/>
              </w:rPr>
              <w:t>Explains the distinction but does not connect to intersectionality</w:t>
            </w:r>
          </w:p>
        </w:tc>
        <w:tc>
          <w:tcPr>
            <w:tcW w:type="dxa" w:w="2006"/>
          </w:tcPr>
          <w:p>
            <w:pPr/>
            <w:r>
              <w:rPr>
                <w:sz w:val="18"/>
              </w:rPr>
            </w:r>
            <w:r>
              <w:rPr>
                <w:sz w:val="18"/>
              </w:rPr>
              <w:t>Mentions equity or equality without analysis</w:t>
            </w:r>
          </w:p>
        </w:tc>
        <w:tc>
          <w:tcPr>
            <w:tcW w:type="dxa" w:w="2006"/>
          </w:tcPr>
          <w:p>
            <w:pPr/>
            <w:r>
              <w:rPr>
                <w:sz w:val="18"/>
              </w:rPr>
            </w:r>
            <w:r>
              <w:rPr>
                <w:sz w:val="18"/>
              </w:rPr>
              <w:t>Does not address the distinction</w:t>
            </w:r>
          </w:p>
        </w:tc>
      </w:tr>
      <w:tr>
        <w:tc>
          <w:tcPr>
            <w:tcW w:type="dxa" w:w="2006"/>
          </w:tcPr>
          <w:p>
            <w:pPr/>
            <w:r>
              <w:rPr>
                <w:sz w:val="18"/>
              </w:rPr>
            </w:r>
            <w:r>
              <w:rPr>
                <w:sz w:val="18"/>
              </w:rPr>
              <w:t>Concrete action</w:t>
            </w:r>
          </w:p>
        </w:tc>
        <w:tc>
          <w:tcPr>
            <w:tcW w:type="dxa" w:w="2006"/>
          </w:tcPr>
          <w:p>
            <w:pPr/>
            <w:r>
              <w:rPr>
                <w:sz w:val="18"/>
              </w:rPr>
            </w:r>
            <w:r>
              <w:rPr>
                <w:sz w:val="18"/>
              </w:rPr>
              <w:t>Proposes a specific, actionable, and feasible team-level practice that reflects intersectional awareness</w:t>
            </w:r>
          </w:p>
        </w:tc>
        <w:tc>
          <w:tcPr>
            <w:tcW w:type="dxa" w:w="2006"/>
          </w:tcPr>
          <w:p>
            <w:pPr/>
            <w:r>
              <w:rPr>
                <w:sz w:val="18"/>
              </w:rPr>
            </w:r>
            <w:r>
              <w:rPr>
                <w:sz w:val="18"/>
              </w:rPr>
              <w:t>Proposes an action that is relevant but vague</w:t>
            </w:r>
          </w:p>
        </w:tc>
        <w:tc>
          <w:tcPr>
            <w:tcW w:type="dxa" w:w="2006"/>
          </w:tcPr>
          <w:p>
            <w:pPr/>
            <w:r>
              <w:rPr>
                <w:sz w:val="18"/>
              </w:rPr>
            </w:r>
            <w:r>
              <w:rPr>
                <w:sz w:val="18"/>
              </w:rPr>
              <w:t>Proposes an action unrelated to intersectionality</w:t>
            </w:r>
          </w:p>
        </w:tc>
        <w:tc>
          <w:tcPr>
            <w:tcW w:type="dxa" w:w="2006"/>
          </w:tcPr>
          <w:p>
            <w:pPr/>
            <w:r>
              <w:rPr>
                <w:sz w:val="18"/>
              </w:rPr>
            </w:r>
            <w:r>
              <w:rPr>
                <w:sz w:val="18"/>
              </w:rPr>
              <w:t>Does not propose an action</w:t>
            </w:r>
          </w:p>
        </w:tc>
      </w:tr>
      <w:tr>
        <w:tc>
          <w:tcPr>
            <w:tcW w:type="dxa" w:w="2006"/>
          </w:tcPr>
          <w:p>
            <w:pPr/>
            <w:r>
              <w:rPr>
                <w:sz w:val="18"/>
              </w:rPr>
            </w:r>
            <w:r>
              <w:rPr>
                <w:sz w:val="18"/>
              </w:rPr>
              <w:t>Use of inclusive language and course concepts</w:t>
            </w:r>
          </w:p>
        </w:tc>
        <w:tc>
          <w:tcPr>
            <w:tcW w:type="dxa" w:w="2006"/>
          </w:tcPr>
          <w:p>
            <w:pPr/>
            <w:r>
              <w:rPr>
                <w:sz w:val="18"/>
              </w:rPr>
            </w:r>
            <w:r>
              <w:rPr>
                <w:sz w:val="18"/>
              </w:rPr>
              <w:t>Writing demonstrates inclusive, person-centred language and integrates course terminology accurately</w:t>
            </w:r>
          </w:p>
        </w:tc>
        <w:tc>
          <w:tcPr>
            <w:tcW w:type="dxa" w:w="2006"/>
          </w:tcPr>
          <w:p>
            <w:pPr/>
            <w:r>
              <w:rPr>
                <w:sz w:val="18"/>
              </w:rPr>
            </w:r>
            <w:r>
              <w:rPr>
                <w:sz w:val="18"/>
              </w:rPr>
              <w:t>Mostly inclusive language with minor lapses; references some course concepts</w:t>
            </w:r>
          </w:p>
        </w:tc>
        <w:tc>
          <w:tcPr>
            <w:tcW w:type="dxa" w:w="2006"/>
          </w:tcPr>
          <w:p>
            <w:pPr/>
            <w:r>
              <w:rPr>
                <w:sz w:val="18"/>
              </w:rPr>
            </w:r>
            <w:r>
              <w:rPr>
                <w:sz w:val="18"/>
              </w:rPr>
              <w:t>Language or concepts are inconsistently applied</w:t>
            </w:r>
          </w:p>
        </w:tc>
        <w:tc>
          <w:tcPr>
            <w:tcW w:type="dxa" w:w="2006"/>
          </w:tcPr>
          <w:p>
            <w:pPr/>
            <w:r>
              <w:rPr>
                <w:sz w:val="18"/>
              </w:rPr>
            </w:r>
            <w:r>
              <w:rPr>
                <w:sz w:val="18"/>
              </w:rPr>
              <w:t>Language is exclusionary or no course concepts are used</w:t>
            </w:r>
          </w:p>
        </w:tc>
      </w:tr>
    </w:tbl>
    <w:p>
      <w:pPr>
        <w:spacing w:before="120" w:after="120"/>
      </w:pPr>
      <w:r>
        <w:rPr>
          <w:color w:val="CCCCCC"/>
          <w:sz w:val="16"/>
        </w:rPr>
        <w:t>──────────────────────────────────────────────────</w:t>
      </w:r>
    </w:p>
    <w:p>
      <w:pPr>
        <w:pStyle w:val="Heading2"/>
      </w:pPr>
      <w:r>
        <w:t>Reflection Prompts for MAP Activity (RP-01 and RP-02)</w:t>
      </w:r>
    </w:p>
    <w:p>
      <w:pPr>
        <w:pStyle w:val="Heading3"/>
      </w:pPr>
      <w:r>
        <w:t>RP-01</w:t>
      </w:r>
    </w:p>
    <w:p>
      <w:r/>
      <w:r>
        <w:rPr>
          <w:b/>
        </w:rPr>
        <w:t>Linked CLO:</w:t>
      </w:r>
      <w:r>
        <w:t xml:space="preserve"> CLO 5</w:t>
      </w:r>
    </w:p>
    <w:p>
      <w:r/>
      <w:r>
        <w:rPr>
          <w:b/>
        </w:rPr>
        <w:t>Bloom's Level:</w:t>
      </w:r>
      <w:r>
        <w:t xml:space="preserve"> Synthesis/Creation (Level 6)</w:t>
      </w:r>
    </w:p>
    <w:p>
      <w:r/>
      <w:r>
        <w:rPr>
          <w:b/>
        </w:rPr>
        <w:t>Item Type:</w:t>
      </w:r>
      <w:r>
        <w:t xml:space="preserve"> Reflection Prompt (My Accessibility Plan -- MAP)</w:t>
      </w:r>
    </w:p>
    <w:p>
      <w:r/>
      <w:r>
        <w:rPr>
          <w:b/>
        </w:rPr>
        <w:t>Prompt:</w:t>
      </w:r>
      <w:r>
        <w:t xml:space="preserve"> Think about your current role at UHN. Identify one process, practice, or interaction in your daily work that may unintentionally create a barrier for a patient, visitor, or colleague with a disability. Describe the barrier, explain which dimension(s) of accessibility it involves (physical, attitudinal, systemic, communication, digital, or policy), and outline one realistic action you could take in the next 30 days to begin addressing it. Consider how your action connects to the principle of shared organizational responsibility.</w:t>
      </w:r>
    </w:p>
    <w:p>
      <w:r/>
      <w:r>
        <w:rPr>
          <w:b/>
        </w:rPr>
        <w:t>Guidance for Facilitators:</w:t>
      </w:r>
      <w:r>
        <w:t xml:space="preserve"> This reflection feeds into the learner's My Accessibility Plan (MAP), which they will build across all guides in the series. Responses are not graded but should be reviewed for engagement depth. Look for: specificity to the learner's role, correct identification of barrier dimensions, feasibility of the proposed action, and connection to shared responsibility. Encourage learners to revisit and update this entry as they progress through subsequent guides.</w:t>
      </w:r>
    </w:p>
    <w:p>
      <w:pPr>
        <w:spacing w:before="120" w:after="120"/>
      </w:pPr>
      <w:r>
        <w:rPr>
          <w:color w:val="CCCCCC"/>
          <w:sz w:val="16"/>
        </w:rPr>
        <w:t>──────────────────────────────────────────────────</w:t>
      </w:r>
    </w:p>
    <w:p>
      <w:pPr>
        <w:pStyle w:val="Heading3"/>
      </w:pPr>
      <w:r>
        <w:t>RP-02</w:t>
      </w:r>
    </w:p>
    <w:p>
      <w:r/>
      <w:r>
        <w:rPr>
          <w:b/>
        </w:rPr>
        <w:t>Linked CLO:</w:t>
      </w:r>
      <w:r>
        <w:t xml:space="preserve"> CLO 1 and CLO 3</w:t>
      </w:r>
    </w:p>
    <w:p>
      <w:r/>
      <w:r>
        <w:rPr>
          <w:b/>
        </w:rPr>
        <w:t>Bloom's Level:</w:t>
      </w:r>
      <w:r>
        <w:t xml:space="preserve"> Evaluation (Level 5)</w:t>
      </w:r>
    </w:p>
    <w:p>
      <w:r/>
      <w:r>
        <w:rPr>
          <w:b/>
        </w:rPr>
        <w:t>Item Type:</w:t>
      </w:r>
      <w:r>
        <w:t xml:space="preserve"> Reflection Prompt (My Accessibility Plan -- MAP)</w:t>
      </w:r>
    </w:p>
    <w:p>
      <w:r/>
      <w:r>
        <w:rPr>
          <w:b/>
        </w:rPr>
        <w:t>Prompt:</w:t>
      </w:r>
      <w:r>
        <w:t xml:space="preserve"> Reflect on a time when you witnessed or experienced a situation in a healthcare setting where a barrier was present but went unrecognized by others. What made the barrier invisible? Consider whether factors such as race, language, age, gender, income, or cultural background contributed to the barrier being overlooked. How has your understanding of accessibility changed after engaging with the content in this guide? Write 150-250 words.</w:t>
      </w:r>
    </w:p>
    <w:p>
      <w:r/>
      <w:r>
        <w:rPr>
          <w:b/>
        </w:rPr>
        <w:t>Guidance for Facilitators:</w:t>
      </w:r>
      <w:r>
        <w:t xml:space="preserve"> This prompt encourages metacognitive reflection and connects lived or observed experience to course concepts. There are no wrong answers, but look for evidence that the learner is moving beyond a physical-only understanding of accessibility and beginning to recognize how intersecting identities shape barrier visibility. Flag responses that demonstrate significant insight for potential inclusion (with consent) as anonymized case examples in future cohorts.</w:t>
      </w:r>
    </w:p>
    <w:p>
      <w:pPr>
        <w:spacing w:before="120" w:after="120"/>
      </w:pPr>
      <w:r>
        <w:rPr>
          <w:color w:val="CCCCCC"/>
          <w:sz w:val="16"/>
        </w:rPr>
        <w:t>──────────────────────────────────────────────────</w:t>
      </w:r>
    </w:p>
    <w:p>
      <w:pPr>
        <w:pStyle w:val="Heading2"/>
      </w:pPr>
      <w:r>
        <w:t>Matching Item (MT-01)</w:t>
      </w:r>
    </w:p>
    <w:p>
      <w:pPr>
        <w:pStyle w:val="Heading3"/>
      </w:pPr>
      <w:r>
        <w:t>MT-01</w:t>
      </w:r>
    </w:p>
    <w:p>
      <w:r/>
      <w:r>
        <w:rPr>
          <w:b/>
        </w:rPr>
        <w:t>Linked CLO:</w:t>
      </w:r>
      <w:r>
        <w:t xml:space="preserve"> CLO 1 and CLO 4</w:t>
      </w:r>
    </w:p>
    <w:p>
      <w:r/>
      <w:r>
        <w:rPr>
          <w:b/>
        </w:rPr>
        <w:t>Bloom's Level:</w:t>
      </w:r>
      <w:r>
        <w:t xml:space="preserve"> Understanding (Level 2)</w:t>
      </w:r>
    </w:p>
    <w:p>
      <w:r/>
      <w:r>
        <w:rPr>
          <w:b/>
        </w:rPr>
        <w:t>Item Type:</w:t>
      </w:r>
      <w:r>
        <w:t xml:space="preserve"> Matching</w:t>
      </w:r>
    </w:p>
    <w:p>
      <w:r/>
      <w:r>
        <w:rPr>
          <w:b/>
        </w:rPr>
        <w:t>Instructions:</w:t>
      </w:r>
      <w:r>
        <w:t xml:space="preserve"> Match each model of disability with its defining characteristic and implication for healthcare practice.</w:t>
      </w:r>
    </w:p>
    <w:p>
      <w:r/>
      <w:r>
        <w:rPr>
          <w:b/>
        </w:rPr>
        <w:t>Column A -- Model</w:t>
      </w:r>
      <w:r/>
    </w:p>
    <w:p>
      <w:pPr>
        <w:pStyle w:val="ListNumber"/>
      </w:pPr>
      <w:r>
        <w:t>Medical Model</w:t>
      </w:r>
    </w:p>
    <w:p>
      <w:pPr>
        <w:pStyle w:val="ListNumber"/>
      </w:pPr>
      <w:r>
        <w:t>Social Model</w:t>
      </w:r>
    </w:p>
    <w:p>
      <w:pPr>
        <w:pStyle w:val="ListNumber"/>
      </w:pPr>
      <w:r>
        <w:t>Rights-Based Model</w:t>
      </w:r>
    </w:p>
    <w:p>
      <w:r/>
      <w:r>
        <w:rPr>
          <w:b/>
        </w:rPr>
        <w:t>Column B -- Defining Characteristic and Implication</w:t>
      </w:r>
      <w:r/>
    </w:p>
    <w:p>
      <w:r>
        <w:t>A) Disability is caused by societal barriers and exclusionary design, not by the individual's impairment. Healthcare practice should focus on removing environmental and systemic barriers so that people with disabilities can participate fully. (Oliver, 1990)</w:t>
      </w:r>
    </w:p>
    <w:p>
      <w:r>
        <w:t>B) Disability is a deficit or deviation within the individual that requires diagnosis, treatment, or cure. Healthcare practice focuses on fixing or managing the individual's condition to approximate "normal" functioning.</w:t>
      </w:r>
    </w:p>
    <w:p>
      <w:r>
        <w:t>C) People with disabilities are rights-holders entitled to full and equal participation in society. Healthcare practice must uphold dignity, autonomy, and non-discrimination as legal and ethical obligations, consistent with the UN Convention on the Rights of Persons with Disabilities (CRPD) and the Ontario Human Rights Code (OHRC).</w:t>
      </w:r>
    </w:p>
    <w:p>
      <w:r/>
      <w:r>
        <w:rPr>
          <w:b/>
        </w:rPr>
        <w:t>Correct Matches:</w:t>
      </w:r>
      <w:r/>
    </w:p>
    <w:tbl>
      <w:tblPr>
        <w:tblStyle w:val="TableGrid"/>
        <w:tblW w:type="auto" w:w="0"/>
        <w:jc w:val="center"/>
        <w:tblLayout w:type="autofit"/>
        <w:tblLook w:firstColumn="1" w:firstRow="1" w:lastColumn="0" w:lastRow="0" w:noHBand="0" w:noVBand="1" w:val="04A0"/>
      </w:tblPr>
      <w:tblGrid>
        <w:gridCol w:w="5014"/>
        <w:gridCol w:w="5014"/>
      </w:tblGrid>
      <w:tr>
        <w:tc>
          <w:tcPr>
            <w:tcW w:type="dxa" w:w="5014"/>
            <w:shd w:fill="192858" w:val="clear"/>
          </w:tcPr>
          <w:p>
            <w:pPr/>
            <w:r>
              <w:rPr>
                <w:b/>
                <w:color w:val="FFFFFF"/>
                <w:sz w:val="18"/>
              </w:rPr>
            </w:r>
            <w:r>
              <w:rPr>
                <w:b/>
                <w:color w:val="FFFFFF"/>
                <w:sz w:val="18"/>
              </w:rPr>
              <w:t>Model</w:t>
            </w:r>
          </w:p>
        </w:tc>
        <w:tc>
          <w:tcPr>
            <w:tcW w:type="dxa" w:w="5014"/>
            <w:shd w:fill="192858" w:val="clear"/>
          </w:tcPr>
          <w:p>
            <w:pPr/>
            <w:r>
              <w:rPr>
                <w:b/>
                <w:color w:val="FFFFFF"/>
                <w:sz w:val="18"/>
              </w:rPr>
            </w:r>
            <w:r>
              <w:rPr>
                <w:b/>
                <w:color w:val="FFFFFF"/>
                <w:sz w:val="18"/>
              </w:rPr>
              <w:t>Match</w:t>
            </w:r>
          </w:p>
        </w:tc>
      </w:tr>
      <w:tr>
        <w:tc>
          <w:tcPr>
            <w:tcW w:type="dxa" w:w="5014"/>
          </w:tcPr>
          <w:p>
            <w:pPr/>
            <w:r>
              <w:rPr>
                <w:sz w:val="18"/>
              </w:rPr>
            </w:r>
            <w:r>
              <w:rPr>
                <w:sz w:val="18"/>
              </w:rPr>
              <w:t>1. Medical Model</w:t>
            </w:r>
          </w:p>
        </w:tc>
        <w:tc>
          <w:tcPr>
            <w:tcW w:type="dxa" w:w="5014"/>
          </w:tcPr>
          <w:p>
            <w:pPr/>
            <w:r>
              <w:rPr>
                <w:sz w:val="18"/>
              </w:rPr>
            </w:r>
            <w:r>
              <w:rPr>
                <w:sz w:val="18"/>
              </w:rPr>
              <w:t>B</w:t>
            </w:r>
          </w:p>
        </w:tc>
      </w:tr>
      <w:tr>
        <w:tc>
          <w:tcPr>
            <w:tcW w:type="dxa" w:w="5014"/>
          </w:tcPr>
          <w:p>
            <w:pPr/>
            <w:r>
              <w:rPr>
                <w:sz w:val="18"/>
              </w:rPr>
            </w:r>
            <w:r>
              <w:rPr>
                <w:sz w:val="18"/>
              </w:rPr>
              <w:t>2. Social Model</w:t>
            </w:r>
          </w:p>
        </w:tc>
        <w:tc>
          <w:tcPr>
            <w:tcW w:type="dxa" w:w="5014"/>
          </w:tcPr>
          <w:p>
            <w:pPr/>
            <w:r>
              <w:rPr>
                <w:sz w:val="18"/>
              </w:rPr>
            </w:r>
            <w:r>
              <w:rPr>
                <w:sz w:val="18"/>
              </w:rPr>
              <w:t>A</w:t>
            </w:r>
          </w:p>
        </w:tc>
      </w:tr>
      <w:tr>
        <w:tc>
          <w:tcPr>
            <w:tcW w:type="dxa" w:w="5014"/>
          </w:tcPr>
          <w:p>
            <w:pPr/>
            <w:r>
              <w:rPr>
                <w:sz w:val="18"/>
              </w:rPr>
            </w:r>
            <w:r>
              <w:rPr>
                <w:sz w:val="18"/>
              </w:rPr>
              <w:t>3. Rights-Based Model</w:t>
            </w:r>
          </w:p>
        </w:tc>
        <w:tc>
          <w:tcPr>
            <w:tcW w:type="dxa" w:w="5014"/>
          </w:tcPr>
          <w:p>
            <w:pPr/>
            <w:r>
              <w:rPr>
                <w:sz w:val="18"/>
              </w:rPr>
            </w:r>
            <w:r>
              <w:rPr>
                <w:sz w:val="18"/>
              </w:rPr>
              <w:t>C</w:t>
            </w:r>
          </w:p>
        </w:tc>
      </w:tr>
    </w:tbl>
    <w:p>
      <w:r/>
      <w:r>
        <w:rPr>
          <w:b/>
        </w:rPr>
        <w:t>Feedback -- Correct:</w:t>
      </w:r>
      <w:r>
        <w:t xml:space="preserve"> Correct. Understanding these three models is foundational. The medical model locates disability in the individual; the social model locates it in societal barriers; and the rights-based model frames disability as a matter of human rights and legal entitlement. In practice at UHN, a rights-based approach informed by the social model guides us to design inclusive environments and uphold the dignity and autonomy of every patient, visitor, and team member.</w:t>
      </w:r>
    </w:p>
    <w:p>
      <w:r/>
      <w:r>
        <w:rPr>
          <w:b/>
        </w:rPr>
        <w:t>Feedback -- Incorrect:</w:t>
      </w:r>
      <w:r>
        <w:t xml:space="preserve"> Review the three models: the medical model focuses on the individual's impairment as the "problem"; the social model (Oliver, 1990) shifts the focus to barriers created by society; and the rights-based model (UN CRPD; OHRC) centres the legal and ethical rights of people with disabilities to full participation. Consider which model places responsibility on the environment and systems rather than on the person.</w:t>
      </w:r>
    </w:p>
    <w:p>
      <w:pPr>
        <w:spacing w:before="120" w:after="120"/>
      </w:pPr>
      <w:r>
        <w:rPr>
          <w:color w:val="CCCCCC"/>
          <w:sz w:val="16"/>
        </w:rPr>
        <w:t>──────────────────────────────────────────────────</w:t>
      </w:r>
    </w:p>
    <w:p>
      <w:pPr>
        <w:pStyle w:val="Heading2"/>
      </w:pPr>
      <w:r>
        <w:t>Assessment Map Summary</w:t>
      </w:r>
    </w:p>
    <w:tbl>
      <w:tblPr>
        <w:tblStyle w:val="TableGrid"/>
        <w:tblW w:type="auto" w:w="0"/>
        <w:jc w:val="center"/>
        <w:tblLayout w:type="autofit"/>
        <w:tblLook w:firstColumn="1" w:firstRow="1" w:lastColumn="0" w:lastRow="0" w:noHBand="0" w:noVBand="1" w:val="04A0"/>
      </w:tblPr>
      <w:tblGrid>
        <w:gridCol w:w="2507"/>
        <w:gridCol w:w="2507"/>
        <w:gridCol w:w="2507"/>
        <w:gridCol w:w="2507"/>
      </w:tblGrid>
      <w:tr>
        <w:tc>
          <w:tcPr>
            <w:tcW w:type="dxa" w:w="2507"/>
            <w:shd w:fill="192858" w:val="clear"/>
          </w:tcPr>
          <w:p>
            <w:pPr/>
            <w:r>
              <w:rPr>
                <w:b/>
                <w:color w:val="FFFFFF"/>
                <w:sz w:val="18"/>
              </w:rPr>
            </w:r>
            <w:r>
              <w:rPr>
                <w:b/>
                <w:color w:val="FFFFFF"/>
                <w:sz w:val="18"/>
              </w:rPr>
              <w:t>Item ID</w:t>
            </w:r>
          </w:p>
        </w:tc>
        <w:tc>
          <w:tcPr>
            <w:tcW w:type="dxa" w:w="2507"/>
            <w:shd w:fill="192858" w:val="clear"/>
          </w:tcPr>
          <w:p>
            <w:pPr/>
            <w:r>
              <w:rPr>
                <w:b/>
                <w:color w:val="FFFFFF"/>
                <w:sz w:val="18"/>
              </w:rPr>
            </w:r>
            <w:r>
              <w:rPr>
                <w:b/>
                <w:color w:val="FFFFFF"/>
                <w:sz w:val="18"/>
              </w:rPr>
              <w:t>Type</w:t>
            </w:r>
          </w:p>
        </w:tc>
        <w:tc>
          <w:tcPr>
            <w:tcW w:type="dxa" w:w="2507"/>
            <w:shd w:fill="192858" w:val="clear"/>
          </w:tcPr>
          <w:p>
            <w:pPr/>
            <w:r>
              <w:rPr>
                <w:b/>
                <w:color w:val="FFFFFF"/>
                <w:sz w:val="18"/>
              </w:rPr>
            </w:r>
            <w:r>
              <w:rPr>
                <w:b/>
                <w:color w:val="FFFFFF"/>
                <w:sz w:val="18"/>
              </w:rPr>
              <w:t>CLO(s)</w:t>
            </w:r>
          </w:p>
        </w:tc>
        <w:tc>
          <w:tcPr>
            <w:tcW w:type="dxa" w:w="2507"/>
            <w:shd w:fill="192858" w:val="clear"/>
          </w:tcPr>
          <w:p>
            <w:pPr/>
            <w:r>
              <w:rPr>
                <w:b/>
                <w:color w:val="FFFFFF"/>
                <w:sz w:val="18"/>
              </w:rPr>
            </w:r>
            <w:r>
              <w:rPr>
                <w:b/>
                <w:color w:val="FFFFFF"/>
                <w:sz w:val="18"/>
              </w:rPr>
              <w:t>Bloom's Level</w:t>
            </w:r>
          </w:p>
        </w:tc>
      </w:tr>
      <w:tr>
        <w:tc>
          <w:tcPr>
            <w:tcW w:type="dxa" w:w="2507"/>
          </w:tcPr>
          <w:p>
            <w:pPr/>
            <w:r>
              <w:rPr>
                <w:sz w:val="18"/>
              </w:rPr>
            </w:r>
            <w:r>
              <w:rPr>
                <w:sz w:val="18"/>
              </w:rPr>
              <w:t>MC-01</w:t>
            </w:r>
          </w:p>
        </w:tc>
        <w:tc>
          <w:tcPr>
            <w:tcW w:type="dxa" w:w="2507"/>
          </w:tcPr>
          <w:p>
            <w:pPr/>
            <w:r>
              <w:rPr>
                <w:sz w:val="18"/>
              </w:rPr>
            </w:r>
            <w:r>
              <w:rPr>
                <w:sz w:val="18"/>
              </w:rPr>
              <w:t>Multiple Choice</w:t>
            </w:r>
          </w:p>
        </w:tc>
        <w:tc>
          <w:tcPr>
            <w:tcW w:type="dxa" w:w="2507"/>
          </w:tcPr>
          <w:p>
            <w:pPr/>
            <w:r>
              <w:rPr>
                <w:sz w:val="18"/>
              </w:rPr>
            </w:r>
            <w:r>
              <w:rPr>
                <w:sz w:val="18"/>
              </w:rPr>
              <w:t>CLO 1</w:t>
            </w:r>
          </w:p>
        </w:tc>
        <w:tc>
          <w:tcPr>
            <w:tcW w:type="dxa" w:w="2507"/>
          </w:tcPr>
          <w:p>
            <w:pPr/>
            <w:r>
              <w:rPr>
                <w:sz w:val="18"/>
              </w:rPr>
            </w:r>
            <w:r>
              <w:rPr>
                <w:sz w:val="18"/>
              </w:rPr>
              <w:t>Understanding</w:t>
            </w:r>
          </w:p>
        </w:tc>
      </w:tr>
      <w:tr>
        <w:tc>
          <w:tcPr>
            <w:tcW w:type="dxa" w:w="2507"/>
          </w:tcPr>
          <w:p>
            <w:pPr/>
            <w:r>
              <w:rPr>
                <w:sz w:val="18"/>
              </w:rPr>
            </w:r>
            <w:r>
              <w:rPr>
                <w:sz w:val="18"/>
              </w:rPr>
              <w:t>MC-02</w:t>
            </w:r>
          </w:p>
        </w:tc>
        <w:tc>
          <w:tcPr>
            <w:tcW w:type="dxa" w:w="2507"/>
          </w:tcPr>
          <w:p>
            <w:pPr/>
            <w:r>
              <w:rPr>
                <w:sz w:val="18"/>
              </w:rPr>
            </w:r>
            <w:r>
              <w:rPr>
                <w:sz w:val="18"/>
              </w:rPr>
              <w:t>Multiple Choice</w:t>
            </w:r>
          </w:p>
        </w:tc>
        <w:tc>
          <w:tcPr>
            <w:tcW w:type="dxa" w:w="2507"/>
          </w:tcPr>
          <w:p>
            <w:pPr/>
            <w:r>
              <w:rPr>
                <w:sz w:val="18"/>
              </w:rPr>
            </w:r>
            <w:r>
              <w:rPr>
                <w:sz w:val="18"/>
              </w:rPr>
              <w:t>CLO 2</w:t>
            </w:r>
          </w:p>
        </w:tc>
        <w:tc>
          <w:tcPr>
            <w:tcW w:type="dxa" w:w="2507"/>
          </w:tcPr>
          <w:p>
            <w:pPr/>
            <w:r>
              <w:rPr>
                <w:sz w:val="18"/>
              </w:rPr>
            </w:r>
            <w:r>
              <w:rPr>
                <w:sz w:val="18"/>
              </w:rPr>
              <w:t>Knowledge</w:t>
            </w:r>
          </w:p>
        </w:tc>
      </w:tr>
      <w:tr>
        <w:tc>
          <w:tcPr>
            <w:tcW w:type="dxa" w:w="2507"/>
          </w:tcPr>
          <w:p>
            <w:pPr/>
            <w:r>
              <w:rPr>
                <w:sz w:val="18"/>
              </w:rPr>
            </w:r>
            <w:r>
              <w:rPr>
                <w:sz w:val="18"/>
              </w:rPr>
              <w:t>MC-03</w:t>
            </w:r>
          </w:p>
        </w:tc>
        <w:tc>
          <w:tcPr>
            <w:tcW w:type="dxa" w:w="2507"/>
          </w:tcPr>
          <w:p>
            <w:pPr/>
            <w:r>
              <w:rPr>
                <w:sz w:val="18"/>
              </w:rPr>
            </w:r>
            <w:r>
              <w:rPr>
                <w:sz w:val="18"/>
              </w:rPr>
              <w:t>Multiple Choice</w:t>
            </w:r>
          </w:p>
        </w:tc>
        <w:tc>
          <w:tcPr>
            <w:tcW w:type="dxa" w:w="2507"/>
          </w:tcPr>
          <w:p>
            <w:pPr/>
            <w:r>
              <w:rPr>
                <w:sz w:val="18"/>
              </w:rPr>
            </w:r>
            <w:r>
              <w:rPr>
                <w:sz w:val="18"/>
              </w:rPr>
              <w:t>CLO 4</w:t>
            </w:r>
          </w:p>
        </w:tc>
        <w:tc>
          <w:tcPr>
            <w:tcW w:type="dxa" w:w="2507"/>
          </w:tcPr>
          <w:p>
            <w:pPr/>
            <w:r>
              <w:rPr>
                <w:sz w:val="18"/>
              </w:rPr>
            </w:r>
            <w:r>
              <w:rPr>
                <w:sz w:val="18"/>
              </w:rPr>
              <w:t>Analysis</w:t>
            </w:r>
          </w:p>
        </w:tc>
      </w:tr>
      <w:tr>
        <w:tc>
          <w:tcPr>
            <w:tcW w:type="dxa" w:w="2507"/>
          </w:tcPr>
          <w:p>
            <w:pPr/>
            <w:r>
              <w:rPr>
                <w:sz w:val="18"/>
              </w:rPr>
            </w:r>
            <w:r>
              <w:rPr>
                <w:sz w:val="18"/>
              </w:rPr>
              <w:t>MC-04</w:t>
            </w:r>
          </w:p>
        </w:tc>
        <w:tc>
          <w:tcPr>
            <w:tcW w:type="dxa" w:w="2507"/>
          </w:tcPr>
          <w:p>
            <w:pPr/>
            <w:r>
              <w:rPr>
                <w:sz w:val="18"/>
              </w:rPr>
            </w:r>
            <w:r>
              <w:rPr>
                <w:sz w:val="18"/>
              </w:rPr>
              <w:t>Multiple Choice</w:t>
            </w:r>
          </w:p>
        </w:tc>
        <w:tc>
          <w:tcPr>
            <w:tcW w:type="dxa" w:w="2507"/>
          </w:tcPr>
          <w:p>
            <w:pPr/>
            <w:r>
              <w:rPr>
                <w:sz w:val="18"/>
              </w:rPr>
            </w:r>
            <w:r>
              <w:rPr>
                <w:sz w:val="18"/>
              </w:rPr>
              <w:t>CLO 5</w:t>
            </w:r>
          </w:p>
        </w:tc>
        <w:tc>
          <w:tcPr>
            <w:tcW w:type="dxa" w:w="2507"/>
          </w:tcPr>
          <w:p>
            <w:pPr/>
            <w:r>
              <w:rPr>
                <w:sz w:val="18"/>
              </w:rPr>
            </w:r>
            <w:r>
              <w:rPr>
                <w:sz w:val="18"/>
              </w:rPr>
              <w:t>Application</w:t>
            </w:r>
          </w:p>
        </w:tc>
      </w:tr>
      <w:tr>
        <w:tc>
          <w:tcPr>
            <w:tcW w:type="dxa" w:w="2507"/>
          </w:tcPr>
          <w:p>
            <w:pPr/>
            <w:r>
              <w:rPr>
                <w:sz w:val="18"/>
              </w:rPr>
            </w:r>
            <w:r>
              <w:rPr>
                <w:sz w:val="18"/>
              </w:rPr>
              <w:t>MS-01</w:t>
            </w:r>
          </w:p>
        </w:tc>
        <w:tc>
          <w:tcPr>
            <w:tcW w:type="dxa" w:w="2507"/>
          </w:tcPr>
          <w:p>
            <w:pPr/>
            <w:r>
              <w:rPr>
                <w:sz w:val="18"/>
              </w:rPr>
            </w:r>
            <w:r>
              <w:rPr>
                <w:sz w:val="18"/>
              </w:rPr>
              <w:t>Multiple Select</w:t>
            </w:r>
          </w:p>
        </w:tc>
        <w:tc>
          <w:tcPr>
            <w:tcW w:type="dxa" w:w="2507"/>
          </w:tcPr>
          <w:p>
            <w:pPr/>
            <w:r>
              <w:rPr>
                <w:sz w:val="18"/>
              </w:rPr>
            </w:r>
            <w:r>
              <w:rPr>
                <w:sz w:val="18"/>
              </w:rPr>
              <w:t>CLO 1</w:t>
            </w:r>
          </w:p>
        </w:tc>
        <w:tc>
          <w:tcPr>
            <w:tcW w:type="dxa" w:w="2507"/>
          </w:tcPr>
          <w:p>
            <w:pPr/>
            <w:r>
              <w:rPr>
                <w:sz w:val="18"/>
              </w:rPr>
            </w:r>
            <w:r>
              <w:rPr>
                <w:sz w:val="18"/>
              </w:rPr>
              <w:t>Understanding</w:t>
            </w:r>
          </w:p>
        </w:tc>
      </w:tr>
      <w:tr>
        <w:tc>
          <w:tcPr>
            <w:tcW w:type="dxa" w:w="2507"/>
          </w:tcPr>
          <w:p>
            <w:pPr/>
            <w:r>
              <w:rPr>
                <w:sz w:val="18"/>
              </w:rPr>
            </w:r>
            <w:r>
              <w:rPr>
                <w:sz w:val="18"/>
              </w:rPr>
              <w:t>MS-02</w:t>
            </w:r>
          </w:p>
        </w:tc>
        <w:tc>
          <w:tcPr>
            <w:tcW w:type="dxa" w:w="2507"/>
          </w:tcPr>
          <w:p>
            <w:pPr/>
            <w:r>
              <w:rPr>
                <w:sz w:val="18"/>
              </w:rPr>
            </w:r>
            <w:r>
              <w:rPr>
                <w:sz w:val="18"/>
              </w:rPr>
              <w:t>Multiple Select</w:t>
            </w:r>
          </w:p>
        </w:tc>
        <w:tc>
          <w:tcPr>
            <w:tcW w:type="dxa" w:w="2507"/>
          </w:tcPr>
          <w:p>
            <w:pPr/>
            <w:r>
              <w:rPr>
                <w:sz w:val="18"/>
              </w:rPr>
            </w:r>
            <w:r>
              <w:rPr>
                <w:sz w:val="18"/>
              </w:rPr>
              <w:t>CLO 3</w:t>
            </w:r>
          </w:p>
        </w:tc>
        <w:tc>
          <w:tcPr>
            <w:tcW w:type="dxa" w:w="2507"/>
          </w:tcPr>
          <w:p>
            <w:pPr/>
            <w:r>
              <w:rPr>
                <w:sz w:val="18"/>
              </w:rPr>
            </w:r>
            <w:r>
              <w:rPr>
                <w:sz w:val="18"/>
              </w:rPr>
              <w:t>Analysis</w:t>
            </w:r>
          </w:p>
        </w:tc>
      </w:tr>
      <w:tr>
        <w:tc>
          <w:tcPr>
            <w:tcW w:type="dxa" w:w="2507"/>
          </w:tcPr>
          <w:p>
            <w:pPr/>
            <w:r>
              <w:rPr>
                <w:sz w:val="18"/>
              </w:rPr>
            </w:r>
            <w:r>
              <w:rPr>
                <w:sz w:val="18"/>
              </w:rPr>
              <w:t>SB-01</w:t>
            </w:r>
          </w:p>
        </w:tc>
        <w:tc>
          <w:tcPr>
            <w:tcW w:type="dxa" w:w="2507"/>
          </w:tcPr>
          <w:p>
            <w:pPr/>
            <w:r>
              <w:rPr>
                <w:sz w:val="18"/>
              </w:rPr>
            </w:r>
            <w:r>
              <w:rPr>
                <w:sz w:val="18"/>
              </w:rPr>
              <w:t>Scenario-Based</w:t>
            </w:r>
          </w:p>
        </w:tc>
        <w:tc>
          <w:tcPr>
            <w:tcW w:type="dxa" w:w="2507"/>
          </w:tcPr>
          <w:p>
            <w:pPr/>
            <w:r>
              <w:rPr>
                <w:sz w:val="18"/>
              </w:rPr>
            </w:r>
            <w:r>
              <w:rPr>
                <w:sz w:val="18"/>
              </w:rPr>
              <w:t>CLO 4</w:t>
            </w:r>
          </w:p>
        </w:tc>
        <w:tc>
          <w:tcPr>
            <w:tcW w:type="dxa" w:w="2507"/>
          </w:tcPr>
          <w:p>
            <w:pPr/>
            <w:r>
              <w:rPr>
                <w:sz w:val="18"/>
              </w:rPr>
            </w:r>
            <w:r>
              <w:rPr>
                <w:sz w:val="18"/>
              </w:rPr>
              <w:t>Evaluation</w:t>
            </w:r>
          </w:p>
        </w:tc>
      </w:tr>
      <w:tr>
        <w:tc>
          <w:tcPr>
            <w:tcW w:type="dxa" w:w="2507"/>
          </w:tcPr>
          <w:p>
            <w:pPr/>
            <w:r>
              <w:rPr>
                <w:sz w:val="18"/>
              </w:rPr>
            </w:r>
            <w:r>
              <w:rPr>
                <w:sz w:val="18"/>
              </w:rPr>
              <w:t>SB-02</w:t>
            </w:r>
          </w:p>
        </w:tc>
        <w:tc>
          <w:tcPr>
            <w:tcW w:type="dxa" w:w="2507"/>
          </w:tcPr>
          <w:p>
            <w:pPr/>
            <w:r>
              <w:rPr>
                <w:sz w:val="18"/>
              </w:rPr>
            </w:r>
            <w:r>
              <w:rPr>
                <w:sz w:val="18"/>
              </w:rPr>
              <w:t>Scenario-Based</w:t>
            </w:r>
          </w:p>
        </w:tc>
        <w:tc>
          <w:tcPr>
            <w:tcW w:type="dxa" w:w="2507"/>
          </w:tcPr>
          <w:p>
            <w:pPr/>
            <w:r>
              <w:rPr>
                <w:sz w:val="18"/>
              </w:rPr>
            </w:r>
            <w:r>
              <w:rPr>
                <w:sz w:val="18"/>
              </w:rPr>
              <w:t>CLO 3, CLO 5</w:t>
            </w:r>
          </w:p>
        </w:tc>
        <w:tc>
          <w:tcPr>
            <w:tcW w:type="dxa" w:w="2507"/>
          </w:tcPr>
          <w:p>
            <w:pPr/>
            <w:r>
              <w:rPr>
                <w:sz w:val="18"/>
              </w:rPr>
            </w:r>
            <w:r>
              <w:rPr>
                <w:sz w:val="18"/>
              </w:rPr>
              <w:t>Application</w:t>
            </w:r>
          </w:p>
        </w:tc>
      </w:tr>
      <w:tr>
        <w:tc>
          <w:tcPr>
            <w:tcW w:type="dxa" w:w="2507"/>
          </w:tcPr>
          <w:p>
            <w:pPr/>
            <w:r>
              <w:rPr>
                <w:sz w:val="18"/>
              </w:rPr>
            </w:r>
            <w:r>
              <w:rPr>
                <w:sz w:val="18"/>
              </w:rPr>
              <w:t>RP-01</w:t>
            </w:r>
          </w:p>
        </w:tc>
        <w:tc>
          <w:tcPr>
            <w:tcW w:type="dxa" w:w="2507"/>
          </w:tcPr>
          <w:p>
            <w:pPr/>
            <w:r>
              <w:rPr>
                <w:sz w:val="18"/>
              </w:rPr>
            </w:r>
            <w:r>
              <w:rPr>
                <w:sz w:val="18"/>
              </w:rPr>
              <w:t>Reflection (MAP)</w:t>
            </w:r>
          </w:p>
        </w:tc>
        <w:tc>
          <w:tcPr>
            <w:tcW w:type="dxa" w:w="2507"/>
          </w:tcPr>
          <w:p>
            <w:pPr/>
            <w:r>
              <w:rPr>
                <w:sz w:val="18"/>
              </w:rPr>
            </w:r>
            <w:r>
              <w:rPr>
                <w:sz w:val="18"/>
              </w:rPr>
              <w:t>CLO 5</w:t>
            </w:r>
          </w:p>
        </w:tc>
        <w:tc>
          <w:tcPr>
            <w:tcW w:type="dxa" w:w="2507"/>
          </w:tcPr>
          <w:p>
            <w:pPr/>
            <w:r>
              <w:rPr>
                <w:sz w:val="18"/>
              </w:rPr>
            </w:r>
            <w:r>
              <w:rPr>
                <w:sz w:val="18"/>
              </w:rPr>
              <w:t>Creation</w:t>
            </w:r>
          </w:p>
        </w:tc>
      </w:tr>
      <w:tr>
        <w:tc>
          <w:tcPr>
            <w:tcW w:type="dxa" w:w="2507"/>
          </w:tcPr>
          <w:p>
            <w:pPr/>
            <w:r>
              <w:rPr>
                <w:sz w:val="18"/>
              </w:rPr>
            </w:r>
            <w:r>
              <w:rPr>
                <w:sz w:val="18"/>
              </w:rPr>
              <w:t>RP-02</w:t>
            </w:r>
          </w:p>
        </w:tc>
        <w:tc>
          <w:tcPr>
            <w:tcW w:type="dxa" w:w="2507"/>
          </w:tcPr>
          <w:p>
            <w:pPr/>
            <w:r>
              <w:rPr>
                <w:sz w:val="18"/>
              </w:rPr>
            </w:r>
            <w:r>
              <w:rPr>
                <w:sz w:val="18"/>
              </w:rPr>
              <w:t>Reflection (MAP)</w:t>
            </w:r>
          </w:p>
        </w:tc>
        <w:tc>
          <w:tcPr>
            <w:tcW w:type="dxa" w:w="2507"/>
          </w:tcPr>
          <w:p>
            <w:pPr/>
            <w:r>
              <w:rPr>
                <w:sz w:val="18"/>
              </w:rPr>
            </w:r>
            <w:r>
              <w:rPr>
                <w:sz w:val="18"/>
              </w:rPr>
              <w:t>CLO 1, CLO 3</w:t>
            </w:r>
          </w:p>
        </w:tc>
        <w:tc>
          <w:tcPr>
            <w:tcW w:type="dxa" w:w="2507"/>
          </w:tcPr>
          <w:p>
            <w:pPr/>
            <w:r>
              <w:rPr>
                <w:sz w:val="18"/>
              </w:rPr>
            </w:r>
            <w:r>
              <w:rPr>
                <w:sz w:val="18"/>
              </w:rPr>
              <w:t>Evaluation</w:t>
            </w:r>
          </w:p>
        </w:tc>
      </w:tr>
      <w:tr>
        <w:tc>
          <w:tcPr>
            <w:tcW w:type="dxa" w:w="2507"/>
          </w:tcPr>
          <w:p>
            <w:pPr/>
            <w:r>
              <w:rPr>
                <w:sz w:val="18"/>
              </w:rPr>
            </w:r>
            <w:r>
              <w:rPr>
                <w:sz w:val="18"/>
              </w:rPr>
              <w:t>MT-01</w:t>
            </w:r>
          </w:p>
        </w:tc>
        <w:tc>
          <w:tcPr>
            <w:tcW w:type="dxa" w:w="2507"/>
          </w:tcPr>
          <w:p>
            <w:pPr/>
            <w:r>
              <w:rPr>
                <w:sz w:val="18"/>
              </w:rPr>
            </w:r>
            <w:r>
              <w:rPr>
                <w:sz w:val="18"/>
              </w:rPr>
              <w:t>Matching</w:t>
            </w:r>
          </w:p>
        </w:tc>
        <w:tc>
          <w:tcPr>
            <w:tcW w:type="dxa" w:w="2507"/>
          </w:tcPr>
          <w:p>
            <w:pPr/>
            <w:r>
              <w:rPr>
                <w:sz w:val="18"/>
              </w:rPr>
            </w:r>
            <w:r>
              <w:rPr>
                <w:sz w:val="18"/>
              </w:rPr>
              <w:t>CLO 1, CLO 4</w:t>
            </w:r>
          </w:p>
        </w:tc>
        <w:tc>
          <w:tcPr>
            <w:tcW w:type="dxa" w:w="2507"/>
          </w:tcPr>
          <w:p>
            <w:pPr/>
            <w:r>
              <w:rPr>
                <w:sz w:val="18"/>
              </w:rPr>
            </w:r>
            <w:r>
              <w:rPr>
                <w:sz w:val="18"/>
              </w:rPr>
              <w:t>Understanding</w:t>
            </w:r>
          </w:p>
        </w:tc>
      </w:tr>
    </w:tbl>
    <w:p>
      <w:pPr>
        <w:spacing w:before="120" w:after="120"/>
      </w:pPr>
      <w:r>
        <w:rPr>
          <w:color w:val="CCCCCC"/>
          <w:sz w:val="16"/>
        </w:rPr>
        <w:t>──────────────────────────────────────────────────</w:t>
      </w:r>
    </w:p>
    <w:p>
      <w:r/>
      <w:r>
        <w:rPr>
          <w:i/>
        </w:rPr>
        <w:t>End of Assessment Bank -- Guide 01</w:t>
      </w:r>
      <w:r/>
    </w:p>
    <w:sectPr w:rsidRPr="000E4F24" w:rsidR="000E4F24" w:rsidSect="00317390">
      <w:headerReference w:type="even" r:id="rId13"/>
      <w:headerReference w:type="default" r:id="rId14"/>
      <w:footerReference w:type="even" r:id="rId15"/>
      <w:footerReference w:type="default" r:id="rId16"/>
      <w:headerReference w:type="first" r:id="rId17"/>
      <w:footerReference w:type="first" r:id="rId18"/>
      <w:pgSz w:w="12240" w:h="15840" w:orient="portrait"/>
      <w:pgMar w:top="1417" w:right="1247" w:bottom="1020" w:left="964" w:header="706" w:footer="706" w:gutter="34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1AC6" w:rsidP="00781AF9" w:rsidRDefault="00DF1AC6" w14:paraId="427CD014" w14:textId="77777777">
      <w:r>
        <w:separator/>
      </w:r>
    </w:p>
  </w:endnote>
  <w:endnote w:type="continuationSeparator" w:id="0">
    <w:p w:rsidR="00DF1AC6" w:rsidP="00781AF9" w:rsidRDefault="00DF1AC6" w14:paraId="51A3D8F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0000000000000000000"/>
    <w:charset w:val="00"/>
    <w:family w:val="auto"/>
    <w:pitch w:val="variable"/>
    <w:sig w:usb0="E00002FF" w:usb1="5000785B"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43F7B81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17390" w:rsidR="00C31517" w:rsidP="00317390" w:rsidRDefault="00317390" w14:paraId="1E0F9700" w14:textId="2675C939">
    <w:pPr>
      <w:pStyle w:val="Footer"/>
      <w:jc w:val="center"/>
    </w:pPr>
    <w:r>
      <w:rPr>
        <w:rFonts w:ascii="Arial" w:hAnsi="Arial"/>
        <w:color w:val="7F7F7F"/>
        <w:sz w:val="16"/>
      </w:rPr>
      <w:t>University Health Network | Confidential — For Internal Use Only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27D9" w:rsidRDefault="002527D9" w14:paraId="7B0BA1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1AC6" w:rsidP="00781AF9" w:rsidRDefault="00DF1AC6" w14:paraId="5DB276FD" w14:textId="77777777">
      <w:r>
        <w:separator/>
      </w:r>
    </w:p>
  </w:footnote>
  <w:footnote w:type="continuationSeparator" w:id="0">
    <w:p w:rsidR="00DF1AC6" w:rsidP="00781AF9" w:rsidRDefault="00DF1AC6" w14:paraId="696033C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6093E" w:rsidP="00781AF9" w:rsidRDefault="00317390" w14:paraId="121E78AF" w14:textId="2CE0351B">
    <w:pPr>
      <w:pStyle w:val="Header"/>
    </w:pPr>
    <w:r>
      <w:rPr>
        <w:noProof/>
        <w:lang w:eastAsia="en-CA"/>
      </w:rPr>
    </w:r>
    <w:r w:rsidR="00317390">
      <w:rPr>
        <w:noProof/>
        <w:lang w:eastAsia="en-CA"/>
      </w:rPr>
      <w:pict w14:anchorId="30621378">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5" style="position:absolute;margin-left:0;margin-top:0;width:630.2pt;height:810.2pt;z-index:-251649024;mso-wrap-edited:f;mso-width-percent:0;mso-height-percent:0;mso-position-horizontal:center;mso-position-horizontal-relative:margin;mso-position-vertical:center;mso-position-vertical-relative:margin;mso-width-percent:0;mso-height-percent:0" alt="" o:spid="_x0000_s1026" o:allowincell="f" type="#_x0000_t75">
          <v:imagedata o:title="UHN_Stationery_BG" r:id="rId1"/>
          <w10:wrap anchorx="margin" anchory="margin"/>
        </v:shape>
      </w:pict>
    </w:r>
    <w:r w:rsidR="00C31517">
      <w:rPr>
        <w:noProof/>
        <w:lang w:eastAsia="en-CA"/>
      </w:rPr>
      <w:drawing>
        <wp:anchor distT="0" distB="0" distL="114300" distR="114300" simplePos="0" relativeHeight="251661312" behindDoc="1" locked="0" layoutInCell="0" allowOverlap="1" wp14:anchorId="0B86D4CA" wp14:editId="4E9DFF1B">
          <wp:simplePos x="0" y="0"/>
          <wp:positionH relativeFrom="margin">
            <wp:align>center</wp:align>
          </wp:positionH>
          <wp:positionV relativeFrom="margin">
            <wp:align>center</wp:align>
          </wp:positionV>
          <wp:extent cx="8003540" cy="10289540"/>
          <wp:effectExtent l="0" t="0" r="0" b="0"/>
          <wp:wrapNone/>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3540" cy="102895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360" w:type="dxa"/>
      <w:tblLayout w:type="fixed"/>
      <w:tblLook w:val="0000" w:firstRow="0" w:lastRow="0" w:firstColumn="0" w:lastColumn="0" w:noHBand="0" w:noVBand="0"/>
    </w:tblPr>
    <w:tblGrid>
      <w:gridCol w:w="7200"/>
      <w:gridCol w:w="2160"/>
    </w:tblGrid>
    <w:tr w:rsidR="00317390" w:rsidTr="00317390" w14:paraId="1A8C4381" w14:textId="77777777">
      <w:tblPrEx>
        <w:tblCellMar>
          <w:top w:w="0" w:type="dxa"/>
          <w:bottom w:w="0" w:type="dxa"/>
        </w:tblCellMar>
      </w:tblPrEx>
      <w:trPr>
        <w:trHeight w:val="1037"/>
      </w:trPr>
      <w:tc>
        <w:tcPr>
          <w:tcW w:w="7200" w:type="dxa"/>
          <w:shd w:val="clear" w:color="auto" w:fill="auto"/>
          <w:tcMar>
            <w:left w:w="144" w:type="dxa"/>
          </w:tcMar>
          <w:vAlign w:val="center"/>
        </w:tcPr>
        <w:p w:rsidR="00317390" w:rsidP="00317390" w:rsidRDefault="00317390" w14:paraId="5D7E6A13" w14:textId="1A25570A">
          <w:pPr>
            <w:pStyle w:val="Header"/>
          </w:pPr>
          <w:r>
            <w:rPr>
              <w:noProof/>
            </w:rPr>
            <w:drawing>
              <wp:inline distT="0" distB="0" distL="0" distR="0" wp14:anchorId="2588CD10" wp14:editId="64A61064">
                <wp:extent cx="2114227" cy="548640"/>
                <wp:effectExtent l="0" t="0" r="0" b="0"/>
                <wp:docPr id="211179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91249" name=""/>
                        <pic:cNvPicPr/>
                      </pic:nvPicPr>
                      <pic:blipFill>
                        <a:blip r:embed="rId1">
                          <a:extLst>
                            <a:ext uri="{28A0092B-C50C-407E-A947-70E740481C1C}">
                              <a14:useLocalDpi xmlns:a14="http://schemas.microsoft.com/office/drawing/2010/main" val="0"/>
                            </a:ext>
                          </a:extLst>
                        </a:blip>
                        <a:stretch>
                          <a:fillRect/>
                        </a:stretch>
                      </pic:blipFill>
                      <pic:spPr>
                        <a:xfrm>
                          <a:off x="0" y="0"/>
                          <a:ext cx="2114227" cy="548640"/>
                        </a:xfrm>
                        <a:prstGeom prst="rect">
                          <a:avLst/>
                        </a:prstGeom>
                      </pic:spPr>
                    </pic:pic>
                  </a:graphicData>
                </a:graphic>
              </wp:inline>
            </w:drawing>
          </w:r>
        </w:p>
      </w:tc>
      <w:tc>
        <w:tcPr>
          <w:tcW w:w="2160" w:type="dxa"/>
          <w:shd w:val="clear" w:color="auto" w:fill="auto"/>
          <w:noWrap/>
          <w:tcMar>
            <w:right w:w="144" w:type="dxa"/>
          </w:tcMar>
          <w:vAlign w:val="center"/>
        </w:tcPr>
        <w:p w:rsidRPr="00317390" w:rsidR="00317390" w:rsidP="00317390" w:rsidRDefault="00317390" w14:paraId="55B84DC4" w14:textId="51CFAC4F">
          <w:pPr>
            <w:pStyle w:val="Header"/>
            <w:jc w:val="right"/>
            <w:rPr>
              <w:b/>
              <w:sz w:val="20"/>
              <w:highlight w:val="yellow"/>
            </w:rPr>
          </w:pPr>
          <w:r w:rsidRPr="00317390">
            <w:rPr>
              <w:b/>
              <w:sz w:val="20"/>
              <w:highlight w:val="yellow"/>
            </w:rPr>
            <w:t>Optional: Department / Team / Division / Project Name Goes Here (Line breaks are automatic)</w:t>
          </w:r>
        </w:p>
      </w:tc>
    </w:tr>
  </w:tbl>
  <w:p w:rsidRPr="00317390" w:rsidR="004417C3" w:rsidP="00317390" w:rsidRDefault="004417C3" w14:paraId="4DBE8929" w14:textId="77777777">
    <w:pPr>
      <w:pStyle w:val="Header"/>
    </w:pPr>
    <w:r>
      <w:drawing>
        <wp:inline>
          <wp:extent cx="1080000" cy="284713"/>
          <wp:docPr id="2111791250" name="Picture 2111791250"/>
          <wp:cNvGraphicFramePr>
            <a:graphicFrameLocks noChangeAspect="1"/>
          </wp:cNvGraphicFramePr>
          <a:graphic>
            <a:graphicData uri="http://schemas.openxmlformats.org/drawingml/2006/picture">
              <pic:pic>
                <pic:nvPicPr>
                  <pic:cNvPr id="0" name="uhn_logo.png"/>
                  <pic:cNvPicPr/>
                </pic:nvPicPr>
                <pic:blipFill>
                  <a:blip r:embed="rId2"/>
                  <a:stretch>
                    <a:fillRect/>
                  </a:stretch>
                </pic:blipFill>
                <pic:spPr>
                  <a:xfrm>
                    <a:off x="0" y="0"/>
                    <a:ext cx="1080000" cy="284713"/>
                  </a:xfrm>
                  <a:prstGeom prst="rect"/>
                </pic:spPr>
              </pic:pic>
            </a:graphicData>
          </a:graphic>
        </wp:inline>
      </w:drawing>
    </w:r>
    <w:r>
      <w:rPr>
        <w:rFonts w:ascii="Arial" w:hAnsi="Arial"/>
        <w:color w:val="7F7F7F"/>
        <w:sz w:val="16"/>
      </w:rPr>
      <w:t xml:space="preserve">    Accessibility First Series | Guide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31517" w:rsidRDefault="00317390" w14:paraId="17378DCC" w14:textId="6959B8ED">
    <w:pPr>
      <w:pStyle w:val="Header"/>
    </w:pPr>
    <w:r>
      <w:rPr>
        <w:noProof/>
      </w:rPr>
    </w:r>
    <w:r w:rsidR="00317390">
      <w:rPr>
        <w:noProof/>
      </w:rPr>
      <w:pict w14:anchorId="321850E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735375154" style="position:absolute;margin-left:0;margin-top:0;width:630.2pt;height:810.2pt;z-index:-251652096;mso-wrap-edited:f;mso-width-percent:0;mso-height-percent:0;mso-position-horizontal:center;mso-position-horizontal-relative:margin;mso-position-vertical:center;mso-position-vertical-relative:margin;mso-width-percent:0;mso-height-percent:0" alt="" o:spid="_x0000_s1025" o:allowincell="f" type="#_x0000_t75">
          <v:imagedata o:title="UHN_Stationery_BG" r:id="rId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800C686"/>
    <w:lvl w:ilvl="0">
      <w:start w:val="1"/>
      <w:numFmt w:val="decimal"/>
      <w:pStyle w:val="ListNumber"/>
      <w:lvlText w:val="%1."/>
      <w:lvlJc w:val="left"/>
      <w:pPr>
        <w:tabs>
          <w:tab w:val="num" w:pos="360"/>
        </w:tabs>
        <w:ind w:left="360" w:hanging="360"/>
      </w:pPr>
    </w:lvl>
  </w:abstractNum>
  <w:abstractNum w:abstractNumId="1" w15:restartNumberingAfterBreak="0">
    <w:nsid w:val="01A9510C"/>
    <w:multiLevelType w:val="hybridMultilevel"/>
    <w:tmpl w:val="97E49B52"/>
    <w:lvl w:ilvl="0" w:tplc="8DA2E7D0">
      <w:numFmt w:val="bullet"/>
      <w:lvlText w:val="-"/>
      <w:lvlJc w:val="left"/>
      <w:pPr>
        <w:ind w:left="720" w:hanging="360"/>
      </w:pPr>
      <w:rPr>
        <w:rFonts w:hint="default" w:ascii="Helvetica" w:hAnsi="Helvetica" w:eastAsia="Aptos"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5047F81"/>
    <w:multiLevelType w:val="hybridMultilevel"/>
    <w:tmpl w:val="DF648BE2"/>
    <w:lvl w:ilvl="0" w:tplc="E3F4A578">
      <w:start w:val="1"/>
      <w:numFmt w:val="bullet"/>
      <w:pStyle w:val="NoSpacing"/>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 w15:restartNumberingAfterBreak="0">
    <w:nsid w:val="1E780BEE"/>
    <w:multiLevelType w:val="hybridMultilevel"/>
    <w:tmpl w:val="01E29E88"/>
    <w:lvl w:ilvl="0" w:tplc="888C06C4">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C070C54"/>
    <w:multiLevelType w:val="hybridMultilevel"/>
    <w:tmpl w:val="2E2EE468"/>
    <w:lvl w:ilvl="0" w:tplc="10090001">
      <w:start w:val="1"/>
      <w:numFmt w:val="bullet"/>
      <w:lvlText w:val=""/>
      <w:lvlJc w:val="left"/>
      <w:pPr>
        <w:ind w:left="700" w:hanging="360"/>
      </w:pPr>
      <w:rPr>
        <w:rFonts w:hint="default" w:ascii="Symbol" w:hAnsi="Symbol"/>
        <w:color w:val="C0233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34849003">
    <w:abstractNumId w:val="1"/>
  </w:num>
  <w:num w:numId="2" w16cid:durableId="1286886705">
    <w:abstractNumId w:val="3"/>
  </w:num>
  <w:num w:numId="3" w16cid:durableId="225728072">
    <w:abstractNumId w:val="0"/>
  </w:num>
  <w:num w:numId="4" w16cid:durableId="1874421657">
    <w:abstractNumId w:val="0"/>
  </w:num>
  <w:num w:numId="5" w16cid:durableId="435322202">
    <w:abstractNumId w:val="0"/>
  </w:num>
  <w:num w:numId="6" w16cid:durableId="1601523685">
    <w:abstractNumId w:val="0"/>
  </w:num>
  <w:num w:numId="7" w16cid:durableId="81336930">
    <w:abstractNumId w:val="0"/>
  </w:num>
  <w:num w:numId="8" w16cid:durableId="339939218">
    <w:abstractNumId w:val="0"/>
  </w:num>
  <w:num w:numId="9" w16cid:durableId="1874608457">
    <w:abstractNumId w:val="4"/>
  </w:num>
  <w:num w:numId="10" w16cid:durableId="186964304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354"/>
    <w:rsid w:val="000402D1"/>
    <w:rsid w:val="0007365D"/>
    <w:rsid w:val="000777AB"/>
    <w:rsid w:val="0009003D"/>
    <w:rsid w:val="000C2511"/>
    <w:rsid w:val="000C3460"/>
    <w:rsid w:val="000C77F6"/>
    <w:rsid w:val="000E4F24"/>
    <w:rsid w:val="000F754D"/>
    <w:rsid w:val="00117174"/>
    <w:rsid w:val="001B2C91"/>
    <w:rsid w:val="001E0E54"/>
    <w:rsid w:val="00242747"/>
    <w:rsid w:val="00247BD3"/>
    <w:rsid w:val="00251CFE"/>
    <w:rsid w:val="002527D9"/>
    <w:rsid w:val="002A0A8C"/>
    <w:rsid w:val="002D7381"/>
    <w:rsid w:val="00317390"/>
    <w:rsid w:val="0033169A"/>
    <w:rsid w:val="003444DA"/>
    <w:rsid w:val="00356AF8"/>
    <w:rsid w:val="0036232B"/>
    <w:rsid w:val="003644EC"/>
    <w:rsid w:val="00382D9B"/>
    <w:rsid w:val="003B2129"/>
    <w:rsid w:val="003B5694"/>
    <w:rsid w:val="003B7E92"/>
    <w:rsid w:val="003D4E3D"/>
    <w:rsid w:val="003F31DE"/>
    <w:rsid w:val="004417C3"/>
    <w:rsid w:val="00453F57"/>
    <w:rsid w:val="00456A4C"/>
    <w:rsid w:val="00465208"/>
    <w:rsid w:val="00475170"/>
    <w:rsid w:val="004927BC"/>
    <w:rsid w:val="00495F41"/>
    <w:rsid w:val="004D22F3"/>
    <w:rsid w:val="004D6E9D"/>
    <w:rsid w:val="005235EB"/>
    <w:rsid w:val="00526503"/>
    <w:rsid w:val="0053771B"/>
    <w:rsid w:val="00542CFF"/>
    <w:rsid w:val="00545D23"/>
    <w:rsid w:val="0055683C"/>
    <w:rsid w:val="00564202"/>
    <w:rsid w:val="005D2758"/>
    <w:rsid w:val="005E44A0"/>
    <w:rsid w:val="0061122F"/>
    <w:rsid w:val="006509F1"/>
    <w:rsid w:val="00673634"/>
    <w:rsid w:val="00676983"/>
    <w:rsid w:val="006E5E32"/>
    <w:rsid w:val="00731798"/>
    <w:rsid w:val="0075241B"/>
    <w:rsid w:val="0076093E"/>
    <w:rsid w:val="0076385C"/>
    <w:rsid w:val="00764D7F"/>
    <w:rsid w:val="00781AF9"/>
    <w:rsid w:val="007B794B"/>
    <w:rsid w:val="007F75F2"/>
    <w:rsid w:val="00800EF0"/>
    <w:rsid w:val="008141FE"/>
    <w:rsid w:val="00826D64"/>
    <w:rsid w:val="0084202A"/>
    <w:rsid w:val="0088233A"/>
    <w:rsid w:val="008F00A0"/>
    <w:rsid w:val="008F52B2"/>
    <w:rsid w:val="00903D53"/>
    <w:rsid w:val="009C758C"/>
    <w:rsid w:val="009D48D6"/>
    <w:rsid w:val="00A02D99"/>
    <w:rsid w:val="00A11954"/>
    <w:rsid w:val="00A12FAE"/>
    <w:rsid w:val="00A4411B"/>
    <w:rsid w:val="00A86F27"/>
    <w:rsid w:val="00AB512B"/>
    <w:rsid w:val="00B02D5D"/>
    <w:rsid w:val="00B478B0"/>
    <w:rsid w:val="00B73AF1"/>
    <w:rsid w:val="00B84CD1"/>
    <w:rsid w:val="00BB0B12"/>
    <w:rsid w:val="00BB1518"/>
    <w:rsid w:val="00BC7528"/>
    <w:rsid w:val="00BD777D"/>
    <w:rsid w:val="00BF3FB6"/>
    <w:rsid w:val="00C2789E"/>
    <w:rsid w:val="00C31517"/>
    <w:rsid w:val="00C33A03"/>
    <w:rsid w:val="00C63A08"/>
    <w:rsid w:val="00C75D33"/>
    <w:rsid w:val="00CE3944"/>
    <w:rsid w:val="00CE7E7B"/>
    <w:rsid w:val="00D537A5"/>
    <w:rsid w:val="00D703D9"/>
    <w:rsid w:val="00D725C7"/>
    <w:rsid w:val="00D7494E"/>
    <w:rsid w:val="00D749B7"/>
    <w:rsid w:val="00D85DF3"/>
    <w:rsid w:val="00DF1AC6"/>
    <w:rsid w:val="00E03734"/>
    <w:rsid w:val="00E04F4D"/>
    <w:rsid w:val="00E372A2"/>
    <w:rsid w:val="00E725A4"/>
    <w:rsid w:val="00E774EF"/>
    <w:rsid w:val="00E95D64"/>
    <w:rsid w:val="00EB51EE"/>
    <w:rsid w:val="00EF2BD8"/>
    <w:rsid w:val="00F0696A"/>
    <w:rsid w:val="00F356E2"/>
    <w:rsid w:val="00F67251"/>
    <w:rsid w:val="00F73212"/>
    <w:rsid w:val="00F85719"/>
    <w:rsid w:val="00FA0354"/>
    <w:rsid w:val="00FF1FC8"/>
    <w:rsid w:val="056FFB67"/>
    <w:rsid w:val="1027F1DF"/>
    <w:rsid w:val="10FB65B1"/>
    <w:rsid w:val="16F8F713"/>
    <w:rsid w:val="1830EB93"/>
    <w:rsid w:val="1A626D90"/>
    <w:rsid w:val="21540AE0"/>
    <w:rsid w:val="25B1913B"/>
    <w:rsid w:val="263D62B5"/>
    <w:rsid w:val="26E4CFFB"/>
    <w:rsid w:val="2CED0572"/>
    <w:rsid w:val="2D1E2D5D"/>
    <w:rsid w:val="2D601C9C"/>
    <w:rsid w:val="3389C0EC"/>
    <w:rsid w:val="3975211A"/>
    <w:rsid w:val="39F2419E"/>
    <w:rsid w:val="3EAAA2D4"/>
    <w:rsid w:val="4086E7E9"/>
    <w:rsid w:val="4B714751"/>
    <w:rsid w:val="54F840B3"/>
    <w:rsid w:val="612E6210"/>
    <w:rsid w:val="61625015"/>
    <w:rsid w:val="61C49DE8"/>
    <w:rsid w:val="65A81877"/>
    <w:rsid w:val="668BFB63"/>
    <w:rsid w:val="6FD1BCDD"/>
    <w:rsid w:val="71751C06"/>
    <w:rsid w:val="733A4DE7"/>
    <w:rsid w:val="78982071"/>
    <w:rsid w:val="7B7AADD4"/>
    <w:rsid w:val="7DC1C4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DFE5D"/>
  <w15:chartTrackingRefBased/>
  <w15:docId w15:val="{5B918D9C-5923-44C8-B789-F10BA1E2C7B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ptos" w:hAnsi="Aptos" w:eastAsia="Aptos"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2FAE"/>
    <w:pPr>
      <w:spacing w:after="120" w:line="276" w:lineRule="auto"/>
    </w:pPr>
    <w:rPr>
      <w:rFonts w:ascii="Arial" w:hAnsi="Arial" w:cs="Arial"/>
      <w:color w:val="2E3D49"/>
      <w:kern w:val="2"/>
      <w:sz w:val="22"/>
      <w:szCs w:val="24"/>
    </w:rPr>
  </w:style>
  <w:style w:type="paragraph" w:styleId="Heading1">
    <w:name w:val="heading 1"/>
    <w:basedOn w:val="Title"/>
    <w:next w:val="Normal"/>
    <w:link w:val="Heading1Char"/>
    <w:uiPriority w:val="9"/>
    <w:qFormat/>
    <w:rsid w:val="00C2789E"/>
    <w:pPr>
      <w:spacing w:before="480" w:after="240"/>
      <w:contextualSpacing w:val="0"/>
      <w:outlineLvl w:val="0"/>
    </w:pPr>
    <w:rPr>
      <w:rFonts w:ascii="Arial" w:hAnsi="Arial"/>
      <w:b/>
      <w:color w:val="192858"/>
      <w:sz w:val="32"/>
    </w:rPr>
  </w:style>
  <w:style w:type="paragraph" w:styleId="Heading2">
    <w:name w:val="heading 2"/>
    <w:basedOn w:val="Normal"/>
    <w:next w:val="Normal"/>
    <w:link w:val="Heading2Char"/>
    <w:uiPriority w:val="9"/>
    <w:unhideWhenUsed/>
    <w:qFormat/>
    <w:rsid w:val="00EB51EE"/>
    <w:pPr>
      <w:keepNext/>
      <w:keepLines/>
      <w:spacing w:before="360" w:after="160"/>
      <w:outlineLvl w:val="1"/>
    </w:pPr>
    <w:rPr>
      <w:rFonts w:eastAsia="Times New Roman" w:cs="Times New Roman" w:ascii="Arial" w:hAnsi="Arial"/>
      <w:b/>
      <w:color w:val="192858"/>
      <w:sz w:val="28"/>
      <w:szCs w:val="32"/>
    </w:rPr>
  </w:style>
  <w:style w:type="paragraph" w:styleId="Heading3">
    <w:name w:val="heading 3"/>
    <w:basedOn w:val="Normal"/>
    <w:next w:val="Normal"/>
    <w:link w:val="Heading3Char"/>
    <w:uiPriority w:val="9"/>
    <w:unhideWhenUsed/>
    <w:qFormat/>
    <w:rsid w:val="00E372A2"/>
    <w:pPr>
      <w:keepNext/>
      <w:keepLines/>
      <w:spacing w:before="240" w:after="120"/>
      <w:outlineLvl w:val="2"/>
    </w:pPr>
    <w:rPr>
      <w:rFonts w:eastAsia="Times New Roman" w:cs="Times New Roman" w:ascii="Arial" w:hAnsi="Arial"/>
      <w:b w:val="0"/>
      <w:color w:val="245BAA"/>
      <w:sz w:val="24"/>
      <w:szCs w:val="28"/>
    </w:rPr>
  </w:style>
  <w:style w:type="paragraph" w:styleId="Heading4">
    <w:name w:val="heading 4"/>
    <w:aliases w:val="Indented Heading"/>
    <w:basedOn w:val="Normal"/>
    <w:next w:val="Normal"/>
    <w:link w:val="Heading4Char"/>
    <w:uiPriority w:val="9"/>
    <w:unhideWhenUsed/>
    <w:qFormat/>
    <w:rsid w:val="001B2C91"/>
    <w:pPr>
      <w:keepNext/>
      <w:keepLines/>
      <w:spacing w:before="160" w:after="80"/>
      <w:ind w:left="720"/>
      <w:outlineLvl w:val="3"/>
    </w:pPr>
    <w:rPr>
      <w:rFonts w:eastAsia="Times New Roman" w:cs="Times New Roman (Headings CS)" w:ascii="Arial" w:hAnsi="Arial"/>
      <w:b/>
      <w:iCs/>
      <w:smallCaps/>
      <w:color w:val="192858"/>
      <w:sz w:val="24"/>
    </w:rPr>
  </w:style>
  <w:style w:type="paragraph" w:styleId="Heading5">
    <w:name w:val="heading 5"/>
    <w:basedOn w:val="Normal"/>
    <w:next w:val="Normal"/>
    <w:link w:val="Heading5Char"/>
    <w:uiPriority w:val="9"/>
    <w:unhideWhenUsed/>
    <w:rsid w:val="0076093E"/>
    <w:pPr>
      <w:keepNext/>
      <w:keepLines/>
      <w:spacing w:before="80" w:after="40"/>
      <w:outlineLvl w:val="4"/>
    </w:pPr>
    <w:rPr>
      <w:rFonts w:eastAsia="Times New Roman" w:cs="Times New Roman"/>
      <w:color w:val="0F4761"/>
    </w:rPr>
  </w:style>
  <w:style w:type="paragraph" w:styleId="Heading6">
    <w:name w:val="heading 6"/>
    <w:basedOn w:val="Normal"/>
    <w:next w:val="Normal"/>
    <w:link w:val="Heading6Char"/>
    <w:uiPriority w:val="9"/>
    <w:unhideWhenUsed/>
    <w:rsid w:val="0076093E"/>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76093E"/>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76093E"/>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76093E"/>
    <w:pPr>
      <w:keepNext/>
      <w:keepLines/>
      <w:spacing w:after="0"/>
      <w:outlineLvl w:val="8"/>
    </w:pPr>
    <w:rPr>
      <w:rFonts w:eastAsia="Times New Roman" w:cs="Times New Roman"/>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C2789E"/>
    <w:rPr>
      <w:rFonts w:ascii="Arial" w:hAnsi="Arial" w:eastAsia="Times New Roman"/>
      <w:b/>
      <w:color w:val="192958"/>
      <w:spacing w:val="-10"/>
      <w:kern w:val="28"/>
      <w:sz w:val="32"/>
      <w:szCs w:val="56"/>
    </w:rPr>
  </w:style>
  <w:style w:type="character" w:styleId="Heading2Char" w:customStyle="1">
    <w:name w:val="Heading 2 Char"/>
    <w:link w:val="Heading2"/>
    <w:uiPriority w:val="9"/>
    <w:rsid w:val="00EB51EE"/>
    <w:rPr>
      <w:rFonts w:ascii="Arial" w:hAnsi="Arial" w:eastAsia="Times New Roman"/>
      <w:b/>
      <w:kern w:val="2"/>
      <w:sz w:val="28"/>
      <w:szCs w:val="32"/>
    </w:rPr>
  </w:style>
  <w:style w:type="character" w:styleId="Heading3Char" w:customStyle="1">
    <w:name w:val="Heading 3 Char"/>
    <w:link w:val="Heading3"/>
    <w:uiPriority w:val="9"/>
    <w:rsid w:val="00E372A2"/>
    <w:rPr>
      <w:rFonts w:ascii="Arial" w:hAnsi="Arial" w:eastAsia="Times New Roman"/>
      <w:color w:val="255CAA"/>
      <w:kern w:val="2"/>
      <w:sz w:val="24"/>
      <w:szCs w:val="28"/>
    </w:rPr>
  </w:style>
  <w:style w:type="character" w:styleId="Heading4Char" w:customStyle="1">
    <w:name w:val="Heading 4 Char"/>
    <w:aliases w:val="Indented Heading Char"/>
    <w:link w:val="Heading4"/>
    <w:uiPriority w:val="9"/>
    <w:rsid w:val="001B2C91"/>
    <w:rPr>
      <w:rFonts w:ascii="Arial" w:hAnsi="Arial" w:eastAsia="Times New Roman" w:cs="Times New Roman (Headings CS)"/>
      <w:b/>
      <w:iCs/>
      <w:smallCaps/>
      <w:kern w:val="2"/>
      <w:sz w:val="24"/>
      <w:szCs w:val="24"/>
    </w:rPr>
  </w:style>
  <w:style w:type="character" w:styleId="Heading5Char" w:customStyle="1">
    <w:name w:val="Heading 5 Char"/>
    <w:link w:val="Heading5"/>
    <w:uiPriority w:val="9"/>
    <w:rsid w:val="0076093E"/>
    <w:rPr>
      <w:rFonts w:eastAsia="Times New Roman" w:cs="Times New Roman"/>
      <w:color w:val="0F4761"/>
    </w:rPr>
  </w:style>
  <w:style w:type="character" w:styleId="Heading6Char" w:customStyle="1">
    <w:name w:val="Heading 6 Char"/>
    <w:link w:val="Heading6"/>
    <w:uiPriority w:val="9"/>
    <w:rsid w:val="0076093E"/>
    <w:rPr>
      <w:rFonts w:eastAsia="Times New Roman" w:cs="Times New Roman"/>
      <w:i/>
      <w:iCs/>
      <w:color w:val="595959"/>
    </w:rPr>
  </w:style>
  <w:style w:type="character" w:styleId="Heading7Char" w:customStyle="1">
    <w:name w:val="Heading 7 Char"/>
    <w:link w:val="Heading7"/>
    <w:uiPriority w:val="9"/>
    <w:semiHidden/>
    <w:rsid w:val="0076093E"/>
    <w:rPr>
      <w:rFonts w:eastAsia="Times New Roman" w:cs="Times New Roman"/>
      <w:color w:val="595959"/>
    </w:rPr>
  </w:style>
  <w:style w:type="character" w:styleId="Heading8Char" w:customStyle="1">
    <w:name w:val="Heading 8 Char"/>
    <w:link w:val="Heading8"/>
    <w:uiPriority w:val="9"/>
    <w:semiHidden/>
    <w:rsid w:val="0076093E"/>
    <w:rPr>
      <w:rFonts w:eastAsia="Times New Roman" w:cs="Times New Roman"/>
      <w:i/>
      <w:iCs/>
      <w:color w:val="272727"/>
    </w:rPr>
  </w:style>
  <w:style w:type="character" w:styleId="Heading9Char" w:customStyle="1">
    <w:name w:val="Heading 9 Char"/>
    <w:link w:val="Heading9"/>
    <w:uiPriority w:val="9"/>
    <w:semiHidden/>
    <w:rsid w:val="0076093E"/>
    <w:rPr>
      <w:rFonts w:eastAsia="Times New Roman" w:cs="Times New Roman"/>
      <w:color w:val="272727"/>
    </w:rPr>
  </w:style>
  <w:style w:type="paragraph" w:styleId="Title">
    <w:name w:val="Title"/>
    <w:basedOn w:val="Normal"/>
    <w:next w:val="Normal"/>
    <w:link w:val="TitleChar"/>
    <w:uiPriority w:val="10"/>
    <w:qFormat/>
    <w:rsid w:val="00BB1518"/>
    <w:pPr>
      <w:spacing w:before="240" w:after="240" w:line="259" w:lineRule="auto"/>
      <w:contextualSpacing/>
    </w:pPr>
    <w:rPr>
      <w:rFonts w:eastAsia="Times New Roman" w:cs="Times New Roman"/>
      <w:b/>
      <w:color w:val="192958"/>
      <w:spacing w:val="-10"/>
      <w:kern w:val="28"/>
      <w:sz w:val="44"/>
      <w:szCs w:val="56"/>
    </w:rPr>
  </w:style>
  <w:style w:type="character" w:styleId="TitleChar" w:customStyle="1">
    <w:name w:val="Title Char"/>
    <w:link w:val="Title"/>
    <w:uiPriority w:val="10"/>
    <w:rsid w:val="00BB1518"/>
    <w:rPr>
      <w:rFonts w:ascii="Arial" w:hAnsi="Arial" w:eastAsia="Times New Roman"/>
      <w:b/>
      <w:color w:val="192958"/>
      <w:spacing w:val="-10"/>
      <w:kern w:val="28"/>
      <w:sz w:val="44"/>
      <w:szCs w:val="56"/>
    </w:rPr>
  </w:style>
  <w:style w:type="paragraph" w:styleId="Subtitle">
    <w:name w:val="Subtitle"/>
    <w:basedOn w:val="Normal"/>
    <w:next w:val="Normal"/>
    <w:link w:val="SubtitleChar"/>
    <w:uiPriority w:val="11"/>
    <w:qFormat/>
    <w:rsid w:val="005E44A0"/>
    <w:pPr>
      <w:numPr>
        <w:ilvl w:val="1"/>
      </w:numPr>
      <w:spacing w:before="40" w:after="240"/>
    </w:pPr>
    <w:rPr>
      <w:rFonts w:eastAsia="Times New Roman" w:cs="Times New Roman"/>
      <w:spacing w:val="6"/>
      <w:sz w:val="28"/>
      <w:szCs w:val="28"/>
    </w:rPr>
  </w:style>
  <w:style w:type="character" w:styleId="SubtitleChar" w:customStyle="1">
    <w:name w:val="Subtitle Char"/>
    <w:link w:val="Subtitle"/>
    <w:uiPriority w:val="11"/>
    <w:rsid w:val="005E44A0"/>
    <w:rPr>
      <w:rFonts w:ascii="Arial" w:hAnsi="Arial" w:eastAsia="Times New Roman"/>
      <w:spacing w:val="6"/>
      <w:kern w:val="2"/>
      <w:sz w:val="28"/>
      <w:szCs w:val="28"/>
    </w:rPr>
  </w:style>
  <w:style w:type="paragraph" w:styleId="Quote">
    <w:name w:val="Quote"/>
    <w:aliases w:val="Intented Body"/>
    <w:basedOn w:val="Normal"/>
    <w:next w:val="Normal"/>
    <w:link w:val="QuoteChar"/>
    <w:uiPriority w:val="29"/>
    <w:qFormat/>
    <w:rsid w:val="00545D23"/>
    <w:pPr>
      <w:spacing w:before="120"/>
      <w:ind w:left="737"/>
    </w:pPr>
    <w:rPr>
      <w:iCs/>
    </w:rPr>
  </w:style>
  <w:style w:type="character" w:styleId="QuoteChar" w:customStyle="1">
    <w:name w:val="Quote Char"/>
    <w:aliases w:val="Intented Body Char"/>
    <w:link w:val="Quote"/>
    <w:uiPriority w:val="29"/>
    <w:rsid w:val="00545D23"/>
    <w:rPr>
      <w:rFonts w:ascii="Arial" w:hAnsi="Arial" w:cs="Arial"/>
      <w:iCs/>
      <w:kern w:val="2"/>
      <w:sz w:val="22"/>
      <w:szCs w:val="24"/>
    </w:rPr>
  </w:style>
  <w:style w:type="paragraph" w:styleId="ListParagraph">
    <w:name w:val="List Paragraph"/>
    <w:basedOn w:val="Normal"/>
    <w:uiPriority w:val="34"/>
    <w:rsid w:val="003644EC"/>
    <w:pPr>
      <w:ind w:left="720"/>
      <w:contextualSpacing/>
    </w:pPr>
    <w:rPr>
      <w:color w:val="192958"/>
    </w:rPr>
  </w:style>
  <w:style w:type="character" w:styleId="IntenseEmphasis">
    <w:name w:val="Intense Emphasis"/>
    <w:uiPriority w:val="21"/>
    <w:rsid w:val="003644EC"/>
    <w:rPr>
      <w:rFonts w:ascii="Arial" w:hAnsi="Arial"/>
      <w:b w:val="0"/>
      <w:i/>
      <w:iCs/>
      <w:color w:val="192958"/>
    </w:rPr>
  </w:style>
  <w:style w:type="paragraph" w:styleId="IntenseQuote">
    <w:name w:val="Intense Quote"/>
    <w:aliases w:val="Banded Subheading"/>
    <w:basedOn w:val="Normal"/>
    <w:next w:val="Normal"/>
    <w:link w:val="IntenseQuoteChar"/>
    <w:uiPriority w:val="30"/>
    <w:qFormat/>
    <w:rsid w:val="00BB1518"/>
    <w:pPr>
      <w:shd w:val="clear" w:color="auto" w:fill="255CAA"/>
      <w:tabs>
        <w:tab w:val="left" w:pos="454"/>
      </w:tabs>
      <w:spacing w:before="240" w:after="240"/>
    </w:pPr>
    <w:rPr>
      <w:b/>
      <w:iCs/>
      <w:color w:val="FFFFFF" w:themeColor="background1"/>
    </w:rPr>
  </w:style>
  <w:style w:type="character" w:styleId="IntenseQuoteChar" w:customStyle="1">
    <w:name w:val="Intense Quote Char"/>
    <w:aliases w:val="Banded Subheading Char"/>
    <w:link w:val="IntenseQuote"/>
    <w:uiPriority w:val="30"/>
    <w:rsid w:val="00BB1518"/>
    <w:rPr>
      <w:rFonts w:ascii="Arial" w:hAnsi="Arial" w:cs="Arial"/>
      <w:b/>
      <w:iCs/>
      <w:color w:val="FFFFFF" w:themeColor="background1"/>
      <w:kern w:val="2"/>
      <w:sz w:val="22"/>
      <w:szCs w:val="24"/>
      <w:shd w:val="clear" w:color="auto" w:fill="255CAA"/>
    </w:rPr>
  </w:style>
  <w:style w:type="character" w:styleId="IntenseReference">
    <w:name w:val="Intense Reference"/>
    <w:uiPriority w:val="32"/>
    <w:qFormat/>
    <w:rsid w:val="003644EC"/>
    <w:rPr>
      <w:b/>
      <w:bCs/>
      <w:smallCaps/>
      <w:color w:val="192958"/>
      <w:spacing w:val="5"/>
    </w:rPr>
  </w:style>
  <w:style w:type="paragraph" w:styleId="Header">
    <w:name w:val="header"/>
    <w:basedOn w:val="Normal"/>
    <w:link w:val="HeaderChar"/>
    <w:uiPriority w:val="99"/>
    <w:unhideWhenUsed/>
    <w:qFormat/>
    <w:rsid w:val="0076093E"/>
    <w:pPr>
      <w:tabs>
        <w:tab w:val="center" w:pos="4680"/>
        <w:tab w:val="right" w:pos="9360"/>
      </w:tabs>
      <w:spacing w:after="0"/>
    </w:pPr>
  </w:style>
  <w:style w:type="character" w:styleId="HeaderChar" w:customStyle="1">
    <w:name w:val="Header Char"/>
    <w:basedOn w:val="DefaultParagraphFont"/>
    <w:link w:val="Header"/>
    <w:uiPriority w:val="99"/>
    <w:rsid w:val="0076093E"/>
  </w:style>
  <w:style w:type="paragraph" w:styleId="Footer">
    <w:name w:val="footer"/>
    <w:basedOn w:val="Normal"/>
    <w:link w:val="FooterChar"/>
    <w:uiPriority w:val="99"/>
    <w:unhideWhenUsed/>
    <w:qFormat/>
    <w:rsid w:val="00C31517"/>
    <w:pPr>
      <w:tabs>
        <w:tab w:val="center" w:pos="4680"/>
        <w:tab w:val="right" w:pos="9360"/>
      </w:tabs>
      <w:spacing w:after="0"/>
    </w:pPr>
    <w:rPr>
      <w:color w:val="7F7F7F"/>
      <w:sz w:val="18"/>
    </w:rPr>
  </w:style>
  <w:style w:type="character" w:styleId="FooterChar" w:customStyle="1">
    <w:name w:val="Footer Char"/>
    <w:link w:val="Footer"/>
    <w:uiPriority w:val="99"/>
    <w:rsid w:val="00C31517"/>
    <w:rPr>
      <w:rFonts w:ascii="Arial" w:hAnsi="Arial" w:cs="Arial"/>
      <w:color w:val="7F7F7F"/>
      <w:sz w:val="18"/>
    </w:rPr>
  </w:style>
  <w:style w:type="paragraph" w:styleId="NoSpacing">
    <w:name w:val="No Spacing"/>
    <w:aliases w:val="Bullet"/>
    <w:uiPriority w:val="1"/>
    <w:qFormat/>
    <w:rsid w:val="000C2511"/>
    <w:pPr>
      <w:numPr>
        <w:numId w:val="10"/>
      </w:numPr>
      <w:spacing w:after="40"/>
    </w:pPr>
    <w:rPr>
      <w:rFonts w:ascii="Arial" w:hAnsi="Arial" w:cs="Arial"/>
      <w:kern w:val="2"/>
      <w:sz w:val="22"/>
      <w:szCs w:val="22"/>
    </w:rPr>
  </w:style>
  <w:style w:type="character" w:styleId="SubtleEmphasis">
    <w:name w:val="Subtle Emphasis"/>
    <w:uiPriority w:val="19"/>
    <w:qFormat/>
    <w:rsid w:val="003644EC"/>
    <w:rPr>
      <w:rFonts w:ascii="Arial" w:hAnsi="Arial"/>
      <w:b w:val="0"/>
      <w:i w:val="0"/>
      <w:iCs/>
      <w:color w:val="192958"/>
    </w:rPr>
  </w:style>
  <w:style w:type="character" w:styleId="Emphasis">
    <w:name w:val="Emphasis"/>
    <w:uiPriority w:val="20"/>
    <w:qFormat/>
    <w:rsid w:val="003644EC"/>
    <w:rPr>
      <w:i/>
      <w:iCs/>
    </w:rPr>
  </w:style>
  <w:style w:type="character" w:styleId="Strong">
    <w:name w:val="Strong"/>
    <w:uiPriority w:val="22"/>
    <w:qFormat/>
    <w:rsid w:val="003644EC"/>
    <w:rPr>
      <w:rFonts w:ascii="Arial" w:hAnsi="Arial"/>
      <w:b/>
      <w:bCs/>
      <w:i w:val="0"/>
      <w:color w:val="192958"/>
    </w:rPr>
  </w:style>
  <w:style w:type="character" w:styleId="SubtleReference">
    <w:name w:val="Subtle Reference"/>
    <w:uiPriority w:val="31"/>
    <w:qFormat/>
    <w:rsid w:val="003644EC"/>
    <w:rPr>
      <w:smallCaps/>
      <w:color w:val="192958"/>
    </w:rPr>
  </w:style>
  <w:style w:type="paragraph" w:styleId="ListNumber">
    <w:name w:val="List Number"/>
    <w:basedOn w:val="Normal"/>
    <w:uiPriority w:val="99"/>
    <w:unhideWhenUsed/>
    <w:qFormat/>
    <w:rsid w:val="00826D64"/>
    <w:pPr>
      <w:numPr>
        <w:numId w:val="3"/>
      </w:numPr>
      <w:spacing w:after="40"/>
      <w:ind w:left="357" w:hanging="357"/>
    </w:pPr>
  </w:style>
  <w:style w:type="character" w:styleId="normaltextrun" w:customStyle="1">
    <w:name w:val="normaltextrun"/>
    <w:basedOn w:val="DefaultParagraphFont"/>
    <w:rsid w:val="00E725A4"/>
  </w:style>
  <w:style w:type="character" w:styleId="eop" w:customStyle="1">
    <w:name w:val="eop"/>
    <w:basedOn w:val="DefaultParagraphFont"/>
    <w:rsid w:val="00E725A4"/>
  </w:style>
  <w:style w:type="paragraph" w:styleId="paragraph" w:customStyle="1">
    <w:name w:val="paragraph"/>
    <w:basedOn w:val="Normal"/>
    <w:rsid w:val="000777AB"/>
    <w:pPr>
      <w:spacing w:before="100" w:beforeAutospacing="1" w:after="100" w:afterAutospacing="1"/>
    </w:pPr>
    <w:rPr>
      <w:rFonts w:ascii="Times New Roman" w:hAnsi="Times New Roman" w:eastAsia="Times New Roman" w:cs="Times New Roman"/>
      <w:kern w:val="0"/>
      <w:lang w:eastAsia="en-CA"/>
    </w:rPr>
  </w:style>
  <w:style w:type="character" w:styleId="BookTitle">
    <w:name w:val="Book Title"/>
    <w:basedOn w:val="DefaultParagraphFont"/>
    <w:uiPriority w:val="33"/>
    <w:qFormat/>
    <w:rsid w:val="00BB1518"/>
    <w:rPr>
      <w:rFonts w:ascii="Arial" w:hAnsi="Arial"/>
      <w:b w:val="0"/>
      <w:bCs/>
      <w:i w:val="0"/>
      <w:iCs/>
      <w:caps w:val="0"/>
      <w:smallCaps w:val="0"/>
      <w:strike w:val="0"/>
      <w:dstrike w:val="0"/>
      <w:vanish w:val="0"/>
      <w:color w:val="213576" w:themeColor="text2" w:themeTint="E6"/>
      <w:spacing w:val="5"/>
      <w:sz w:val="24"/>
      <w:vertAlign w:val="baseline"/>
    </w:r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rFonts w:ascii="Arial" w:hAnsi="Arial" w:cs="Arial"/>
      <w:kern w:val="2"/>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478B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478B0"/>
    <w:rPr>
      <w:rFonts w:ascii="Segoe UI" w:hAnsi="Segoe UI" w:cs="Segoe UI"/>
      <w:kern w:val="2"/>
      <w:sz w:val="18"/>
      <w:szCs w:val="18"/>
    </w:rPr>
  </w:style>
  <w:style w:type="table" w:styleId="TableGrid">
    <w:name w:val="Table Grid"/>
    <w:basedOn w:val="TableNormal"/>
    <w:uiPriority w:val="39"/>
    <w:rsid w:val="004417C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243748">
      <w:bodyDiv w:val="1"/>
      <w:marLeft w:val="0"/>
      <w:marRight w:val="0"/>
      <w:marTop w:val="0"/>
      <w:marBottom w:val="0"/>
      <w:divBdr>
        <w:top w:val="none" w:sz="0" w:space="0" w:color="auto"/>
        <w:left w:val="none" w:sz="0" w:space="0" w:color="auto"/>
        <w:bottom w:val="none" w:sz="0" w:space="0" w:color="auto"/>
        <w:right w:val="none" w:sz="0" w:space="0" w:color="auto"/>
      </w:divBdr>
      <w:divsChild>
        <w:div w:id="1353413835">
          <w:marLeft w:val="0"/>
          <w:marRight w:val="0"/>
          <w:marTop w:val="0"/>
          <w:marBottom w:val="0"/>
          <w:divBdr>
            <w:top w:val="none" w:sz="0" w:space="0" w:color="auto"/>
            <w:left w:val="none" w:sz="0" w:space="0" w:color="auto"/>
            <w:bottom w:val="none" w:sz="0" w:space="0" w:color="auto"/>
            <w:right w:val="none" w:sz="0" w:space="0" w:color="auto"/>
          </w:divBdr>
          <w:divsChild>
            <w:div w:id="119881127">
              <w:marLeft w:val="0"/>
              <w:marRight w:val="0"/>
              <w:marTop w:val="0"/>
              <w:marBottom w:val="0"/>
              <w:divBdr>
                <w:top w:val="none" w:sz="0" w:space="0" w:color="auto"/>
                <w:left w:val="none" w:sz="0" w:space="0" w:color="auto"/>
                <w:bottom w:val="none" w:sz="0" w:space="0" w:color="auto"/>
                <w:right w:val="none" w:sz="0" w:space="0" w:color="auto"/>
              </w:divBdr>
            </w:div>
            <w:div w:id="1434671913">
              <w:marLeft w:val="0"/>
              <w:marRight w:val="0"/>
              <w:marTop w:val="0"/>
              <w:marBottom w:val="0"/>
              <w:divBdr>
                <w:top w:val="none" w:sz="0" w:space="0" w:color="auto"/>
                <w:left w:val="none" w:sz="0" w:space="0" w:color="auto"/>
                <w:bottom w:val="none" w:sz="0" w:space="0" w:color="auto"/>
                <w:right w:val="none" w:sz="0" w:space="0" w:color="auto"/>
              </w:divBdr>
            </w:div>
          </w:divsChild>
        </w:div>
        <w:div w:id="46222869">
          <w:marLeft w:val="0"/>
          <w:marRight w:val="0"/>
          <w:marTop w:val="0"/>
          <w:marBottom w:val="0"/>
          <w:divBdr>
            <w:top w:val="none" w:sz="0" w:space="0" w:color="auto"/>
            <w:left w:val="none" w:sz="0" w:space="0" w:color="auto"/>
            <w:bottom w:val="none" w:sz="0" w:space="0" w:color="auto"/>
            <w:right w:val="none" w:sz="0" w:space="0" w:color="auto"/>
          </w:divBdr>
          <w:divsChild>
            <w:div w:id="1008412364">
              <w:marLeft w:val="0"/>
              <w:marRight w:val="0"/>
              <w:marTop w:val="0"/>
              <w:marBottom w:val="0"/>
              <w:divBdr>
                <w:top w:val="none" w:sz="0" w:space="0" w:color="auto"/>
                <w:left w:val="none" w:sz="0" w:space="0" w:color="auto"/>
                <w:bottom w:val="none" w:sz="0" w:space="0" w:color="auto"/>
                <w:right w:val="none" w:sz="0" w:space="0" w:color="auto"/>
              </w:divBdr>
            </w:div>
            <w:div w:id="2076852074">
              <w:marLeft w:val="0"/>
              <w:marRight w:val="0"/>
              <w:marTop w:val="0"/>
              <w:marBottom w:val="0"/>
              <w:divBdr>
                <w:top w:val="none" w:sz="0" w:space="0" w:color="auto"/>
                <w:left w:val="none" w:sz="0" w:space="0" w:color="auto"/>
                <w:bottom w:val="none" w:sz="0" w:space="0" w:color="auto"/>
                <w:right w:val="none" w:sz="0" w:space="0" w:color="auto"/>
              </w:divBdr>
            </w:div>
            <w:div w:id="14229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4429">
      <w:bodyDiv w:val="1"/>
      <w:marLeft w:val="0"/>
      <w:marRight w:val="0"/>
      <w:marTop w:val="0"/>
      <w:marBottom w:val="0"/>
      <w:divBdr>
        <w:top w:val="none" w:sz="0" w:space="0" w:color="auto"/>
        <w:left w:val="none" w:sz="0" w:space="0" w:color="auto"/>
        <w:bottom w:val="none" w:sz="0" w:space="0" w:color="auto"/>
        <w:right w:val="none" w:sz="0" w:space="0" w:color="auto"/>
      </w:divBdr>
      <w:divsChild>
        <w:div w:id="1256014252">
          <w:marLeft w:val="0"/>
          <w:marRight w:val="0"/>
          <w:marTop w:val="0"/>
          <w:marBottom w:val="0"/>
          <w:divBdr>
            <w:top w:val="none" w:sz="0" w:space="0" w:color="auto"/>
            <w:left w:val="none" w:sz="0" w:space="0" w:color="auto"/>
            <w:bottom w:val="none" w:sz="0" w:space="0" w:color="auto"/>
            <w:right w:val="none" w:sz="0" w:space="0" w:color="auto"/>
          </w:divBdr>
          <w:divsChild>
            <w:div w:id="350421137">
              <w:marLeft w:val="0"/>
              <w:marRight w:val="0"/>
              <w:marTop w:val="0"/>
              <w:marBottom w:val="0"/>
              <w:divBdr>
                <w:top w:val="none" w:sz="0" w:space="0" w:color="auto"/>
                <w:left w:val="none" w:sz="0" w:space="0" w:color="auto"/>
                <w:bottom w:val="none" w:sz="0" w:space="0" w:color="auto"/>
                <w:right w:val="none" w:sz="0" w:space="0" w:color="auto"/>
              </w:divBdr>
              <w:divsChild>
                <w:div w:id="642541946">
                  <w:marLeft w:val="0"/>
                  <w:marRight w:val="0"/>
                  <w:marTop w:val="0"/>
                  <w:marBottom w:val="0"/>
                  <w:divBdr>
                    <w:top w:val="none" w:sz="0" w:space="0" w:color="auto"/>
                    <w:left w:val="none" w:sz="0" w:space="0" w:color="auto"/>
                    <w:bottom w:val="none" w:sz="0" w:space="0" w:color="auto"/>
                    <w:right w:val="none" w:sz="0" w:space="0" w:color="auto"/>
                  </w:divBdr>
                  <w:divsChild>
                    <w:div w:id="10784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229415">
          <w:marLeft w:val="0"/>
          <w:marRight w:val="0"/>
          <w:marTop w:val="0"/>
          <w:marBottom w:val="0"/>
          <w:divBdr>
            <w:top w:val="none" w:sz="0" w:space="0" w:color="auto"/>
            <w:left w:val="none" w:sz="0" w:space="0" w:color="auto"/>
            <w:bottom w:val="none" w:sz="0" w:space="0" w:color="auto"/>
            <w:right w:val="none" w:sz="0" w:space="0" w:color="auto"/>
          </w:divBdr>
          <w:divsChild>
            <w:div w:id="597906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2077587">
      <w:bodyDiv w:val="1"/>
      <w:marLeft w:val="0"/>
      <w:marRight w:val="0"/>
      <w:marTop w:val="0"/>
      <w:marBottom w:val="0"/>
      <w:divBdr>
        <w:top w:val="none" w:sz="0" w:space="0" w:color="auto"/>
        <w:left w:val="none" w:sz="0" w:space="0" w:color="auto"/>
        <w:bottom w:val="none" w:sz="0" w:space="0" w:color="auto"/>
        <w:right w:val="none" w:sz="0" w:space="0" w:color="auto"/>
      </w:divBdr>
      <w:divsChild>
        <w:div w:id="1792085821">
          <w:marLeft w:val="0"/>
          <w:marRight w:val="0"/>
          <w:marTop w:val="0"/>
          <w:marBottom w:val="0"/>
          <w:divBdr>
            <w:top w:val="none" w:sz="0" w:space="0" w:color="auto"/>
            <w:left w:val="none" w:sz="0" w:space="0" w:color="auto"/>
            <w:bottom w:val="none" w:sz="0" w:space="0" w:color="auto"/>
            <w:right w:val="none" w:sz="0" w:space="0" w:color="auto"/>
          </w:divBdr>
          <w:divsChild>
            <w:div w:id="1573273587">
              <w:marLeft w:val="0"/>
              <w:marRight w:val="0"/>
              <w:marTop w:val="0"/>
              <w:marBottom w:val="0"/>
              <w:divBdr>
                <w:top w:val="none" w:sz="0" w:space="0" w:color="auto"/>
                <w:left w:val="none" w:sz="0" w:space="0" w:color="auto"/>
                <w:bottom w:val="none" w:sz="0" w:space="0" w:color="auto"/>
                <w:right w:val="none" w:sz="0" w:space="0" w:color="auto"/>
              </w:divBdr>
              <w:divsChild>
                <w:div w:id="802432472">
                  <w:marLeft w:val="0"/>
                  <w:marRight w:val="0"/>
                  <w:marTop w:val="0"/>
                  <w:marBottom w:val="0"/>
                  <w:divBdr>
                    <w:top w:val="none" w:sz="0" w:space="0" w:color="auto"/>
                    <w:left w:val="none" w:sz="0" w:space="0" w:color="auto"/>
                    <w:bottom w:val="none" w:sz="0" w:space="0" w:color="auto"/>
                    <w:right w:val="none" w:sz="0" w:space="0" w:color="auto"/>
                  </w:divBdr>
                  <w:divsChild>
                    <w:div w:id="5216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534506">
          <w:marLeft w:val="0"/>
          <w:marRight w:val="0"/>
          <w:marTop w:val="0"/>
          <w:marBottom w:val="0"/>
          <w:divBdr>
            <w:top w:val="none" w:sz="0" w:space="0" w:color="auto"/>
            <w:left w:val="none" w:sz="0" w:space="0" w:color="auto"/>
            <w:bottom w:val="none" w:sz="0" w:space="0" w:color="auto"/>
            <w:right w:val="none" w:sz="0" w:space="0" w:color="auto"/>
          </w:divBdr>
          <w:divsChild>
            <w:div w:id="89215799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1344210498">
      <w:bodyDiv w:val="1"/>
      <w:marLeft w:val="0"/>
      <w:marRight w:val="0"/>
      <w:marTop w:val="0"/>
      <w:marBottom w:val="0"/>
      <w:divBdr>
        <w:top w:val="none" w:sz="0" w:space="0" w:color="auto"/>
        <w:left w:val="none" w:sz="0" w:space="0" w:color="auto"/>
        <w:bottom w:val="none" w:sz="0" w:space="0" w:color="auto"/>
        <w:right w:val="none" w:sz="0" w:space="0" w:color="auto"/>
      </w:divBdr>
      <w:divsChild>
        <w:div w:id="1137336104">
          <w:marLeft w:val="0"/>
          <w:marRight w:val="0"/>
          <w:marTop w:val="0"/>
          <w:marBottom w:val="0"/>
          <w:divBdr>
            <w:top w:val="none" w:sz="0" w:space="0" w:color="auto"/>
            <w:left w:val="none" w:sz="0" w:space="0" w:color="auto"/>
            <w:bottom w:val="none" w:sz="0" w:space="0" w:color="auto"/>
            <w:right w:val="none" w:sz="0" w:space="0" w:color="auto"/>
          </w:divBdr>
          <w:divsChild>
            <w:div w:id="1970043487">
              <w:marLeft w:val="0"/>
              <w:marRight w:val="0"/>
              <w:marTop w:val="0"/>
              <w:marBottom w:val="0"/>
              <w:divBdr>
                <w:top w:val="none" w:sz="0" w:space="0" w:color="auto"/>
                <w:left w:val="none" w:sz="0" w:space="0" w:color="auto"/>
                <w:bottom w:val="none" w:sz="0" w:space="0" w:color="auto"/>
                <w:right w:val="none" w:sz="0" w:space="0" w:color="auto"/>
              </w:divBdr>
            </w:div>
          </w:divsChild>
        </w:div>
        <w:div w:id="688990297">
          <w:marLeft w:val="0"/>
          <w:marRight w:val="0"/>
          <w:marTop w:val="0"/>
          <w:marBottom w:val="0"/>
          <w:divBdr>
            <w:top w:val="none" w:sz="0" w:space="0" w:color="auto"/>
            <w:left w:val="none" w:sz="0" w:space="0" w:color="auto"/>
            <w:bottom w:val="none" w:sz="0" w:space="0" w:color="auto"/>
            <w:right w:val="none" w:sz="0" w:space="0" w:color="auto"/>
          </w:divBdr>
          <w:divsChild>
            <w:div w:id="957882308">
              <w:marLeft w:val="0"/>
              <w:marRight w:val="0"/>
              <w:marTop w:val="0"/>
              <w:marBottom w:val="0"/>
              <w:divBdr>
                <w:top w:val="none" w:sz="0" w:space="0" w:color="auto"/>
                <w:left w:val="none" w:sz="0" w:space="0" w:color="auto"/>
                <w:bottom w:val="none" w:sz="0" w:space="0" w:color="auto"/>
                <w:right w:val="none" w:sz="0" w:space="0" w:color="auto"/>
              </w:divBdr>
            </w:div>
          </w:divsChild>
        </w:div>
        <w:div w:id="1257133030">
          <w:marLeft w:val="0"/>
          <w:marRight w:val="0"/>
          <w:marTop w:val="0"/>
          <w:marBottom w:val="0"/>
          <w:divBdr>
            <w:top w:val="none" w:sz="0" w:space="0" w:color="auto"/>
            <w:left w:val="none" w:sz="0" w:space="0" w:color="auto"/>
            <w:bottom w:val="none" w:sz="0" w:space="0" w:color="auto"/>
            <w:right w:val="none" w:sz="0" w:space="0" w:color="auto"/>
          </w:divBdr>
          <w:divsChild>
            <w:div w:id="1660887688">
              <w:marLeft w:val="0"/>
              <w:marRight w:val="0"/>
              <w:marTop w:val="0"/>
              <w:marBottom w:val="0"/>
              <w:divBdr>
                <w:top w:val="none" w:sz="0" w:space="0" w:color="auto"/>
                <w:left w:val="none" w:sz="0" w:space="0" w:color="auto"/>
                <w:bottom w:val="none" w:sz="0" w:space="0" w:color="auto"/>
                <w:right w:val="none" w:sz="0" w:space="0" w:color="auto"/>
              </w:divBdr>
            </w:div>
          </w:divsChild>
        </w:div>
        <w:div w:id="2077623997">
          <w:marLeft w:val="0"/>
          <w:marRight w:val="0"/>
          <w:marTop w:val="0"/>
          <w:marBottom w:val="0"/>
          <w:divBdr>
            <w:top w:val="none" w:sz="0" w:space="0" w:color="auto"/>
            <w:left w:val="none" w:sz="0" w:space="0" w:color="auto"/>
            <w:bottom w:val="none" w:sz="0" w:space="0" w:color="auto"/>
            <w:right w:val="none" w:sz="0" w:space="0" w:color="auto"/>
          </w:divBdr>
          <w:divsChild>
            <w:div w:id="1386678409">
              <w:marLeft w:val="0"/>
              <w:marRight w:val="0"/>
              <w:marTop w:val="0"/>
              <w:marBottom w:val="0"/>
              <w:divBdr>
                <w:top w:val="none" w:sz="0" w:space="0" w:color="auto"/>
                <w:left w:val="none" w:sz="0" w:space="0" w:color="auto"/>
                <w:bottom w:val="none" w:sz="0" w:space="0" w:color="auto"/>
                <w:right w:val="none" w:sz="0" w:space="0" w:color="auto"/>
              </w:divBdr>
            </w:div>
          </w:divsChild>
        </w:div>
        <w:div w:id="477306317">
          <w:marLeft w:val="0"/>
          <w:marRight w:val="0"/>
          <w:marTop w:val="0"/>
          <w:marBottom w:val="0"/>
          <w:divBdr>
            <w:top w:val="none" w:sz="0" w:space="0" w:color="auto"/>
            <w:left w:val="none" w:sz="0" w:space="0" w:color="auto"/>
            <w:bottom w:val="none" w:sz="0" w:space="0" w:color="auto"/>
            <w:right w:val="none" w:sz="0" w:space="0" w:color="auto"/>
          </w:divBdr>
          <w:divsChild>
            <w:div w:id="287128898">
              <w:marLeft w:val="0"/>
              <w:marRight w:val="0"/>
              <w:marTop w:val="0"/>
              <w:marBottom w:val="0"/>
              <w:divBdr>
                <w:top w:val="none" w:sz="0" w:space="0" w:color="auto"/>
                <w:left w:val="none" w:sz="0" w:space="0" w:color="auto"/>
                <w:bottom w:val="none" w:sz="0" w:space="0" w:color="auto"/>
                <w:right w:val="none" w:sz="0" w:space="0" w:color="auto"/>
              </w:divBdr>
            </w:div>
          </w:divsChild>
        </w:div>
        <w:div w:id="664359167">
          <w:marLeft w:val="0"/>
          <w:marRight w:val="0"/>
          <w:marTop w:val="0"/>
          <w:marBottom w:val="0"/>
          <w:divBdr>
            <w:top w:val="none" w:sz="0" w:space="0" w:color="auto"/>
            <w:left w:val="none" w:sz="0" w:space="0" w:color="auto"/>
            <w:bottom w:val="none" w:sz="0" w:space="0" w:color="auto"/>
            <w:right w:val="none" w:sz="0" w:space="0" w:color="auto"/>
          </w:divBdr>
          <w:divsChild>
            <w:div w:id="1391033517">
              <w:marLeft w:val="0"/>
              <w:marRight w:val="0"/>
              <w:marTop w:val="0"/>
              <w:marBottom w:val="0"/>
              <w:divBdr>
                <w:top w:val="none" w:sz="0" w:space="0" w:color="auto"/>
                <w:left w:val="none" w:sz="0" w:space="0" w:color="auto"/>
                <w:bottom w:val="none" w:sz="0" w:space="0" w:color="auto"/>
                <w:right w:val="none" w:sz="0" w:space="0" w:color="auto"/>
              </w:divBdr>
            </w:div>
          </w:divsChild>
        </w:div>
        <w:div w:id="498691499">
          <w:marLeft w:val="0"/>
          <w:marRight w:val="0"/>
          <w:marTop w:val="0"/>
          <w:marBottom w:val="0"/>
          <w:divBdr>
            <w:top w:val="none" w:sz="0" w:space="0" w:color="auto"/>
            <w:left w:val="none" w:sz="0" w:space="0" w:color="auto"/>
            <w:bottom w:val="none" w:sz="0" w:space="0" w:color="auto"/>
            <w:right w:val="none" w:sz="0" w:space="0" w:color="auto"/>
          </w:divBdr>
          <w:divsChild>
            <w:div w:id="1701709525">
              <w:marLeft w:val="0"/>
              <w:marRight w:val="0"/>
              <w:marTop w:val="0"/>
              <w:marBottom w:val="0"/>
              <w:divBdr>
                <w:top w:val="none" w:sz="0" w:space="0" w:color="auto"/>
                <w:left w:val="none" w:sz="0" w:space="0" w:color="auto"/>
                <w:bottom w:val="none" w:sz="0" w:space="0" w:color="auto"/>
                <w:right w:val="none" w:sz="0" w:space="0" w:color="auto"/>
              </w:divBdr>
            </w:div>
          </w:divsChild>
        </w:div>
        <w:div w:id="1602838318">
          <w:marLeft w:val="0"/>
          <w:marRight w:val="0"/>
          <w:marTop w:val="0"/>
          <w:marBottom w:val="0"/>
          <w:divBdr>
            <w:top w:val="none" w:sz="0" w:space="0" w:color="auto"/>
            <w:left w:val="none" w:sz="0" w:space="0" w:color="auto"/>
            <w:bottom w:val="none" w:sz="0" w:space="0" w:color="auto"/>
            <w:right w:val="none" w:sz="0" w:space="0" w:color="auto"/>
          </w:divBdr>
          <w:divsChild>
            <w:div w:id="1386636054">
              <w:marLeft w:val="0"/>
              <w:marRight w:val="0"/>
              <w:marTop w:val="0"/>
              <w:marBottom w:val="0"/>
              <w:divBdr>
                <w:top w:val="none" w:sz="0" w:space="0" w:color="auto"/>
                <w:left w:val="none" w:sz="0" w:space="0" w:color="auto"/>
                <w:bottom w:val="none" w:sz="0" w:space="0" w:color="auto"/>
                <w:right w:val="none" w:sz="0" w:space="0" w:color="auto"/>
              </w:divBdr>
            </w:div>
          </w:divsChild>
        </w:div>
        <w:div w:id="1763069499">
          <w:marLeft w:val="0"/>
          <w:marRight w:val="0"/>
          <w:marTop w:val="0"/>
          <w:marBottom w:val="0"/>
          <w:divBdr>
            <w:top w:val="none" w:sz="0" w:space="0" w:color="auto"/>
            <w:left w:val="none" w:sz="0" w:space="0" w:color="auto"/>
            <w:bottom w:val="none" w:sz="0" w:space="0" w:color="auto"/>
            <w:right w:val="none" w:sz="0" w:space="0" w:color="auto"/>
          </w:divBdr>
          <w:divsChild>
            <w:div w:id="2082409335">
              <w:marLeft w:val="0"/>
              <w:marRight w:val="0"/>
              <w:marTop w:val="0"/>
              <w:marBottom w:val="0"/>
              <w:divBdr>
                <w:top w:val="none" w:sz="0" w:space="0" w:color="auto"/>
                <w:left w:val="none" w:sz="0" w:space="0" w:color="auto"/>
                <w:bottom w:val="none" w:sz="0" w:space="0" w:color="auto"/>
                <w:right w:val="none" w:sz="0" w:space="0" w:color="auto"/>
              </w:divBdr>
            </w:div>
          </w:divsChild>
        </w:div>
        <w:div w:id="807821220">
          <w:marLeft w:val="0"/>
          <w:marRight w:val="0"/>
          <w:marTop w:val="0"/>
          <w:marBottom w:val="0"/>
          <w:divBdr>
            <w:top w:val="none" w:sz="0" w:space="0" w:color="auto"/>
            <w:left w:val="none" w:sz="0" w:space="0" w:color="auto"/>
            <w:bottom w:val="none" w:sz="0" w:space="0" w:color="auto"/>
            <w:right w:val="none" w:sz="0" w:space="0" w:color="auto"/>
          </w:divBdr>
          <w:divsChild>
            <w:div w:id="1578711475">
              <w:marLeft w:val="0"/>
              <w:marRight w:val="0"/>
              <w:marTop w:val="0"/>
              <w:marBottom w:val="0"/>
              <w:divBdr>
                <w:top w:val="none" w:sz="0" w:space="0" w:color="auto"/>
                <w:left w:val="none" w:sz="0" w:space="0" w:color="auto"/>
                <w:bottom w:val="none" w:sz="0" w:space="0" w:color="auto"/>
                <w:right w:val="none" w:sz="0" w:space="0" w:color="auto"/>
              </w:divBdr>
            </w:div>
          </w:divsChild>
        </w:div>
        <w:div w:id="1860005191">
          <w:marLeft w:val="0"/>
          <w:marRight w:val="0"/>
          <w:marTop w:val="0"/>
          <w:marBottom w:val="0"/>
          <w:divBdr>
            <w:top w:val="none" w:sz="0" w:space="0" w:color="auto"/>
            <w:left w:val="none" w:sz="0" w:space="0" w:color="auto"/>
            <w:bottom w:val="none" w:sz="0" w:space="0" w:color="auto"/>
            <w:right w:val="none" w:sz="0" w:space="0" w:color="auto"/>
          </w:divBdr>
          <w:divsChild>
            <w:div w:id="747381825">
              <w:marLeft w:val="0"/>
              <w:marRight w:val="0"/>
              <w:marTop w:val="0"/>
              <w:marBottom w:val="0"/>
              <w:divBdr>
                <w:top w:val="none" w:sz="0" w:space="0" w:color="auto"/>
                <w:left w:val="none" w:sz="0" w:space="0" w:color="auto"/>
                <w:bottom w:val="none" w:sz="0" w:space="0" w:color="auto"/>
                <w:right w:val="none" w:sz="0" w:space="0" w:color="auto"/>
              </w:divBdr>
            </w:div>
          </w:divsChild>
        </w:div>
        <w:div w:id="1412124252">
          <w:marLeft w:val="0"/>
          <w:marRight w:val="0"/>
          <w:marTop w:val="0"/>
          <w:marBottom w:val="0"/>
          <w:divBdr>
            <w:top w:val="none" w:sz="0" w:space="0" w:color="auto"/>
            <w:left w:val="none" w:sz="0" w:space="0" w:color="auto"/>
            <w:bottom w:val="none" w:sz="0" w:space="0" w:color="auto"/>
            <w:right w:val="none" w:sz="0" w:space="0" w:color="auto"/>
          </w:divBdr>
          <w:divsChild>
            <w:div w:id="1853839105">
              <w:marLeft w:val="0"/>
              <w:marRight w:val="0"/>
              <w:marTop w:val="0"/>
              <w:marBottom w:val="0"/>
              <w:divBdr>
                <w:top w:val="none" w:sz="0" w:space="0" w:color="auto"/>
                <w:left w:val="none" w:sz="0" w:space="0" w:color="auto"/>
                <w:bottom w:val="none" w:sz="0" w:space="0" w:color="auto"/>
                <w:right w:val="none" w:sz="0" w:space="0" w:color="auto"/>
              </w:divBdr>
            </w:div>
          </w:divsChild>
        </w:div>
        <w:div w:id="745880932">
          <w:marLeft w:val="0"/>
          <w:marRight w:val="0"/>
          <w:marTop w:val="0"/>
          <w:marBottom w:val="0"/>
          <w:divBdr>
            <w:top w:val="none" w:sz="0" w:space="0" w:color="auto"/>
            <w:left w:val="none" w:sz="0" w:space="0" w:color="auto"/>
            <w:bottom w:val="none" w:sz="0" w:space="0" w:color="auto"/>
            <w:right w:val="none" w:sz="0" w:space="0" w:color="auto"/>
          </w:divBdr>
          <w:divsChild>
            <w:div w:id="1247180683">
              <w:marLeft w:val="0"/>
              <w:marRight w:val="0"/>
              <w:marTop w:val="0"/>
              <w:marBottom w:val="0"/>
              <w:divBdr>
                <w:top w:val="none" w:sz="0" w:space="0" w:color="auto"/>
                <w:left w:val="none" w:sz="0" w:space="0" w:color="auto"/>
                <w:bottom w:val="none" w:sz="0" w:space="0" w:color="auto"/>
                <w:right w:val="none" w:sz="0" w:space="0" w:color="auto"/>
              </w:divBdr>
            </w:div>
          </w:divsChild>
        </w:div>
        <w:div w:id="958949788">
          <w:marLeft w:val="0"/>
          <w:marRight w:val="0"/>
          <w:marTop w:val="0"/>
          <w:marBottom w:val="0"/>
          <w:divBdr>
            <w:top w:val="none" w:sz="0" w:space="0" w:color="auto"/>
            <w:left w:val="none" w:sz="0" w:space="0" w:color="auto"/>
            <w:bottom w:val="none" w:sz="0" w:space="0" w:color="auto"/>
            <w:right w:val="none" w:sz="0" w:space="0" w:color="auto"/>
          </w:divBdr>
          <w:divsChild>
            <w:div w:id="925070946">
              <w:marLeft w:val="0"/>
              <w:marRight w:val="0"/>
              <w:marTop w:val="0"/>
              <w:marBottom w:val="0"/>
              <w:divBdr>
                <w:top w:val="none" w:sz="0" w:space="0" w:color="auto"/>
                <w:left w:val="none" w:sz="0" w:space="0" w:color="auto"/>
                <w:bottom w:val="none" w:sz="0" w:space="0" w:color="auto"/>
                <w:right w:val="none" w:sz="0" w:space="0" w:color="auto"/>
              </w:divBdr>
            </w:div>
          </w:divsChild>
        </w:div>
        <w:div w:id="487063719">
          <w:marLeft w:val="0"/>
          <w:marRight w:val="0"/>
          <w:marTop w:val="0"/>
          <w:marBottom w:val="0"/>
          <w:divBdr>
            <w:top w:val="none" w:sz="0" w:space="0" w:color="auto"/>
            <w:left w:val="none" w:sz="0" w:space="0" w:color="auto"/>
            <w:bottom w:val="none" w:sz="0" w:space="0" w:color="auto"/>
            <w:right w:val="none" w:sz="0" w:space="0" w:color="auto"/>
          </w:divBdr>
          <w:divsChild>
            <w:div w:id="833186063">
              <w:marLeft w:val="0"/>
              <w:marRight w:val="0"/>
              <w:marTop w:val="0"/>
              <w:marBottom w:val="0"/>
              <w:divBdr>
                <w:top w:val="none" w:sz="0" w:space="0" w:color="auto"/>
                <w:left w:val="none" w:sz="0" w:space="0" w:color="auto"/>
                <w:bottom w:val="none" w:sz="0" w:space="0" w:color="auto"/>
                <w:right w:val="none" w:sz="0" w:space="0" w:color="auto"/>
              </w:divBdr>
            </w:div>
          </w:divsChild>
        </w:div>
        <w:div w:id="149947576">
          <w:marLeft w:val="0"/>
          <w:marRight w:val="0"/>
          <w:marTop w:val="0"/>
          <w:marBottom w:val="0"/>
          <w:divBdr>
            <w:top w:val="none" w:sz="0" w:space="0" w:color="auto"/>
            <w:left w:val="none" w:sz="0" w:space="0" w:color="auto"/>
            <w:bottom w:val="none" w:sz="0" w:space="0" w:color="auto"/>
            <w:right w:val="none" w:sz="0" w:space="0" w:color="auto"/>
          </w:divBdr>
          <w:divsChild>
            <w:div w:id="212581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8540">
      <w:bodyDiv w:val="1"/>
      <w:marLeft w:val="0"/>
      <w:marRight w:val="0"/>
      <w:marTop w:val="0"/>
      <w:marBottom w:val="0"/>
      <w:divBdr>
        <w:top w:val="none" w:sz="0" w:space="0" w:color="auto"/>
        <w:left w:val="none" w:sz="0" w:space="0" w:color="auto"/>
        <w:bottom w:val="none" w:sz="0" w:space="0" w:color="auto"/>
        <w:right w:val="none" w:sz="0" w:space="0" w:color="auto"/>
      </w:divBdr>
      <w:divsChild>
        <w:div w:id="2011562646">
          <w:marLeft w:val="0"/>
          <w:marRight w:val="0"/>
          <w:marTop w:val="0"/>
          <w:marBottom w:val="0"/>
          <w:divBdr>
            <w:top w:val="none" w:sz="0" w:space="0" w:color="auto"/>
            <w:left w:val="none" w:sz="0" w:space="0" w:color="auto"/>
            <w:bottom w:val="none" w:sz="0" w:space="0" w:color="auto"/>
            <w:right w:val="none" w:sz="0" w:space="0" w:color="auto"/>
          </w:divBdr>
          <w:divsChild>
            <w:div w:id="2130390109">
              <w:marLeft w:val="0"/>
              <w:marRight w:val="0"/>
              <w:marTop w:val="0"/>
              <w:marBottom w:val="0"/>
              <w:divBdr>
                <w:top w:val="none" w:sz="0" w:space="0" w:color="auto"/>
                <w:left w:val="none" w:sz="0" w:space="0" w:color="auto"/>
                <w:bottom w:val="none" w:sz="0" w:space="0" w:color="auto"/>
                <w:right w:val="none" w:sz="0" w:space="0" w:color="auto"/>
              </w:divBdr>
              <w:divsChild>
                <w:div w:id="1911770711">
                  <w:marLeft w:val="0"/>
                  <w:marRight w:val="0"/>
                  <w:marTop w:val="0"/>
                  <w:marBottom w:val="0"/>
                  <w:divBdr>
                    <w:top w:val="none" w:sz="0" w:space="0" w:color="auto"/>
                    <w:left w:val="none" w:sz="0" w:space="0" w:color="auto"/>
                    <w:bottom w:val="none" w:sz="0" w:space="0" w:color="auto"/>
                    <w:right w:val="none" w:sz="0" w:space="0" w:color="auto"/>
                  </w:divBdr>
                  <w:divsChild>
                    <w:div w:id="100369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65514">
          <w:marLeft w:val="0"/>
          <w:marRight w:val="0"/>
          <w:marTop w:val="0"/>
          <w:marBottom w:val="0"/>
          <w:divBdr>
            <w:top w:val="none" w:sz="0" w:space="0" w:color="auto"/>
            <w:left w:val="none" w:sz="0" w:space="0" w:color="auto"/>
            <w:bottom w:val="none" w:sz="0" w:space="0" w:color="auto"/>
            <w:right w:val="none" w:sz="0" w:space="0" w:color="auto"/>
          </w:divBdr>
          <w:divsChild>
            <w:div w:id="129282882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xmlns:thm15="http://schemas.microsoft.com/office/thememl/2012/main" name="Office Theme">
  <a:themeElements>
    <a:clrScheme name="UHN Theme">
      <a:dk1>
        <a:srgbClr val="000000"/>
      </a:dk1>
      <a:lt1>
        <a:srgbClr val="FFFFFF"/>
      </a:lt1>
      <a:dk2>
        <a:srgbClr val="192858"/>
      </a:dk2>
      <a:lt2>
        <a:srgbClr val="E4E4E4"/>
      </a:lt2>
      <a:accent1>
        <a:srgbClr val="C0233B"/>
      </a:accent1>
      <a:accent2>
        <a:srgbClr val="951942"/>
      </a:accent2>
      <a:accent3>
        <a:srgbClr val="E8234F"/>
      </a:accent3>
      <a:accent4>
        <a:srgbClr val="C48ABD"/>
      </a:accent4>
      <a:accent5>
        <a:srgbClr val="245BAA"/>
      </a:accent5>
      <a:accent6>
        <a:srgbClr val="74AE54"/>
      </a:accent6>
      <a:hlink>
        <a:srgbClr val="245BAA"/>
      </a:hlink>
      <a:folHlink>
        <a:srgbClr val="74AE54"/>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AA4AC370B5CB54E81BBBCD5023FE132" ma:contentTypeVersion="7" ma:contentTypeDescription="Create a new document." ma:contentTypeScope="" ma:versionID="7e31e11b5814927e877b588a782feba9">
  <xsd:schema xmlns:xsd="http://www.w3.org/2001/XMLSchema" xmlns:xs="http://www.w3.org/2001/XMLSchema" xmlns:p="http://schemas.microsoft.com/office/2006/metadata/properties" xmlns:ns2="42c2f66a-2f71-4ea5-a10c-1bf14673147f" targetNamespace="http://schemas.microsoft.com/office/2006/metadata/properties" ma:root="true" ma:fieldsID="3191655910b2fc3c3e5a9b81dda18181" ns2:_="">
    <xsd:import namespace="42c2f66a-2f71-4ea5-a10c-1bf14673147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f66a-2f71-4ea5-a10c-1bf1467314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64F160E-93E2-49F0-83CF-8D1E4D48222F}">
  <ds:schemaRefs>
    <ds:schemaRef ds:uri="http://schemas.microsoft.com/sharepoint/v3/contenttype/forms"/>
  </ds:schemaRefs>
</ds:datastoreItem>
</file>

<file path=customXml/itemProps2.xml><?xml version="1.0" encoding="utf-8"?>
<ds:datastoreItem xmlns:ds="http://schemas.openxmlformats.org/officeDocument/2006/customXml" ds:itemID="{A3446B25-436B-4480-940A-0FE15DCCB1C2}">
  <ds:schemaRefs>
    <ds:schemaRef ds:uri="http://schemas.microsoft.com/office/2006/metadata/properties"/>
    <ds:schemaRef ds:uri="http://schemas.microsoft.com/office/infopath/2007/PartnerControls"/>
    <ds:schemaRef ds:uri="360acdcc-b06f-4b66-a27f-59e95e1211f1"/>
    <ds:schemaRef ds:uri="334c39ef-7849-45d1-9257-c81bad3add3f"/>
  </ds:schemaRefs>
</ds:datastoreItem>
</file>

<file path=customXml/itemProps3.xml><?xml version="1.0" encoding="utf-8"?>
<ds:datastoreItem xmlns:ds="http://schemas.openxmlformats.org/officeDocument/2006/customXml" ds:itemID="{1CFB62F0-2343-4EBC-A6BA-F4B88C1B3C59}">
  <ds:schemaRefs>
    <ds:schemaRef ds:uri="http://schemas.openxmlformats.org/officeDocument/2006/bibliography"/>
  </ds:schemaRefs>
</ds:datastoreItem>
</file>

<file path=customXml/itemProps4.xml><?xml version="1.0" encoding="utf-8"?>
<ds:datastoreItem xmlns:ds="http://schemas.openxmlformats.org/officeDocument/2006/customXml" ds:itemID="{34DE67D8-0752-4EB3-9C00-2EAE5493D8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Hertha</dc:creator>
  <cp:keywords/>
  <dc:description/>
  <cp:lastModifiedBy>Rosenberg, Ellen</cp:lastModifiedBy>
  <cp:revision>3</cp:revision>
  <dcterms:created xsi:type="dcterms:W3CDTF">2025-07-09T16:47:00Z</dcterms:created>
  <dcterms:modified xsi:type="dcterms:W3CDTF">2025-08-20T14:49:31Z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0x010100EAA4AC370B5CB54E81BBBCD5023FE132</vt:lpwstr>
  </property>
  <property fmtid="{D5CDD505-2E9C-101B-9397-08002B2CF9AE}" pid="3" name="MediaServiceImageTags">
    <vt:lpwstr/>
  </property>
  <property fmtid="{D5CDD505-2E9C-101B-9397-08002B2CF9AE}" pid="4" name="Order">
    <vt:r8>498200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4" name="docLang">
    <vt:lpwstr>en</vt:lpwstr>
  </property>
</Properties>
</file>