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SME Review Package -- Guide 01: Foundations of Disability, Inclusion, and Accessible Design</w:t>
      </w:r>
    </w:p>
    <w:p>
      <w:r/>
      <w:r>
        <w:rPr>
          <w:b/>
        </w:rPr>
        <w:t>Course:</w:t>
      </w:r>
      <w:r>
        <w:t xml:space="preserve"> UHN Accessibility First Course Series</w:t>
      </w:r>
    </w:p>
    <w:p>
      <w:r/>
      <w:r>
        <w:rPr>
          <w:b/>
        </w:rPr>
        <w:t>Guide:</w:t>
      </w:r>
      <w:r>
        <w:t xml:space="preserve"> 01 -- Foundations of Disability, Inclusion, and Accessible Design</w:t>
      </w:r>
    </w:p>
    <w:p>
      <w:r/>
      <w:r>
        <w:rPr>
          <w:b/>
        </w:rPr>
        <w:t>Version:</w:t>
      </w:r>
      <w:r>
        <w:t xml:space="preserve"> 1.0</w:t>
      </w:r>
    </w:p>
    <w:p>
      <w:r/>
      <w:r>
        <w:rPr>
          <w:b/>
        </w:rPr>
        <w:t>Date:</w:t>
      </w:r>
      <w:r>
        <w:t xml:space="preserve"> 2026-05-23</w:t>
      </w:r>
    </w:p>
    <w:p>
      <w:r/>
      <w:r>
        <w:rPr>
          <w:b/>
        </w:rPr>
        <w:t>Review Deadline:</w:t>
      </w:r>
      <w:r>
        <w:t xml:space="preserve"> [INSERT DATE -- recommend 10 business days from distribution]</w:t>
      </w:r>
    </w:p>
    <w:p>
      <w:pPr>
        <w:spacing w:before="120" w:after="120"/>
      </w:pPr>
      <w:r>
        <w:rPr>
          <w:color w:val="CCCCCC"/>
          <w:sz w:val="16"/>
        </w:rPr>
        <w:t>──────────────────────────────────────────────────</w:t>
      </w:r>
    </w:p>
    <w:p>
      <w:pPr>
        <w:pStyle w:val="Heading2"/>
      </w:pPr>
      <w:r>
        <w:t>Instructions for Reviewers</w:t>
      </w:r>
    </w:p>
    <w:p>
      <w:r>
        <w:t>Thank you for reviewing this guide. Your expertise is essential to ensuring the accuracy, relevance, and inclusiveness of this content for UHN staff.</w:t>
      </w:r>
    </w:p>
    <w:p>
      <w:r/>
      <w:r>
        <w:rPr>
          <w:b/>
        </w:rPr>
        <w:t>How to use this document:</w:t>
      </w:r>
      <w:r/>
    </w:p>
    <w:p>
      <w:pPr>
        <w:pStyle w:val="ListNumber"/>
      </w:pPr>
      <w:r>
        <w:t>Each review question is organized by risk level (Critical, High, Medium, Low).</w:t>
      </w:r>
    </w:p>
    <w:p>
      <w:pPr>
        <w:pStyle w:val="ListNumber"/>
      </w:pPr>
      <w:r>
        <w:t>For each question, a content excerpt is provided so you can review in context without needing to read the entire guide.</w:t>
      </w:r>
    </w:p>
    <w:p>
      <w:pPr>
        <w:pStyle w:val="ListNumber"/>
      </w:pPr>
      <w:r>
        <w:t>Please provide your response directly below each question or use the comment function if reviewing digitally.</w:t>
      </w:r>
    </w:p>
    <w:p>
      <w:pPr>
        <w:pStyle w:val="ListNumber"/>
      </w:pPr>
      <w:r>
        <w:t>If you identify issues not covered by these questions, please add them at the end in the "Additional Reviewer Comments" section.</w:t>
      </w:r>
    </w:p>
    <w:p>
      <w:r/>
      <w:r>
        <w:rPr>
          <w:b/>
        </w:rPr>
        <w:t>Risk Levels Defined:</w:t>
      </w:r>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Risk Level</w:t>
            </w:r>
          </w:p>
        </w:tc>
        <w:tc>
          <w:tcPr>
            <w:tcW w:type="dxa" w:w="3343"/>
            <w:shd w:fill="192858" w:val="clear"/>
          </w:tcPr>
          <w:p>
            <w:pPr/>
            <w:r>
              <w:rPr>
                <w:b/>
                <w:color w:val="FFFFFF"/>
                <w:sz w:val="18"/>
              </w:rPr>
            </w:r>
            <w:r>
              <w:rPr>
                <w:b/>
                <w:color w:val="FFFFFF"/>
                <w:sz w:val="18"/>
              </w:rPr>
              <w:t>Definition</w:t>
            </w:r>
          </w:p>
        </w:tc>
        <w:tc>
          <w:tcPr>
            <w:tcW w:type="dxa" w:w="3343"/>
            <w:shd w:fill="192858" w:val="clear"/>
          </w:tcPr>
          <w:p>
            <w:pPr/>
            <w:r>
              <w:rPr>
                <w:b/>
                <w:color w:val="FFFFFF"/>
                <w:sz w:val="18"/>
              </w:rPr>
            </w:r>
            <w:r>
              <w:rPr>
                <w:b/>
                <w:color w:val="FFFFFF"/>
                <w:sz w:val="18"/>
              </w:rPr>
              <w:t>Impact if Incorrect</w:t>
            </w:r>
          </w:p>
        </w:tc>
      </w:tr>
      <w:tr>
        <w:tc>
          <w:tcPr>
            <w:tcW w:type="dxa" w:w="3343"/>
          </w:tcPr>
          <w:p>
            <w:pPr/>
            <w:r>
              <w:rPr>
                <w:sz w:val="18"/>
              </w:rPr>
            </w:r>
            <w:r>
              <w:rPr>
                <w:sz w:val="18"/>
              </w:rPr>
              <w:t>Critical</w:t>
            </w:r>
          </w:p>
        </w:tc>
        <w:tc>
          <w:tcPr>
            <w:tcW w:type="dxa" w:w="3343"/>
          </w:tcPr>
          <w:p>
            <w:pPr/>
            <w:r>
              <w:rPr>
                <w:sz w:val="18"/>
              </w:rPr>
            </w:r>
            <w:r>
              <w:rPr>
                <w:sz w:val="18"/>
              </w:rPr>
              <w:t>Legislative interpretation, Indigenous content, patient safety</w:t>
            </w:r>
          </w:p>
        </w:tc>
        <w:tc>
          <w:tcPr>
            <w:tcW w:type="dxa" w:w="3343"/>
          </w:tcPr>
          <w:p>
            <w:pPr/>
            <w:r>
              <w:rPr>
                <w:sz w:val="18"/>
              </w:rPr>
            </w:r>
            <w:r>
              <w:rPr>
                <w:sz w:val="18"/>
              </w:rPr>
              <w:t>Legal liability, cultural harm, regulatory non-compliance</w:t>
            </w:r>
          </w:p>
        </w:tc>
      </w:tr>
      <w:tr>
        <w:tc>
          <w:tcPr>
            <w:tcW w:type="dxa" w:w="3343"/>
          </w:tcPr>
          <w:p>
            <w:pPr/>
            <w:r>
              <w:rPr>
                <w:sz w:val="18"/>
              </w:rPr>
            </w:r>
            <w:r>
              <w:rPr>
                <w:sz w:val="18"/>
              </w:rPr>
              <w:t>High</w:t>
            </w:r>
          </w:p>
        </w:tc>
        <w:tc>
          <w:tcPr>
            <w:tcW w:type="dxa" w:w="3343"/>
          </w:tcPr>
          <w:p>
            <w:pPr/>
            <w:r>
              <w:rPr>
                <w:sz w:val="18"/>
              </w:rPr>
            </w:r>
            <w:r>
              <w:rPr>
                <w:sz w:val="18"/>
              </w:rPr>
              <w:t>Scenario accuracy, policy interpretation, clinical practice depiction</w:t>
            </w:r>
          </w:p>
        </w:tc>
        <w:tc>
          <w:tcPr>
            <w:tcW w:type="dxa" w:w="3343"/>
          </w:tcPr>
          <w:p>
            <w:pPr/>
            <w:r>
              <w:rPr>
                <w:sz w:val="18"/>
              </w:rPr>
            </w:r>
            <w:r>
              <w:rPr>
                <w:sz w:val="18"/>
              </w:rPr>
              <w:t>Misinformation, learner confusion, credibility damage</w:t>
            </w:r>
          </w:p>
        </w:tc>
      </w:tr>
      <w:tr>
        <w:tc>
          <w:tcPr>
            <w:tcW w:type="dxa" w:w="3343"/>
          </w:tcPr>
          <w:p>
            <w:pPr/>
            <w:r>
              <w:rPr>
                <w:sz w:val="18"/>
              </w:rPr>
            </w:r>
            <w:r>
              <w:rPr>
                <w:sz w:val="18"/>
              </w:rPr>
              <w:t>Medium</w:t>
            </w:r>
          </w:p>
        </w:tc>
        <w:tc>
          <w:tcPr>
            <w:tcW w:type="dxa" w:w="3343"/>
          </w:tcPr>
          <w:p>
            <w:pPr/>
            <w:r>
              <w:rPr>
                <w:sz w:val="18"/>
              </w:rPr>
            </w:r>
            <w:r>
              <w:rPr>
                <w:sz w:val="18"/>
              </w:rPr>
              <w:t>Terminology, practice tips, assessment item accuracy</w:t>
            </w:r>
          </w:p>
        </w:tc>
        <w:tc>
          <w:tcPr>
            <w:tcW w:type="dxa" w:w="3343"/>
          </w:tcPr>
          <w:p>
            <w:pPr/>
            <w:r>
              <w:rPr>
                <w:sz w:val="18"/>
              </w:rPr>
            </w:r>
            <w:r>
              <w:rPr>
                <w:sz w:val="18"/>
              </w:rPr>
              <w:t>Reduced learning effectiveness, minor inaccuracies</w:t>
            </w:r>
          </w:p>
        </w:tc>
      </w:tr>
      <w:tr>
        <w:tc>
          <w:tcPr>
            <w:tcW w:type="dxa" w:w="3343"/>
          </w:tcPr>
          <w:p>
            <w:pPr/>
            <w:r>
              <w:rPr>
                <w:sz w:val="18"/>
              </w:rPr>
            </w:r>
            <w:r>
              <w:rPr>
                <w:sz w:val="18"/>
              </w:rPr>
              <w:t>Low</w:t>
            </w:r>
          </w:p>
        </w:tc>
        <w:tc>
          <w:tcPr>
            <w:tcW w:type="dxa" w:w="3343"/>
          </w:tcPr>
          <w:p>
            <w:pPr/>
            <w:r>
              <w:rPr>
                <w:sz w:val="18"/>
              </w:rPr>
            </w:r>
            <w:r>
              <w:rPr>
                <w:sz w:val="18"/>
              </w:rPr>
              <w:t>General wording, UI labels, formatting</w:t>
            </w:r>
          </w:p>
        </w:tc>
        <w:tc>
          <w:tcPr>
            <w:tcW w:type="dxa" w:w="3343"/>
          </w:tcPr>
          <w:p>
            <w:pPr/>
            <w:r>
              <w:rPr>
                <w:sz w:val="18"/>
              </w:rPr>
            </w:r>
            <w:r>
              <w:rPr>
                <w:sz w:val="18"/>
              </w:rPr>
              <w:t>Cosmetic issues, minor clarity improvements</w:t>
            </w:r>
          </w:p>
        </w:tc>
      </w:tr>
    </w:tbl>
    <w:p>
      <w:pPr>
        <w:spacing w:before="120" w:after="120"/>
      </w:pPr>
      <w:r>
        <w:rPr>
          <w:color w:val="CCCCCC"/>
          <w:sz w:val="16"/>
        </w:rPr>
        <w:t>──────────────────────────────────────────────────</w:t>
      </w:r>
    </w:p>
    <w:p>
      <w:pPr>
        <w:pStyle w:val="Heading2"/>
      </w:pPr>
      <w:r>
        <w:t>Critical Risk Questions (1-3)</w:t>
      </w:r>
    </w:p>
    <w:p>
      <w:pPr>
        <w:pStyle w:val="Heading3"/>
      </w:pPr>
      <w:r>
        <w:t>Question 1: AODA and IASR Training Requirements</w:t>
      </w:r>
    </w:p>
    <w:p>
      <w:r/>
      <w:r>
        <w:rPr>
          <w:b/>
        </w:rPr>
        <w:t>Suggested Reviewer:</w:t>
      </w:r>
      <w:r>
        <w:t xml:space="preserve"> Legal/Policy SME (Accessibility Compliance Office or Legal Counsel)</w:t>
      </w:r>
    </w:p>
    <w:p>
      <w:r/>
      <w:r>
        <w:rPr>
          <w:b/>
        </w:rPr>
        <w:t>Content Excerpt (from Assessment Bank, MC-02):</w:t>
      </w:r>
      <w:r/>
    </w:p>
    <w:p>
      <w:r>
        <w:t>&gt; "The AODA and its Integrated Accessibility Standards Regulation (IASR) require that all employees, volunteers, and anyone who provides goods, services, or facilities on behalf of the organization receive training on accessibility standards and on the Human Rights Code as it relates to people with disabilities (O. Reg. 191/11, s. 7)."</w:t>
      </w:r>
    </w:p>
    <w:p>
      <w:r/>
      <w:r>
        <w:rPr>
          <w:b/>
        </w:rPr>
        <w:t>Review Question:</w:t>
      </w:r>
      <w:r>
        <w:t xml:space="preserve"> Is this characterization of the AODA/IASR training requirements accurate and complete for UHN's context as a public-sector healthcare organization? Are there additional requirements, exemptions, or nuances (e.g., timing of training for new hires, documentation requirements) that should be included or noted?</w:t>
      </w:r>
    </w:p>
    <w:p>
      <w:r/>
      <w:r>
        <w:rPr>
          <w:b/>
        </w:rPr>
        <w:t>Reviewer Response:</w:t>
      </w:r>
      <w:r/>
    </w:p>
    <w:p>
      <w:pPr>
        <w:spacing w:before="120" w:after="120"/>
      </w:pPr>
      <w:r>
        <w:rPr>
          <w:color w:val="CCCCCC"/>
          <w:sz w:val="16"/>
        </w:rPr>
        <w:t>──────────────────────────────────────────────────</w:t>
      </w:r>
    </w:p>
    <w:p>
      <w:pPr>
        <w:pStyle w:val="Heading3"/>
      </w:pPr>
      <w:r>
        <w:t>Question 2: OHRC Duty to Accommodate and Constructive Discrimination</w:t>
      </w:r>
    </w:p>
    <w:p>
      <w:r/>
      <w:r>
        <w:rPr>
          <w:b/>
        </w:rPr>
        <w:t>Suggested Reviewer:</w:t>
      </w:r>
      <w:r>
        <w:t xml:space="preserve"> Legal/Policy SME (Human Rights Office or Legal Counsel)</w:t>
      </w:r>
    </w:p>
    <w:p>
      <w:r/>
      <w:r>
        <w:rPr>
          <w:b/>
        </w:rPr>
        <w:t>Content Excerpt (from Scenario Branches, Scenario 1, Choice C debrief):</w:t>
      </w:r>
      <w:r/>
    </w:p>
    <w:p>
      <w:r>
        <w:t>&gt; "Under the OHRC, UHN has a duty to accommodate to the point of undue hardship -- redirecting patients to a third-party vendor does not meet this standard."</w:t>
      </w:r>
    </w:p>
    <w:p>
      <w:r/>
      <w:r>
        <w:rPr>
          <w:b/>
        </w:rPr>
        <w:t>Content Excerpt (from Scenario Branches, Scenario 2, Choice C debrief):</w:t>
      </w:r>
      <w:r/>
    </w:p>
    <w:p>
      <w:r>
        <w:t>&gt; "The OHRC establishes that organizations must not create barriers that disproportionately affect people with disabilities, even unintentionally (OHRC, s. 11 -- constructive discrimination)."</w:t>
      </w:r>
    </w:p>
    <w:p>
      <w:r/>
      <w:r>
        <w:rPr>
          <w:b/>
        </w:rPr>
        <w:t>Review Question:</w:t>
      </w:r>
      <w:r>
        <w:t xml:space="preserve"> Are these interpretations of the OHRC duty to accommodate and the constructive discrimination provision (s. 11) legally accurate in the healthcare context? Is the framing appropriate for a learning audience that includes non-legal professionals? Should any caveats or clarifications be added?</w:t>
      </w:r>
    </w:p>
    <w:p>
      <w:r/>
      <w:r>
        <w:rPr>
          <w:b/>
        </w:rPr>
        <w:t>Reviewer Response:</w:t>
      </w:r>
      <w:r/>
    </w:p>
    <w:p>
      <w:pPr>
        <w:spacing w:before="120" w:after="120"/>
      </w:pPr>
      <w:r>
        <w:rPr>
          <w:color w:val="CCCCCC"/>
          <w:sz w:val="16"/>
        </w:rPr>
        <w:t>──────────────────────────────────────────────────</w:t>
      </w:r>
    </w:p>
    <w:p>
      <w:pPr>
        <w:pStyle w:val="Heading3"/>
      </w:pPr>
      <w:r>
        <w:t>Question 3: Indigenous Cultural Safety Content</w:t>
      </w:r>
    </w:p>
    <w:p>
      <w:r/>
      <w:r>
        <w:rPr>
          <w:b/>
        </w:rPr>
        <w:t>Suggested Reviewer:</w:t>
      </w:r>
      <w:r>
        <w:t xml:space="preserve"> Indigenous Health SME, Elder, or Cultural Safety Educator (Indigenous Health Program at UHN)</w:t>
      </w:r>
    </w:p>
    <w:p>
      <w:r/>
      <w:r>
        <w:rPr>
          <w:b/>
        </w:rPr>
        <w:t>Content Excerpt (from Scenario Branches, Scenario 3, Setup and Debrief):</w:t>
      </w:r>
      <w:r/>
    </w:p>
    <w:p>
      <w:r>
        <w:t>&gt; "An Indigenous patient from a northern Ontario community feels that the admission process did not acknowledge his cultural practices or allow him to have a family member present during clinical discussions, as is important in his tradition."</w:t>
      </w:r>
    </w:p>
    <w:p>
      <w:r>
        <w:t>&gt;</w:t>
      </w:r>
    </w:p>
    <w:p>
      <w:r>
        <w:t>&gt; [From debrief:] "This aligns with... the Truth and Reconciliation Commission's Calls to Action related to Indigenous health (TRC, 2015, Calls 18-24)."</w:t>
      </w:r>
    </w:p>
    <w:p>
      <w:r/>
      <w:r>
        <w:rPr>
          <w:b/>
        </w:rPr>
        <w:t>Review Question:</w:t>
      </w:r>
      <w:r>
        <w:t xml:space="preserve"> (a) Is the depiction of the Indigenous patient's experience respectful, accurate, and free of stereotyping? (b) Is the reference to TRC Calls to Action 18-24 appropriate in this context? (c) Does the scenario inadvertently homogenize Indigenous experiences or imply a monolithic "Indigenous tradition"? (d) Are there specific protocols, partnerships, or acknowledgements that UHN's Indigenous Health program would expect to see in this content?</w:t>
      </w:r>
    </w:p>
    <w:p>
      <w:r/>
      <w:r>
        <w:rPr>
          <w:b/>
        </w:rPr>
        <w:t>Reviewer Response:</w:t>
      </w:r>
      <w:r/>
    </w:p>
    <w:p>
      <w:pPr>
        <w:spacing w:before="120" w:after="120"/>
      </w:pPr>
      <w:r>
        <w:rPr>
          <w:color w:val="CCCCCC"/>
          <w:sz w:val="16"/>
        </w:rPr>
        <w:t>──────────────────────────────────────────────────</w:t>
      </w:r>
    </w:p>
    <w:p>
      <w:pPr>
        <w:pStyle w:val="Heading2"/>
      </w:pPr>
      <w:r>
        <w:t>High Risk Questions (4-6)</w:t>
      </w:r>
    </w:p>
    <w:p>
      <w:pPr>
        <w:pStyle w:val="Heading3"/>
      </w:pPr>
      <w:r>
        <w:t>Question 4: Online Booking System Scenario Plausibility</w:t>
      </w:r>
    </w:p>
    <w:p>
      <w:r/>
      <w:r>
        <w:rPr>
          <w:b/>
        </w:rPr>
        <w:t>Suggested Reviewer:</w:t>
      </w:r>
      <w:r>
        <w:t xml:space="preserve"> Digital Health/Patient Portal Lead or Health Information Management</w:t>
      </w:r>
    </w:p>
    <w:p>
      <w:r/>
      <w:r>
        <w:rPr>
          <w:b/>
        </w:rPr>
        <w:t>Content Excerpt (from Scenario Branches, Scenario 1, Setup):</w:t>
      </w:r>
      <w:r/>
    </w:p>
    <w:p>
      <w:r>
        <w:t>&gt; "Toronto General Hospital has launched 'BookMyVisit,' a new online appointment booking platform. The vendor's accessibility audit confirmed WCAG 2.1 AA compliance... the phone booking line, previously available Monday to Friday from 8 a.m. to 6 p.m., has been reduced to 10 a.m. to 2 p.m."</w:t>
      </w:r>
    </w:p>
    <w:p>
      <w:r/>
      <w:r>
        <w:rPr>
          <w:b/>
        </w:rPr>
        <w:t>Review Question:</w:t>
      </w:r>
      <w:r>
        <w:t xml:space="preserve"> Is this scenario plausible within UHN's current or foreseeable operational context? Would UHN realistically reduce phone booking hours to encourage digital adoption? Are there existing UHN policies or patient engagement commitments that would make this scenario implausible? If so, how should the scenario be adjusted to maintain realism?</w:t>
      </w:r>
    </w:p>
    <w:p>
      <w:r/>
      <w:r>
        <w:rPr>
          <w:b/>
        </w:rPr>
        <w:t>Reviewer Response:</w:t>
      </w:r>
      <w:r/>
    </w:p>
    <w:p>
      <w:pPr>
        <w:spacing w:before="120" w:after="120"/>
      </w:pPr>
      <w:r>
        <w:rPr>
          <w:color w:val="CCCCCC"/>
          <w:sz w:val="16"/>
        </w:rPr>
        <w:t>──────────────────────────────────────────────────</w:t>
      </w:r>
    </w:p>
    <w:p>
      <w:pPr>
        <w:pStyle w:val="Heading3"/>
      </w:pPr>
      <w:r>
        <w:t>Question 5: Signage Standards -- OBC vs. CSA B651-23</w:t>
      </w:r>
    </w:p>
    <w:p>
      <w:r/>
      <w:r>
        <w:rPr>
          <w:b/>
        </w:rPr>
        <w:t>Suggested Reviewer:</w:t>
      </w:r>
      <w:r>
        <w:t xml:space="preserve"> Facilities/Built Environment SME or Occupational Therapist (Accessibility)</w:t>
      </w:r>
    </w:p>
    <w:p>
      <w:r/>
      <w:r>
        <w:rPr>
          <w:b/>
        </w:rPr>
        <w:t>Content Excerpt (from Scenario Branches, Scenario 2, Choice A debrief):</w:t>
      </w:r>
      <w:r/>
    </w:p>
    <w:p>
      <w:r>
        <w:t>&gt; "This aligns with CSA B651-23 (Accessible Design for the Built Environment) recommendations that go beyond minimum code."</w:t>
      </w:r>
    </w:p>
    <w:p>
      <w:r/>
      <w:r>
        <w:rPr>
          <w:b/>
        </w:rPr>
        <w:t>Review Question:</w:t>
      </w:r>
      <w:r>
        <w:t xml:space="preserve"> Is it accurate to state that CSA B651-23 goes beyond Ontario Building Code minimum requirements for signage in healthcare settings? Are there specific CSA B651-23 clauses that are most relevant to the wayfinding scenario described? Are there other standards (e.g., Rick Hansen Foundation Accessibility Certification) that should be referenced?</w:t>
      </w:r>
    </w:p>
    <w:p>
      <w:r/>
      <w:r>
        <w:rPr>
          <w:b/>
        </w:rPr>
        <w:t>Reviewer Response:</w:t>
      </w:r>
      <w:r/>
    </w:p>
    <w:p>
      <w:pPr>
        <w:spacing w:before="120" w:after="120"/>
      </w:pPr>
      <w:r>
        <w:rPr>
          <w:color w:val="CCCCCC"/>
          <w:sz w:val="16"/>
        </w:rPr>
        <w:t>──────────────────────────────────────────────────</w:t>
      </w:r>
    </w:p>
    <w:p>
      <w:pPr>
        <w:pStyle w:val="Heading3"/>
      </w:pPr>
      <w:r>
        <w:t>Question 6: Deaf Patient Communication Scenario</w:t>
      </w:r>
    </w:p>
    <w:p>
      <w:r/>
      <w:r>
        <w:rPr>
          <w:b/>
        </w:rPr>
        <w:t>Suggested Reviewer:</w:t>
      </w:r>
      <w:r>
        <w:t xml:space="preserve"> ASL Interpreter Coordinator or Deaf Community Advisor</w:t>
      </w:r>
    </w:p>
    <w:p>
      <w:r/>
      <w:r>
        <w:rPr>
          <w:b/>
        </w:rPr>
        <w:t>Content Excerpt (from Scenario Branches, Scenario 3, Setup):</w:t>
      </w:r>
      <w:r/>
    </w:p>
    <w:p>
      <w:r>
        <w:t>&gt; "A Deaf patient who communicates in American Sign Language (ASL) reports that no one asked about her communication preferences during admission. Staff wrote notes on paper, but she found the handwriting illegible and the medical terminology confusing."</w:t>
      </w:r>
    </w:p>
    <w:p>
      <w:r/>
      <w:r>
        <w:rPr>
          <w:b/>
        </w:rPr>
        <w:t>Review Question:</w:t>
      </w:r>
      <w:r>
        <w:t xml:space="preserve"> (a) Does this scenario accurately reflect common communication barriers experienced by Deaf patients in Ontario hospital settings? (b) Is the use of capital-D "Deaf" appropriate here? (c) Are there additional barriers or nuances (e.g., Deaf patients who use LSQ rather than ASL, patients who are DeafBlind) that should be acknowledged in the debrief? (d) Does UHN have specific interpreter request protocols that should be referenced?</w:t>
      </w:r>
    </w:p>
    <w:p>
      <w:r/>
      <w:r>
        <w:rPr>
          <w:b/>
        </w:rPr>
        <w:t>Reviewer Response:</w:t>
      </w:r>
      <w:r/>
    </w:p>
    <w:p>
      <w:pPr>
        <w:spacing w:before="120" w:after="120"/>
      </w:pPr>
      <w:r>
        <w:rPr>
          <w:color w:val="CCCCCC"/>
          <w:sz w:val="16"/>
        </w:rPr>
        <w:t>──────────────────────────────────────────────────</w:t>
      </w:r>
    </w:p>
    <w:p>
      <w:pPr>
        <w:pStyle w:val="Heading2"/>
      </w:pPr>
      <w:r>
        <w:t>Medium Risk Questions (7-9)</w:t>
      </w:r>
    </w:p>
    <w:p>
      <w:pPr>
        <w:pStyle w:val="Heading3"/>
      </w:pPr>
      <w:r>
        <w:t>Question 7: Models of Disability Terminology</w:t>
      </w:r>
    </w:p>
    <w:p>
      <w:r/>
      <w:r>
        <w:rPr>
          <w:b/>
        </w:rPr>
        <w:t>Suggested Reviewer:</w:t>
      </w:r>
      <w:r>
        <w:t xml:space="preserve"> Disability Studies Scholar or Accessibility Educator</w:t>
      </w:r>
    </w:p>
    <w:p>
      <w:r/>
      <w:r>
        <w:rPr>
          <w:b/>
        </w:rPr>
        <w:t>Content Excerpt (from Assessment Bank, MT-01):</w:t>
      </w:r>
      <w:r/>
    </w:p>
    <w:p>
      <w:r>
        <w:t>&gt; "Medical Model: Disability is a deficit or deviation within the individual that requires diagnosis, treatment, or cure."</w:t>
      </w:r>
    </w:p>
    <w:p>
      <w:r>
        <w:t>&gt;</w:t>
      </w:r>
    </w:p>
    <w:p>
      <w:r>
        <w:t>&gt; "Social Model: Disability is caused by societal barriers and exclusionary design, not by the individual's impairment." (Oliver, 1990)</w:t>
      </w:r>
    </w:p>
    <w:p>
      <w:r>
        <w:t>&gt;</w:t>
      </w:r>
    </w:p>
    <w:p>
      <w:r>
        <w:t>&gt; "Rights-Based Model: People with disabilities are rights-holders entitled to full and equal participation in society."</w:t>
      </w:r>
    </w:p>
    <w:p>
      <w:r/>
      <w:r>
        <w:rPr>
          <w:b/>
        </w:rPr>
        <w:t>Review Question:</w:t>
      </w:r>
      <w:r>
        <w:t xml:space="preserve"> Are these descriptions of the three models accurate, appropriately nuanced, and current? Is the attribution to Oliver (1990) for the social model sufficient, or should additional scholars be cited? Is there a risk that the medical model description could be perceived as dismissive of legitimate clinical interventions? Should a note be added clarifying that these models are not mutually exclusive in practice?</w:t>
      </w:r>
    </w:p>
    <w:p>
      <w:r/>
      <w:r>
        <w:rPr>
          <w:b/>
        </w:rPr>
        <w:t>Reviewer Response:</w:t>
      </w:r>
      <w:r/>
    </w:p>
    <w:p>
      <w:pPr>
        <w:spacing w:before="120" w:after="120"/>
      </w:pPr>
      <w:r>
        <w:rPr>
          <w:color w:val="CCCCCC"/>
          <w:sz w:val="16"/>
        </w:rPr>
        <w:t>──────────────────────────────────────────────────</w:t>
      </w:r>
    </w:p>
    <w:p>
      <w:pPr>
        <w:pStyle w:val="Heading3"/>
      </w:pPr>
      <w:r>
        <w:t>Question 8: Practice Tip Accuracy -- Phased Signage Improvement</w:t>
      </w:r>
    </w:p>
    <w:p>
      <w:r/>
      <w:r>
        <w:rPr>
          <w:b/>
        </w:rPr>
        <w:t>Suggested Reviewer:</w:t>
      </w:r>
      <w:r>
        <w:t xml:space="preserve"> Facilities Project Manager or Patient Experience Lead</w:t>
      </w:r>
    </w:p>
    <w:p>
      <w:r/>
      <w:r>
        <w:rPr>
          <w:b/>
        </w:rPr>
        <w:t>Content Excerpt (from Scenario Branches, Scenario 2, Choice A consequence):</w:t>
      </w:r>
      <w:r/>
    </w:p>
    <w:p>
      <w:r>
        <w:t>&gt; "Phase 1 (immediate, low cost) adds colour-coded floor lines and large-print pictogram signs at eye level at the five major decision points. Phase 2 (next fiscal quarter) adds tactile signs with Braille at elevator lobbies and department entrances. Phase 3 (annual capital plan) replaces decorative fonts with a high-contrast sans-serif typeface on all permanent signs."</w:t>
      </w:r>
    </w:p>
    <w:p>
      <w:r/>
      <w:r>
        <w:rPr>
          <w:b/>
        </w:rPr>
        <w:t>Review Question:</w:t>
      </w:r>
      <w:r>
        <w:t xml:space="preserve"> Is this phased approach realistic within UHN's capital planning and facilities management processes? Are the cost and timeline assumptions reasonable? Would Braille signage at elevator lobbies be standard practice or an aspiration? Are there UHN-specific procurement or approval steps that would affect feasibility?</w:t>
      </w:r>
    </w:p>
    <w:p>
      <w:r/>
      <w:r>
        <w:rPr>
          <w:b/>
        </w:rPr>
        <w:t>Reviewer Response:</w:t>
      </w:r>
      <w:r/>
    </w:p>
    <w:p>
      <w:pPr>
        <w:spacing w:before="120" w:after="120"/>
      </w:pPr>
      <w:r>
        <w:rPr>
          <w:color w:val="CCCCCC"/>
          <w:sz w:val="16"/>
        </w:rPr>
        <w:t>──────────────────────────────────────────────────</w:t>
      </w:r>
    </w:p>
    <w:p>
      <w:pPr>
        <w:pStyle w:val="Heading3"/>
      </w:pPr>
      <w:r>
        <w:t>Question 9: Assessment Item Quality -- Intersectionality Scenario</w:t>
      </w:r>
    </w:p>
    <w:p>
      <w:r/>
      <w:r>
        <w:rPr>
          <w:b/>
        </w:rPr>
        <w:t>Suggested Reviewer:</w:t>
      </w:r>
      <w:r>
        <w:t xml:space="preserve"> Instructional Designer or Assessment Specialist</w:t>
      </w:r>
    </w:p>
    <w:p>
      <w:r/>
      <w:r>
        <w:rPr>
          <w:b/>
        </w:rPr>
        <w:t>Content Excerpt (from Assessment Bank, MS-02):</w:t>
      </w:r>
      <w:r/>
    </w:p>
    <w:p>
      <w:r>
        <w:t>&gt; "A 72-year-old Cantonese-speaking woman with low vision is navigating a UHN hospital to attend a diagnostic imaging appointment."</w:t>
      </w:r>
    </w:p>
    <w:p>
      <w:r/>
      <w:r>
        <w:rPr>
          <w:b/>
        </w:rPr>
        <w:t>Review Question:</w:t>
      </w:r>
      <w:r>
        <w:t xml:space="preserve"> (a) Does this item effectively assess the learner's understanding of intersectionality, or could a learner arrive at the correct answers without applying an intersectional lens? (b) Are the distractors (options C and E) sufficiently plausible? (c) Is the item free of bias that could disadvantage learners from specific cultural or linguistic backgrounds?</w:t>
      </w:r>
    </w:p>
    <w:p>
      <w:r/>
      <w:r>
        <w:rPr>
          <w:b/>
        </w:rPr>
        <w:t>Reviewer Response:</w:t>
      </w:r>
      <w:r/>
    </w:p>
    <w:p>
      <w:pPr>
        <w:spacing w:before="120" w:after="120"/>
      </w:pPr>
      <w:r>
        <w:rPr>
          <w:color w:val="CCCCCC"/>
          <w:sz w:val="16"/>
        </w:rPr>
        <w:t>──────────────────────────────────────────────────</w:t>
      </w:r>
    </w:p>
    <w:p>
      <w:pPr>
        <w:pStyle w:val="Heading2"/>
      </w:pPr>
      <w:r>
        <w:t>Low Risk Questions (10)</w:t>
      </w:r>
    </w:p>
    <w:p>
      <w:pPr>
        <w:pStyle w:val="Heading3"/>
      </w:pPr>
      <w:r>
        <w:t>Question 10: General Wording and Inclusive Language</w:t>
      </w:r>
    </w:p>
    <w:p>
      <w:r/>
      <w:r>
        <w:rPr>
          <w:b/>
        </w:rPr>
        <w:t>Suggested Reviewer:</w:t>
      </w:r>
      <w:r>
        <w:t xml:space="preserve"> Plain Language Editor or Communications Specialist</w:t>
      </w:r>
    </w:p>
    <w:p>
      <w:r/>
      <w:r>
        <w:rPr>
          <w:b/>
        </w:rPr>
        <w:t>Content Excerpt (from Assessment Bank, general):</w:t>
      </w:r>
      <w:r/>
    </w:p>
    <w:p>
      <w:r>
        <w:t>&gt; Review the full assessment bank for: (a) consistent use of person-first and identity-first language (note: both are acceptable; consistency within each item is key); (b) reading level appropriateness for a diverse UHN workforce audience (target: Grade 8-10 reading level for stems, slightly higher for debriefs); (c) any jargon or acronyms that are used without definition on first appearance; (d) inclusive and respectful representation across all patient descriptions.</w:t>
      </w:r>
    </w:p>
    <w:p>
      <w:r/>
      <w:r>
        <w:rPr>
          <w:b/>
        </w:rPr>
        <w:t>Review Question:</w:t>
      </w:r>
      <w:r>
        <w:t xml:space="preserve"> Are there any instances of language that could be perceived as exclusionary, condescending, or inconsistent? Are acronyms (AODA, OHRC, IASR, WCAG, OHIP, ASL, CLO) defined at first use or in a glossary? Is the tone appropriate -- professional yet approachable?</w:t>
      </w:r>
    </w:p>
    <w:p>
      <w:r/>
      <w:r>
        <w:rPr>
          <w:b/>
        </w:rPr>
        <w:t>Reviewer Response:</w:t>
      </w:r>
      <w:r/>
    </w:p>
    <w:p>
      <w:pPr>
        <w:spacing w:before="120" w:after="120"/>
      </w:pPr>
      <w:r>
        <w:rPr>
          <w:color w:val="CCCCCC"/>
          <w:sz w:val="16"/>
        </w:rPr>
        <w:t>──────────────────────────────────────────────────</w:t>
      </w:r>
    </w:p>
    <w:p>
      <w:pPr>
        <w:pStyle w:val="Heading2"/>
      </w:pPr>
      <w:r>
        <w:t>Additional Reviewer Comments</w:t>
      </w:r>
    </w:p>
    <w:p>
      <w:r/>
      <w:r>
        <w:rPr>
          <w:i/>
        </w:rPr>
        <w:t>Please add any observations, concerns, or suggestions not covered by the questions above.</w:t>
      </w:r>
      <w:r/>
    </w:p>
    <w:p>
      <w:pPr>
        <w:spacing w:before="120" w:after="120"/>
      </w:pPr>
      <w:r>
        <w:rPr>
          <w:color w:val="CCCCCC"/>
          <w:sz w:val="16"/>
        </w:rPr>
        <w:t>──────────────────────────────────────────────────</w:t>
      </w:r>
    </w:p>
    <w:p>
      <w:pPr>
        <w:pStyle w:val="Heading2"/>
      </w:pPr>
      <w:r>
        <w:t>Reviewer Sign-Off</w:t>
      </w:r>
    </w:p>
    <w:tbl>
      <w:tblPr>
        <w:tblStyle w:val="TableGrid"/>
        <w:tblW w:type="auto" w:w="0"/>
        <w:jc w:val="center"/>
        <w:tblLayout w:type="autofit"/>
        <w:tblLook w:firstColumn="1" w:firstRow="1" w:lastColumn="0" w:lastRow="0" w:noHBand="0" w:noVBand="1" w:val="04A0"/>
      </w:tblPr>
      <w:tblGrid>
        <w:gridCol w:w="2006"/>
        <w:gridCol w:w="2006"/>
        <w:gridCol w:w="2006"/>
        <w:gridCol w:w="2006"/>
        <w:gridCol w:w="2006"/>
      </w:tblGrid>
      <w:tr>
        <w:tc>
          <w:tcPr>
            <w:tcW w:type="dxa" w:w="2006"/>
            <w:shd w:fill="192858" w:val="clear"/>
          </w:tcPr>
          <w:p>
            <w:pPr/>
            <w:r>
              <w:rPr>
                <w:b/>
                <w:color w:val="FFFFFF"/>
                <w:sz w:val="18"/>
              </w:rPr>
            </w:r>
            <w:r>
              <w:rPr>
                <w:b/>
                <w:color w:val="FFFFFF"/>
                <w:sz w:val="18"/>
              </w:rPr>
              <w:t>Reviewer Name</w:t>
            </w:r>
          </w:p>
        </w:tc>
        <w:tc>
          <w:tcPr>
            <w:tcW w:type="dxa" w:w="2006"/>
            <w:shd w:fill="192858" w:val="clear"/>
          </w:tcPr>
          <w:p>
            <w:pPr/>
            <w:r>
              <w:rPr>
                <w:b/>
                <w:color w:val="FFFFFF"/>
                <w:sz w:val="18"/>
              </w:rPr>
            </w:r>
            <w:r>
              <w:rPr>
                <w:b/>
                <w:color w:val="FFFFFF"/>
                <w:sz w:val="18"/>
              </w:rPr>
              <w:t>Role/Title</w:t>
            </w:r>
          </w:p>
        </w:tc>
        <w:tc>
          <w:tcPr>
            <w:tcW w:type="dxa" w:w="2006"/>
            <w:shd w:fill="192858" w:val="clear"/>
          </w:tcPr>
          <w:p>
            <w:pPr/>
            <w:r>
              <w:rPr>
                <w:b/>
                <w:color w:val="FFFFFF"/>
                <w:sz w:val="18"/>
              </w:rPr>
            </w:r>
            <w:r>
              <w:rPr>
                <w:b/>
                <w:color w:val="FFFFFF"/>
                <w:sz w:val="18"/>
              </w:rPr>
              <w:t>Organization/Department</w:t>
            </w:r>
          </w:p>
        </w:tc>
        <w:tc>
          <w:tcPr>
            <w:tcW w:type="dxa" w:w="2006"/>
            <w:shd w:fill="192858" w:val="clear"/>
          </w:tcPr>
          <w:p>
            <w:pPr/>
            <w:r>
              <w:rPr>
                <w:b/>
                <w:color w:val="FFFFFF"/>
                <w:sz w:val="18"/>
              </w:rPr>
            </w:r>
            <w:r>
              <w:rPr>
                <w:b/>
                <w:color w:val="FFFFFF"/>
                <w:sz w:val="18"/>
              </w:rPr>
              <w:t>Date Reviewed</w:t>
            </w:r>
          </w:p>
        </w:tc>
        <w:tc>
          <w:tcPr>
            <w:tcW w:type="dxa" w:w="2006"/>
            <w:shd w:fill="192858" w:val="clear"/>
          </w:tcPr>
          <w:p>
            <w:pPr/>
            <w:r>
              <w:rPr>
                <w:b/>
                <w:color w:val="FFFFFF"/>
                <w:sz w:val="18"/>
              </w:rPr>
            </w:r>
            <w:r>
              <w:rPr>
                <w:b/>
                <w:color w:val="FFFFFF"/>
                <w:sz w:val="18"/>
              </w:rPr>
              <w:t>Approved (Y/N/Conditional)</w:t>
            </w:r>
          </w:p>
        </w:tc>
      </w:tr>
    </w:tbl>
    <w:p>
      <w:r/>
      <w:r>
        <w:rPr>
          <w:b/>
        </w:rPr>
        <w:t>Conditional Approval Notes:</w:t>
      </w:r>
      <w:r>
        <w:t xml:space="preserve"> If approval is conditional, please specify the conditions that must be met before the content proceeds to build.</w:t>
      </w:r>
    </w:p>
    <w:p>
      <w:pPr>
        <w:spacing w:before="120" w:after="120"/>
      </w:pPr>
      <w:r>
        <w:rPr>
          <w:color w:val="CCCCCC"/>
          <w:sz w:val="16"/>
        </w:rPr>
        <w:t>──────────────────────────────────────────────────</w:t>
      </w:r>
    </w:p>
    <w:p>
      <w:r/>
      <w:r>
        <w:rPr>
          <w:i/>
        </w:rPr>
        <w:t>End of SME Review Package -- Guide 01</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