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5E832557"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A842EA">
        <w:rPr>
          <w:rFonts w:cstheme="minorHAnsi"/>
          <w:b/>
          <w:bCs/>
          <w:sz w:val="32"/>
          <w:szCs w:val="32"/>
        </w:rPr>
        <w:t>B</w:t>
      </w:r>
      <w:r w:rsidR="00143C72">
        <w:rPr>
          <w:rFonts w:cstheme="minorHAnsi"/>
          <w:b/>
          <w:bCs/>
          <w:sz w:val="32"/>
          <w:szCs w:val="32"/>
        </w:rPr>
        <w:t xml:space="preserve">: </w:t>
      </w:r>
      <w:r w:rsidR="00A842EA" w:rsidRPr="00A842EA">
        <w:rPr>
          <w:rFonts w:cstheme="minorHAnsi"/>
          <w:b/>
          <w:bCs/>
          <w:sz w:val="32"/>
          <w:szCs w:val="32"/>
        </w:rPr>
        <w:t>(Semi-) Supervised Classification</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44F75CAC" w14:textId="4FE348A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r w:rsidRPr="002B4B97">
              <w:rPr>
                <w:sz w:val="18"/>
                <w:szCs w:val="18"/>
              </w:rPr>
              <w:t>Krippendorf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113AEC99" w14:textId="5D672E5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r w:rsidRPr="002B4B97">
              <w:rPr>
                <w:sz w:val="18"/>
                <w:szCs w:val="18"/>
              </w:rPr>
              <w:t>Krippendorf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5A69D396"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Reaching sufficient interrater agreement (e.g., Krippendorff’s alpha α)</w:t>
            </w:r>
          </w:p>
        </w:tc>
        <w:tc>
          <w:tcPr>
            <w:tcW w:w="1534" w:type="dxa"/>
            <w:noWrap/>
            <w:hideMark/>
          </w:tcPr>
          <w:p w14:paraId="3659E83E" w14:textId="03820E55" w:rsidR="007C0677" w:rsidRPr="002B4B97" w:rsidRDefault="007C0677" w:rsidP="007C0677">
            <w:pPr>
              <w:rPr>
                <w:sz w:val="18"/>
                <w:szCs w:val="18"/>
              </w:rPr>
            </w:pPr>
            <w:r w:rsidRPr="002B4B97">
              <w:rPr>
                <w:sz w:val="18"/>
                <w:szCs w:val="18"/>
              </w:rPr>
              <w:t>Krippendorf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7C0677" w:rsidRPr="002B4B97" w14:paraId="41D564B2" w14:textId="77777777" w:rsidTr="007C0677">
        <w:trPr>
          <w:trHeight w:val="20"/>
        </w:trPr>
        <w:tc>
          <w:tcPr>
            <w:tcW w:w="562" w:type="dxa"/>
            <w:noWrap/>
            <w:hideMark/>
          </w:tcPr>
          <w:p w14:paraId="5F7427EE" w14:textId="77777777" w:rsidR="007C0677" w:rsidRPr="002B4B97" w:rsidRDefault="007C0677" w:rsidP="007C0677">
            <w:pPr>
              <w:rPr>
                <w:sz w:val="18"/>
                <w:szCs w:val="18"/>
              </w:rPr>
            </w:pPr>
            <w:r w:rsidRPr="002B4B97">
              <w:rPr>
                <w:sz w:val="18"/>
                <w:szCs w:val="18"/>
              </w:rPr>
              <w:t>I.4</w:t>
            </w:r>
          </w:p>
        </w:tc>
        <w:tc>
          <w:tcPr>
            <w:tcW w:w="1701" w:type="dxa"/>
            <w:noWrap/>
            <w:hideMark/>
          </w:tcPr>
          <w:p w14:paraId="062CC9C1" w14:textId="77777777" w:rsidR="007C0677" w:rsidRPr="002B4B97" w:rsidRDefault="007C0677" w:rsidP="007C0677">
            <w:pPr>
              <w:rPr>
                <w:sz w:val="18"/>
                <w:szCs w:val="18"/>
              </w:rPr>
            </w:pPr>
            <w:r w:rsidRPr="002B4B97">
              <w:rPr>
                <w:sz w:val="18"/>
                <w:szCs w:val="18"/>
              </w:rPr>
              <w:t xml:space="preserve">Justification of data collection decisions </w:t>
            </w:r>
          </w:p>
        </w:tc>
        <w:tc>
          <w:tcPr>
            <w:tcW w:w="5529" w:type="dxa"/>
            <w:shd w:val="clear" w:color="auto" w:fill="E2EFD9" w:themeFill="accent6" w:themeFillTint="33"/>
            <w:noWrap/>
          </w:tcPr>
          <w:p w14:paraId="7F44A0FD" w14:textId="28E717BB"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2B267D6" w14:textId="2C8F8FC8" w:rsidR="007C0677" w:rsidRPr="002B4B97" w:rsidRDefault="007C0677" w:rsidP="007C0677">
            <w:pPr>
              <w:rPr>
                <w:sz w:val="18"/>
                <w:szCs w:val="18"/>
              </w:rPr>
            </w:pPr>
            <w:r w:rsidRPr="002B4B97">
              <w:rPr>
                <w:sz w:val="18"/>
                <w:szCs w:val="18"/>
              </w:rPr>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7C0677" w:rsidRPr="002B4B97" w:rsidRDefault="007C0677" w:rsidP="007C0677">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7C0677" w:rsidRPr="002B4B97" w:rsidRDefault="007C0677" w:rsidP="007C0677">
            <w:pPr>
              <w:rPr>
                <w:sz w:val="18"/>
                <w:szCs w:val="18"/>
              </w:rPr>
            </w:pPr>
            <w:r w:rsidRPr="002B4B97">
              <w:rPr>
                <w:sz w:val="18"/>
                <w:szCs w:val="18"/>
              </w:rPr>
              <w:t>Krippendorf (2018)</w:t>
            </w:r>
          </w:p>
        </w:tc>
      </w:tr>
      <w:tr w:rsidR="007C0677" w:rsidRPr="002B4B97" w14:paraId="71EE2374" w14:textId="77777777" w:rsidTr="007C0677">
        <w:trPr>
          <w:trHeight w:val="20"/>
        </w:trPr>
        <w:tc>
          <w:tcPr>
            <w:tcW w:w="562" w:type="dxa"/>
            <w:noWrap/>
            <w:hideMark/>
          </w:tcPr>
          <w:p w14:paraId="3284EA9D" w14:textId="77777777" w:rsidR="007C0677" w:rsidRPr="002B4B97" w:rsidRDefault="007C0677" w:rsidP="007C0677">
            <w:pPr>
              <w:rPr>
                <w:sz w:val="18"/>
                <w:szCs w:val="18"/>
              </w:rPr>
            </w:pPr>
            <w:r w:rsidRPr="002B4B97">
              <w:rPr>
                <w:sz w:val="18"/>
                <w:szCs w:val="18"/>
              </w:rPr>
              <w:t>I.5</w:t>
            </w:r>
          </w:p>
        </w:tc>
        <w:tc>
          <w:tcPr>
            <w:tcW w:w="1701" w:type="dxa"/>
            <w:noWrap/>
            <w:hideMark/>
          </w:tcPr>
          <w:p w14:paraId="30295CBB" w14:textId="77777777" w:rsidR="007C0677" w:rsidRPr="002B4B97" w:rsidRDefault="007C0677" w:rsidP="007C0677">
            <w:pPr>
              <w:rPr>
                <w:sz w:val="18"/>
                <w:szCs w:val="18"/>
              </w:rPr>
            </w:pPr>
            <w:r w:rsidRPr="002B4B97">
              <w:rPr>
                <w:sz w:val="18"/>
                <w:szCs w:val="18"/>
              </w:rPr>
              <w:t>Justification of method choice</w:t>
            </w:r>
          </w:p>
        </w:tc>
        <w:tc>
          <w:tcPr>
            <w:tcW w:w="5529" w:type="dxa"/>
            <w:shd w:val="clear" w:color="auto" w:fill="E2EFD9" w:themeFill="accent6" w:themeFillTint="33"/>
            <w:noWrap/>
          </w:tcPr>
          <w:p w14:paraId="3DD747A7" w14:textId="44862C89"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C69795A" w14:textId="6B4DF521" w:rsidR="007C0677" w:rsidRPr="002B4B97" w:rsidRDefault="007C0677" w:rsidP="007C0677">
            <w:pPr>
              <w:rPr>
                <w:sz w:val="18"/>
                <w:szCs w:val="18"/>
              </w:rPr>
            </w:pPr>
            <w:r w:rsidRPr="002B4B97">
              <w:rPr>
                <w:sz w:val="18"/>
                <w:szCs w:val="18"/>
              </w:rPr>
              <w:t xml:space="preserve">Have I selected the appropriate type of method based on the operationalization of the construct and data characteristics? Have I justified the concrete selection of a particular model? </w:t>
            </w:r>
          </w:p>
        </w:tc>
        <w:tc>
          <w:tcPr>
            <w:tcW w:w="1659" w:type="dxa"/>
            <w:noWrap/>
            <w:hideMark/>
          </w:tcPr>
          <w:p w14:paraId="45612B51" w14:textId="334DD3F7" w:rsidR="007C0677" w:rsidRPr="002B4B97" w:rsidRDefault="007C0677" w:rsidP="007C0677">
            <w:pPr>
              <w:rPr>
                <w:sz w:val="18"/>
                <w:szCs w:val="18"/>
              </w:rPr>
            </w:pPr>
            <w:r w:rsidRPr="002B4B97">
              <w:rPr>
                <w:sz w:val="18"/>
                <w:szCs w:val="18"/>
              </w:rPr>
              <w:t xml:space="preserve">Outlining the rationale behind method selection; Documenting potential limitations in comparison to </w:t>
            </w:r>
            <w:r w:rsidRPr="002B4B97">
              <w:rPr>
                <w:sz w:val="18"/>
                <w:szCs w:val="18"/>
              </w:rPr>
              <w:lastRenderedPageBreak/>
              <w:t>alternative methods</w:t>
            </w:r>
          </w:p>
        </w:tc>
        <w:tc>
          <w:tcPr>
            <w:tcW w:w="1534" w:type="dxa"/>
            <w:hideMark/>
          </w:tcPr>
          <w:p w14:paraId="3BC7900D" w14:textId="0C4BCE16" w:rsidR="007C0677" w:rsidRPr="002B4B97" w:rsidRDefault="007C0677" w:rsidP="007C0677">
            <w:pPr>
              <w:rPr>
                <w:sz w:val="18"/>
                <w:szCs w:val="18"/>
              </w:rPr>
            </w:pPr>
            <w:r w:rsidRPr="002B4B97">
              <w:rPr>
                <w:sz w:val="18"/>
                <w:szCs w:val="18"/>
              </w:rPr>
              <w:lastRenderedPageBreak/>
              <w:t>Grimmer et al. (2022)</w:t>
            </w:r>
          </w:p>
        </w:tc>
      </w:tr>
      <w:tr w:rsidR="007C0677" w:rsidRPr="002B4B97" w14:paraId="128050B3" w14:textId="77777777" w:rsidTr="007C0677">
        <w:trPr>
          <w:trHeight w:val="20"/>
        </w:trPr>
        <w:tc>
          <w:tcPr>
            <w:tcW w:w="562" w:type="dxa"/>
            <w:noWrap/>
            <w:hideMark/>
          </w:tcPr>
          <w:p w14:paraId="57D30616" w14:textId="77777777" w:rsidR="007C0677" w:rsidRPr="002B4B97" w:rsidRDefault="007C0677" w:rsidP="007C0677">
            <w:pPr>
              <w:rPr>
                <w:sz w:val="18"/>
                <w:szCs w:val="18"/>
              </w:rPr>
            </w:pPr>
            <w:r w:rsidRPr="002B4B97">
              <w:rPr>
                <w:sz w:val="18"/>
                <w:szCs w:val="18"/>
              </w:rPr>
              <w:t>I.6</w:t>
            </w:r>
          </w:p>
        </w:tc>
        <w:tc>
          <w:tcPr>
            <w:tcW w:w="1701" w:type="dxa"/>
            <w:noWrap/>
            <w:hideMark/>
          </w:tcPr>
          <w:p w14:paraId="559D5807" w14:textId="77777777" w:rsidR="007C0677" w:rsidRPr="002B4B97" w:rsidRDefault="007C0677" w:rsidP="007C0677">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085EAF2D" w:rsidR="007C0677" w:rsidRPr="002B4B97" w:rsidRDefault="007C0677" w:rsidP="007C0677">
            <w:pPr>
              <w:pStyle w:val="ListParagraph"/>
              <w:numPr>
                <w:ilvl w:val="0"/>
                <w:numId w:val="9"/>
              </w:numPr>
              <w:ind w:left="414" w:hanging="357"/>
              <w:rPr>
                <w:sz w:val="18"/>
                <w:szCs w:val="18"/>
              </w:rPr>
            </w:pPr>
          </w:p>
        </w:tc>
        <w:tc>
          <w:tcPr>
            <w:tcW w:w="2693" w:type="dxa"/>
            <w:hideMark/>
          </w:tcPr>
          <w:p w14:paraId="38FED21E" w14:textId="210706E5" w:rsidR="007C0677" w:rsidRPr="002B4B97" w:rsidRDefault="007C0677" w:rsidP="007C0677">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7C0677" w:rsidRPr="002B4B97" w:rsidRDefault="007C0677" w:rsidP="007C0677">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7C0677" w:rsidRPr="002B4B97" w:rsidRDefault="007C0677" w:rsidP="007C0677">
            <w:pPr>
              <w:rPr>
                <w:sz w:val="18"/>
                <w:szCs w:val="18"/>
              </w:rPr>
            </w:pPr>
            <w:r w:rsidRPr="002B4B97">
              <w:rPr>
                <w:sz w:val="18"/>
                <w:szCs w:val="18"/>
              </w:rPr>
              <w:t>Jankowski &amp; Huber (2022)</w:t>
            </w:r>
          </w:p>
        </w:tc>
      </w:tr>
      <w:tr w:rsidR="007C0677" w:rsidRPr="002B4B97" w14:paraId="26580BC3" w14:textId="77777777" w:rsidTr="007C0677">
        <w:trPr>
          <w:trHeight w:val="20"/>
        </w:trPr>
        <w:tc>
          <w:tcPr>
            <w:tcW w:w="562" w:type="dxa"/>
            <w:noWrap/>
            <w:hideMark/>
          </w:tcPr>
          <w:p w14:paraId="5FA49C92" w14:textId="77777777" w:rsidR="007C0677" w:rsidRPr="002B4B97" w:rsidRDefault="007C0677" w:rsidP="007C0677">
            <w:pPr>
              <w:rPr>
                <w:sz w:val="18"/>
                <w:szCs w:val="18"/>
              </w:rPr>
            </w:pPr>
            <w:r w:rsidRPr="002B4B97">
              <w:rPr>
                <w:sz w:val="18"/>
                <w:szCs w:val="18"/>
              </w:rPr>
              <w:t>I.7</w:t>
            </w:r>
          </w:p>
        </w:tc>
        <w:tc>
          <w:tcPr>
            <w:tcW w:w="1701" w:type="dxa"/>
            <w:noWrap/>
            <w:hideMark/>
          </w:tcPr>
          <w:p w14:paraId="49177A0F" w14:textId="77777777" w:rsidR="007C0677" w:rsidRPr="002B4B97" w:rsidRDefault="007C0677" w:rsidP="007C0677">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3372FF5B" w:rsidR="007C0677" w:rsidRPr="002B4B97" w:rsidRDefault="007C0677" w:rsidP="007C0677">
            <w:pPr>
              <w:pStyle w:val="ListParagraph"/>
              <w:numPr>
                <w:ilvl w:val="0"/>
                <w:numId w:val="9"/>
              </w:numPr>
              <w:ind w:left="414" w:hanging="357"/>
              <w:rPr>
                <w:sz w:val="18"/>
                <w:szCs w:val="18"/>
              </w:rPr>
            </w:pPr>
          </w:p>
        </w:tc>
        <w:tc>
          <w:tcPr>
            <w:tcW w:w="2693" w:type="dxa"/>
            <w:hideMark/>
          </w:tcPr>
          <w:p w14:paraId="2FC539E7" w14:textId="7C1038DD" w:rsidR="007C0677" w:rsidRPr="002B4B97" w:rsidRDefault="007C0677" w:rsidP="007C0677">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7C0677" w:rsidRPr="002B4B97" w:rsidRDefault="007C0677" w:rsidP="007C0677">
            <w:pPr>
              <w:rPr>
                <w:sz w:val="18"/>
                <w:szCs w:val="18"/>
              </w:rPr>
            </w:pPr>
            <w:r w:rsidRPr="002B4B97">
              <w:rPr>
                <w:sz w:val="18"/>
                <w:szCs w:val="18"/>
              </w:rPr>
              <w:t>Outlining the rationale behind preprocessing decisions</w:t>
            </w:r>
          </w:p>
        </w:tc>
        <w:tc>
          <w:tcPr>
            <w:tcW w:w="1534" w:type="dxa"/>
            <w:hideMark/>
          </w:tcPr>
          <w:p w14:paraId="2BC4575B" w14:textId="6AF32ADF" w:rsidR="007C0677" w:rsidRPr="002B4B97" w:rsidRDefault="007C0677" w:rsidP="007C0677">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Molnar (2020), Küpfer &amp; Meyer (2023)</w:t>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701BF6CD" w14:textId="77777777" w:rsidTr="00567BB9">
        <w:trPr>
          <w:trHeight w:val="20"/>
        </w:trPr>
        <w:tc>
          <w:tcPr>
            <w:tcW w:w="562" w:type="dxa"/>
            <w:noWrap/>
            <w:hideMark/>
          </w:tcPr>
          <w:p w14:paraId="1F3B5E4D" w14:textId="33B83C0E" w:rsidR="00372BA2" w:rsidRPr="002B4B97" w:rsidRDefault="00372BA2" w:rsidP="00372BA2">
            <w:pPr>
              <w:rPr>
                <w:rFonts w:cstheme="minorHAnsi"/>
                <w:sz w:val="18"/>
                <w:szCs w:val="18"/>
              </w:rPr>
            </w:pPr>
            <w:r w:rsidRPr="002B4B97">
              <w:rPr>
                <w:rFonts w:cstheme="minorHAnsi"/>
                <w:sz w:val="18"/>
                <w:szCs w:val="18"/>
              </w:rPr>
              <w:t>II.3</w:t>
            </w:r>
          </w:p>
        </w:tc>
        <w:tc>
          <w:tcPr>
            <w:tcW w:w="1701" w:type="dxa"/>
            <w:noWrap/>
            <w:hideMark/>
          </w:tcPr>
          <w:p w14:paraId="439D78CE" w14:textId="0A32CAA5" w:rsidR="00372BA2" w:rsidRPr="002B4B97" w:rsidRDefault="00372BA2" w:rsidP="00372BA2">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55046C01" w14:textId="4B01AAEE" w:rsidR="00372BA2" w:rsidRPr="002B4B97" w:rsidRDefault="00372BA2" w:rsidP="00372BA2">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372BA2" w:rsidRPr="002B4B97" w:rsidRDefault="00372BA2" w:rsidP="00372BA2">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470378EC" w14:textId="77777777" w:rsidTr="00567BB9">
        <w:trPr>
          <w:trHeight w:val="20"/>
        </w:trPr>
        <w:tc>
          <w:tcPr>
            <w:tcW w:w="562" w:type="dxa"/>
            <w:noWrap/>
          </w:tcPr>
          <w:p w14:paraId="5D277D09" w14:textId="3EDD16E9" w:rsidR="00372BA2" w:rsidRPr="002B4B97" w:rsidRDefault="00372BA2" w:rsidP="00372BA2">
            <w:pPr>
              <w:rPr>
                <w:rFonts w:cstheme="minorHAnsi"/>
                <w:sz w:val="18"/>
                <w:szCs w:val="18"/>
              </w:rPr>
            </w:pPr>
            <w:r w:rsidRPr="002B4B97">
              <w:rPr>
                <w:rFonts w:cstheme="minorHAnsi"/>
                <w:sz w:val="18"/>
                <w:szCs w:val="18"/>
              </w:rPr>
              <w:t>II.4</w:t>
            </w:r>
          </w:p>
        </w:tc>
        <w:tc>
          <w:tcPr>
            <w:tcW w:w="1701" w:type="dxa"/>
            <w:noWrap/>
          </w:tcPr>
          <w:p w14:paraId="4EF4A806" w14:textId="127CB42D" w:rsidR="00372BA2" w:rsidRPr="002B4B97" w:rsidRDefault="00372BA2" w:rsidP="00372BA2">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DC38F79" w14:textId="32F47978" w:rsidR="00372BA2" w:rsidRPr="002B4B97" w:rsidRDefault="00372BA2" w:rsidP="00372BA2">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372BA2" w:rsidRPr="002B4B97" w:rsidRDefault="00372BA2" w:rsidP="00372BA2">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2C8035DF" w14:textId="77777777" w:rsidTr="00567BB9">
        <w:trPr>
          <w:trHeight w:val="20"/>
        </w:trPr>
        <w:tc>
          <w:tcPr>
            <w:tcW w:w="13678" w:type="dxa"/>
            <w:gridSpan w:val="6"/>
            <w:shd w:val="clear" w:color="auto" w:fill="7F7F7F" w:themeFill="text1" w:themeFillTint="80"/>
            <w:noWrap/>
          </w:tcPr>
          <w:p w14:paraId="7BD81A91" w14:textId="65A525C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372BA2" w:rsidRPr="002B4B97" w14:paraId="358769FE" w14:textId="77777777" w:rsidTr="00567BB9">
        <w:trPr>
          <w:trHeight w:val="20"/>
        </w:trPr>
        <w:tc>
          <w:tcPr>
            <w:tcW w:w="562" w:type="dxa"/>
            <w:noWrap/>
            <w:hideMark/>
          </w:tcPr>
          <w:p w14:paraId="4D9F75F7" w14:textId="179691A6" w:rsidR="00372BA2" w:rsidRPr="002B4B97" w:rsidRDefault="00372BA2" w:rsidP="00372BA2">
            <w:pPr>
              <w:rPr>
                <w:rFonts w:cstheme="minorHAnsi"/>
                <w:sz w:val="18"/>
                <w:szCs w:val="18"/>
              </w:rPr>
            </w:pPr>
            <w:r w:rsidRPr="002B4B97">
              <w:rPr>
                <w:rFonts w:cstheme="minorHAnsi"/>
                <w:color w:val="000000"/>
                <w:sz w:val="18"/>
                <w:szCs w:val="18"/>
              </w:rPr>
              <w:t>II.5</w:t>
            </w:r>
          </w:p>
        </w:tc>
        <w:tc>
          <w:tcPr>
            <w:tcW w:w="1701" w:type="dxa"/>
            <w:noWrap/>
            <w:hideMark/>
          </w:tcPr>
          <w:p w14:paraId="797D6948" w14:textId="6877EF5F" w:rsidR="00372BA2" w:rsidRPr="002B4B97" w:rsidRDefault="00372BA2" w:rsidP="00372BA2">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A58BDF2" w14:textId="258B3104" w:rsidR="00372BA2" w:rsidRPr="002B4B97" w:rsidRDefault="00372BA2" w:rsidP="00372BA2">
            <w:pPr>
              <w:rPr>
                <w:rFonts w:cstheme="minorHAnsi"/>
                <w:sz w:val="18"/>
                <w:szCs w:val="18"/>
              </w:rPr>
            </w:pPr>
            <w:r w:rsidRPr="002B4B97">
              <w:rPr>
                <w:rFonts w:cstheme="minorHAnsi"/>
                <w:sz w:val="18"/>
                <w:szCs w:val="18"/>
              </w:rPr>
              <w:t>Have I conducted error analysis to compare the performance of my model across known subgroups?</w:t>
            </w:r>
          </w:p>
        </w:tc>
        <w:tc>
          <w:tcPr>
            <w:tcW w:w="1659" w:type="dxa"/>
            <w:noWrap/>
            <w:hideMark/>
          </w:tcPr>
          <w:p w14:paraId="497BD151" w14:textId="3689BCB3" w:rsidR="00372BA2" w:rsidRPr="002B4B97" w:rsidRDefault="00372BA2" w:rsidP="00372BA2">
            <w:pPr>
              <w:rPr>
                <w:rFonts w:cstheme="minorHAnsi"/>
                <w:sz w:val="18"/>
                <w:szCs w:val="18"/>
              </w:rPr>
            </w:pPr>
            <w:r w:rsidRPr="002B4B97">
              <w:rPr>
                <w:rFonts w:cstheme="minorHAnsi"/>
                <w:color w:val="000000"/>
                <w:sz w:val="18"/>
                <w:szCs w:val="18"/>
              </w:rPr>
              <w:t>Comparing performance metrics (i.e., F1) across subgroups</w:t>
            </w:r>
            <w:r w:rsidRPr="002B4B97" w:rsidDel="00087CAD">
              <w:rPr>
                <w:rFonts w:cstheme="minorHAnsi"/>
                <w:color w:val="000000"/>
                <w:sz w:val="18"/>
                <w:szCs w:val="18"/>
              </w:rPr>
              <w:t xml:space="preserve"> </w:t>
            </w:r>
          </w:p>
        </w:tc>
        <w:tc>
          <w:tcPr>
            <w:tcW w:w="1534" w:type="dxa"/>
            <w:hideMark/>
          </w:tcPr>
          <w:p w14:paraId="2E19F98D" w14:textId="22272D4A" w:rsidR="00372BA2" w:rsidRPr="002B4B97" w:rsidRDefault="00372BA2" w:rsidP="00372BA2">
            <w:pPr>
              <w:rPr>
                <w:rFonts w:cstheme="minorHAnsi"/>
                <w:sz w:val="18"/>
                <w:szCs w:val="18"/>
              </w:rPr>
            </w:pPr>
            <w:r w:rsidRPr="002B4B97">
              <w:rPr>
                <w:rFonts w:cstheme="minorHAnsi"/>
                <w:color w:val="000000"/>
                <w:sz w:val="18"/>
                <w:szCs w:val="18"/>
              </w:rPr>
              <w:t>Wu et al. (2019)</w:t>
            </w:r>
          </w:p>
        </w:tc>
      </w:tr>
      <w:tr w:rsidR="00372BA2" w:rsidRPr="002B4B97" w14:paraId="61AB97F2" w14:textId="77777777" w:rsidTr="00567BB9">
        <w:trPr>
          <w:trHeight w:val="20"/>
        </w:trPr>
        <w:tc>
          <w:tcPr>
            <w:tcW w:w="562" w:type="dxa"/>
            <w:noWrap/>
            <w:hideMark/>
          </w:tcPr>
          <w:p w14:paraId="26FA11F6" w14:textId="5CD88799" w:rsidR="00372BA2" w:rsidRPr="002B4B97" w:rsidRDefault="00372BA2" w:rsidP="00372BA2">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372BA2" w:rsidRPr="002B4B97" w:rsidRDefault="00372BA2" w:rsidP="00372BA2">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31916DF" w14:textId="4B74098F" w:rsidR="00372BA2" w:rsidRPr="002B4B97" w:rsidRDefault="00372BA2" w:rsidP="00372BA2">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372BA2" w:rsidRPr="002B4B97" w:rsidRDefault="00372BA2" w:rsidP="00372BA2">
            <w:pPr>
              <w:rPr>
                <w:rFonts w:cstheme="minorHAnsi"/>
                <w:sz w:val="18"/>
                <w:szCs w:val="18"/>
              </w:rPr>
            </w:pPr>
            <w:r w:rsidRPr="002B4B97">
              <w:rPr>
                <w:rFonts w:cstheme="minorHAnsi"/>
                <w:color w:val="000000"/>
                <w:sz w:val="18"/>
                <w:szCs w:val="18"/>
              </w:rPr>
              <w:t xml:space="preserve">Exploring the underlying causes of misclassifications by qualitatively </w:t>
            </w:r>
            <w:r w:rsidRPr="002B4B97">
              <w:rPr>
                <w:rFonts w:cstheme="minorHAnsi"/>
                <w:color w:val="000000"/>
                <w:sz w:val="18"/>
                <w:szCs w:val="18"/>
              </w:rPr>
              <w:lastRenderedPageBreak/>
              <w:t>screening misclassified examples</w:t>
            </w:r>
          </w:p>
        </w:tc>
        <w:tc>
          <w:tcPr>
            <w:tcW w:w="1534" w:type="dxa"/>
            <w:hideMark/>
          </w:tcPr>
          <w:p w14:paraId="77D92D4B" w14:textId="07468101" w:rsidR="00372BA2" w:rsidRPr="002B4B97" w:rsidRDefault="00372BA2" w:rsidP="00372BA2">
            <w:pPr>
              <w:rPr>
                <w:rFonts w:cstheme="minorHAnsi"/>
                <w:sz w:val="18"/>
                <w:szCs w:val="18"/>
              </w:rPr>
            </w:pPr>
            <w:r w:rsidRPr="002B4B97">
              <w:rPr>
                <w:rFonts w:cstheme="minorHAnsi"/>
                <w:color w:val="000000"/>
                <w:sz w:val="18"/>
                <w:szCs w:val="18"/>
              </w:rPr>
              <w:lastRenderedPageBreak/>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372BA2" w:rsidRPr="002B4B97" w14:paraId="438811FA" w14:textId="77777777" w:rsidTr="00567BB9">
        <w:trPr>
          <w:trHeight w:val="20"/>
        </w:trPr>
        <w:tc>
          <w:tcPr>
            <w:tcW w:w="13678" w:type="dxa"/>
            <w:gridSpan w:val="6"/>
            <w:shd w:val="clear" w:color="auto" w:fill="7F7F7F" w:themeFill="text1" w:themeFillTint="80"/>
            <w:noWrap/>
          </w:tcPr>
          <w:p w14:paraId="2449EFFA" w14:textId="41FF53A0" w:rsidR="00372BA2" w:rsidRPr="002B4B97" w:rsidRDefault="00372BA2" w:rsidP="00372BA2">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372BA2" w:rsidRPr="002B4B97" w14:paraId="4D3F449B" w14:textId="77777777" w:rsidTr="00567BB9">
        <w:trPr>
          <w:trHeight w:val="20"/>
        </w:trPr>
        <w:tc>
          <w:tcPr>
            <w:tcW w:w="562" w:type="dxa"/>
            <w:noWrap/>
            <w:hideMark/>
          </w:tcPr>
          <w:p w14:paraId="0EF108F1" w14:textId="18841584" w:rsidR="00372BA2" w:rsidRPr="002B4B97" w:rsidRDefault="00372BA2" w:rsidP="00372BA2">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372BA2" w:rsidRPr="002B4B97" w:rsidRDefault="00372BA2" w:rsidP="00372BA2">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3EAF8B2B" w14:textId="41BF31C5" w:rsidR="00372BA2" w:rsidRPr="002B4B97" w:rsidRDefault="00372BA2" w:rsidP="00372BA2">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372BA2" w:rsidRPr="002B4B97" w:rsidRDefault="00372BA2" w:rsidP="00372BA2">
            <w:pPr>
              <w:rPr>
                <w:rFonts w:cstheme="minorHAnsi"/>
                <w:sz w:val="18"/>
                <w:szCs w:val="18"/>
              </w:rPr>
            </w:pPr>
            <w:r w:rsidRPr="002B4B97">
              <w:rPr>
                <w:rFonts w:cstheme="minorHAnsi"/>
                <w:sz w:val="18"/>
                <w:szCs w:val="18"/>
              </w:rPr>
              <w:t>(Garg et al., 2019)</w:t>
            </w:r>
          </w:p>
        </w:tc>
      </w:tr>
      <w:tr w:rsidR="00372BA2" w:rsidRPr="002B4B97" w14:paraId="64213F1E" w14:textId="77777777" w:rsidTr="00567BB9">
        <w:trPr>
          <w:trHeight w:val="20"/>
        </w:trPr>
        <w:tc>
          <w:tcPr>
            <w:tcW w:w="562" w:type="dxa"/>
            <w:noWrap/>
          </w:tcPr>
          <w:p w14:paraId="6AFB4A0E" w14:textId="13526900" w:rsidR="00372BA2" w:rsidRPr="002B4B97" w:rsidRDefault="00372BA2" w:rsidP="00372BA2">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372BA2" w:rsidRPr="002B4B97" w:rsidRDefault="00372BA2" w:rsidP="00372BA2">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F6577C8" w14:textId="40DB4BC1" w:rsidR="00372BA2" w:rsidRPr="002B4B97" w:rsidRDefault="00372BA2" w:rsidP="00372BA2">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372BA2" w:rsidRPr="002B4B97" w:rsidRDefault="00372BA2" w:rsidP="00372BA2">
            <w:pPr>
              <w:rPr>
                <w:rFonts w:cstheme="minorHAnsi"/>
                <w:sz w:val="18"/>
                <w:szCs w:val="18"/>
              </w:rPr>
            </w:pPr>
            <w:r w:rsidRPr="002B4B97">
              <w:rPr>
                <w:rFonts w:cstheme="minorHAnsi"/>
                <w:sz w:val="18"/>
                <w:szCs w:val="18"/>
              </w:rPr>
              <w:t>(Ribeiro et al., 2018)</w:t>
            </w:r>
          </w:p>
        </w:tc>
      </w:tr>
      <w:tr w:rsidR="00372BA2" w:rsidRPr="002B4B97" w14:paraId="1F6BA61F" w14:textId="77777777" w:rsidTr="00567BB9">
        <w:trPr>
          <w:trHeight w:val="20"/>
        </w:trPr>
        <w:tc>
          <w:tcPr>
            <w:tcW w:w="562" w:type="dxa"/>
            <w:noWrap/>
          </w:tcPr>
          <w:p w14:paraId="6866AB7C" w14:textId="2A53FFD5" w:rsidR="00372BA2" w:rsidRPr="002B4B97" w:rsidRDefault="00372BA2" w:rsidP="00372BA2">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372BA2" w:rsidRPr="002B4B97" w:rsidRDefault="00372BA2" w:rsidP="00372BA2">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35053620" w14:textId="28287ACE" w:rsidR="00372BA2" w:rsidRPr="002B4B97" w:rsidRDefault="00372BA2" w:rsidP="00372BA2">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372BA2" w:rsidRPr="002B4B97" w:rsidRDefault="00372BA2" w:rsidP="00372BA2">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372BA2" w:rsidRPr="002B4B97" w:rsidRDefault="00372BA2" w:rsidP="00372BA2">
            <w:pPr>
              <w:rPr>
                <w:rFonts w:cstheme="minorHAnsi"/>
                <w:sz w:val="18"/>
                <w:szCs w:val="18"/>
              </w:rPr>
            </w:pPr>
            <w:r w:rsidRPr="002B4B97">
              <w:rPr>
                <w:rFonts w:cstheme="minorHAnsi"/>
                <w:sz w:val="18"/>
                <w:szCs w:val="18"/>
              </w:rPr>
              <w:t>Fang et al. (2023)</w:t>
            </w:r>
          </w:p>
        </w:tc>
      </w:tr>
      <w:tr w:rsidR="00372BA2" w:rsidRPr="002B4B97" w14:paraId="6B1EBA99" w14:textId="77777777" w:rsidTr="00567BB9">
        <w:trPr>
          <w:trHeight w:val="20"/>
        </w:trPr>
        <w:tc>
          <w:tcPr>
            <w:tcW w:w="562" w:type="dxa"/>
            <w:noWrap/>
            <w:hideMark/>
          </w:tcPr>
          <w:p w14:paraId="0F37CB5F" w14:textId="6F561BE4" w:rsidR="00372BA2" w:rsidRPr="002B4B97" w:rsidRDefault="00372BA2" w:rsidP="00372BA2">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372BA2" w:rsidRPr="002B4B97" w:rsidRDefault="00372BA2" w:rsidP="00372BA2">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3C54D11" w14:textId="3EFCB2DC" w:rsidR="00372BA2" w:rsidRPr="002B4B97" w:rsidRDefault="00372BA2" w:rsidP="00372BA2">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372BA2" w:rsidRPr="002B4B97" w:rsidRDefault="00372BA2" w:rsidP="00372BA2">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B7075C" w:rsidRPr="002B4B97" w14:paraId="14E7BE8A" w14:textId="77777777" w:rsidTr="00567BB9">
        <w:trPr>
          <w:trHeight w:val="20"/>
        </w:trPr>
        <w:tc>
          <w:tcPr>
            <w:tcW w:w="562" w:type="dxa"/>
            <w:noWrap/>
            <w:hideMark/>
          </w:tcPr>
          <w:p w14:paraId="1AA872F3" w14:textId="42F7FFC3" w:rsidR="00B7075C" w:rsidRPr="002B4B97" w:rsidRDefault="00B7075C" w:rsidP="00B7075C">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B7075C" w:rsidRPr="002B4B97" w:rsidRDefault="00B7075C" w:rsidP="00B7075C">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2FD66066" w14:textId="4A731D63" w:rsidR="00B7075C" w:rsidRPr="002B4B97" w:rsidRDefault="00B7075C" w:rsidP="00B7075C">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B7075C" w:rsidRPr="002B4B97" w:rsidRDefault="00B7075C" w:rsidP="00B7075C">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B7075C" w:rsidRPr="002B4B97" w:rsidRDefault="00B7075C" w:rsidP="00B7075C">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7D0338" w:rsidRPr="002B4B97" w14:paraId="6CB42CFE" w14:textId="77777777" w:rsidTr="00567BB9">
        <w:trPr>
          <w:trHeight w:val="20"/>
        </w:trPr>
        <w:tc>
          <w:tcPr>
            <w:tcW w:w="562" w:type="dxa"/>
            <w:noWrap/>
            <w:hideMark/>
          </w:tcPr>
          <w:p w14:paraId="351FEE9C" w14:textId="7840E481" w:rsidR="007D0338" w:rsidRPr="002B4B97" w:rsidRDefault="007D0338" w:rsidP="007D0338">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7D0338" w:rsidRPr="002B4B97" w:rsidRDefault="007D0338" w:rsidP="007D0338">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hideMark/>
          </w:tcPr>
          <w:p w14:paraId="156A593C" w14:textId="6EC2D29E" w:rsidR="007D0338" w:rsidRPr="002B4B97" w:rsidRDefault="007D0338" w:rsidP="007D0338">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7D0338" w:rsidRPr="002B4B97" w:rsidRDefault="007D0338" w:rsidP="007D0338">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7D0338" w:rsidRPr="002B4B97" w:rsidRDefault="007D0338" w:rsidP="007D0338">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7D0338" w:rsidRPr="002B4B97" w14:paraId="22CDB9DF" w14:textId="77777777" w:rsidTr="00567BB9">
        <w:trPr>
          <w:trHeight w:val="20"/>
        </w:trPr>
        <w:tc>
          <w:tcPr>
            <w:tcW w:w="562" w:type="dxa"/>
            <w:noWrap/>
          </w:tcPr>
          <w:p w14:paraId="4D2BAFAF" w14:textId="68EE9B9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139C4E2C" w14:textId="2CD5E901"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7D0338" w:rsidRPr="002B4B97" w14:paraId="4FD1BB85" w14:textId="77777777" w:rsidTr="00567BB9">
        <w:trPr>
          <w:trHeight w:val="20"/>
        </w:trPr>
        <w:tc>
          <w:tcPr>
            <w:tcW w:w="562" w:type="dxa"/>
            <w:noWrap/>
          </w:tcPr>
          <w:p w14:paraId="6A7D1CF4" w14:textId="592FFB2E"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7DD5DF83" w14:textId="17A2A46B"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7D0338" w:rsidRPr="002B4B97" w14:paraId="7F529A96" w14:textId="77777777" w:rsidTr="00567BB9">
        <w:trPr>
          <w:trHeight w:val="20"/>
        </w:trPr>
        <w:tc>
          <w:tcPr>
            <w:tcW w:w="562" w:type="dxa"/>
            <w:noWrap/>
          </w:tcPr>
          <w:p w14:paraId="6F19F067" w14:textId="191259AA"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7D0338" w:rsidRPr="002B4B97" w:rsidRDefault="007D0338" w:rsidP="007D0338">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206D6B1D" w14:textId="3660BF4E" w:rsidR="007D0338" w:rsidRPr="002B4B97" w:rsidRDefault="007D0338" w:rsidP="007D0338">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bl>
    <w:p w14:paraId="1135BDEE" w14:textId="77777777" w:rsidR="007D0338" w:rsidRDefault="007D0338"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1D70F6">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0F3F" w14:textId="77777777" w:rsidR="00780115" w:rsidRDefault="00780115" w:rsidP="00810B05">
      <w:pPr>
        <w:spacing w:after="0" w:line="240" w:lineRule="auto"/>
      </w:pPr>
      <w:r>
        <w:separator/>
      </w:r>
    </w:p>
  </w:endnote>
  <w:endnote w:type="continuationSeparator" w:id="0">
    <w:p w14:paraId="4CDF7727" w14:textId="77777777" w:rsidR="00780115" w:rsidRDefault="00780115"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2F6B" w14:textId="77777777" w:rsidR="00780115" w:rsidRDefault="00780115" w:rsidP="00810B05">
      <w:pPr>
        <w:spacing w:after="0" w:line="240" w:lineRule="auto"/>
      </w:pPr>
      <w:r>
        <w:separator/>
      </w:r>
    </w:p>
  </w:footnote>
  <w:footnote w:type="continuationSeparator" w:id="0">
    <w:p w14:paraId="7B96A404" w14:textId="77777777" w:rsidR="00780115" w:rsidRDefault="00780115"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D70F6"/>
    <w:rsid w:val="002161FA"/>
    <w:rsid w:val="0022707B"/>
    <w:rsid w:val="002461E6"/>
    <w:rsid w:val="00296FBB"/>
    <w:rsid w:val="002A26A5"/>
    <w:rsid w:val="002B4722"/>
    <w:rsid w:val="002B4B97"/>
    <w:rsid w:val="002C7642"/>
    <w:rsid w:val="002E563E"/>
    <w:rsid w:val="00372BA2"/>
    <w:rsid w:val="003E73AF"/>
    <w:rsid w:val="003E7F02"/>
    <w:rsid w:val="00406C9A"/>
    <w:rsid w:val="004A6858"/>
    <w:rsid w:val="004B3231"/>
    <w:rsid w:val="004F564C"/>
    <w:rsid w:val="005003D9"/>
    <w:rsid w:val="00501D41"/>
    <w:rsid w:val="00532825"/>
    <w:rsid w:val="005E021C"/>
    <w:rsid w:val="005F79D4"/>
    <w:rsid w:val="00640C71"/>
    <w:rsid w:val="006542EB"/>
    <w:rsid w:val="00674D4C"/>
    <w:rsid w:val="006908AB"/>
    <w:rsid w:val="006B3236"/>
    <w:rsid w:val="006C39FD"/>
    <w:rsid w:val="006F7E5A"/>
    <w:rsid w:val="007601BC"/>
    <w:rsid w:val="00780115"/>
    <w:rsid w:val="007C0677"/>
    <w:rsid w:val="007D0338"/>
    <w:rsid w:val="007E3408"/>
    <w:rsid w:val="007F53BC"/>
    <w:rsid w:val="00810B05"/>
    <w:rsid w:val="00870957"/>
    <w:rsid w:val="009D383A"/>
    <w:rsid w:val="009D3B74"/>
    <w:rsid w:val="00A816E7"/>
    <w:rsid w:val="00A842EA"/>
    <w:rsid w:val="00AE4522"/>
    <w:rsid w:val="00B622DC"/>
    <w:rsid w:val="00B7075C"/>
    <w:rsid w:val="00BA4DC4"/>
    <w:rsid w:val="00BE17A7"/>
    <w:rsid w:val="00C31C72"/>
    <w:rsid w:val="00C34065"/>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3021</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2024-06-03T11:03:00Z</dcterms:created>
  <dcterms:modified xsi:type="dcterms:W3CDTF">2024-06-03T11:04:00Z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