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562"/>
        <w:gridCol w:w="1701"/>
        <w:gridCol w:w="5529"/>
        <w:gridCol w:w="2693"/>
        <w:gridCol w:w="1659"/>
        <w:gridCol w:w="1534"/>
      </w:tblGrid>
      <w:tr w:rsidR="00813177" w:rsidRPr="00BF2839" w14:paraId="4E7067E6" w14:textId="77777777" w:rsidTr="007A69D9">
        <w:trPr>
          <w:trHeight w:val="20"/>
        </w:trPr>
        <w:tc>
          <w:tcPr>
            <w:tcW w:w="562" w:type="dxa"/>
            <w:shd w:val="clear" w:color="auto" w:fill="000000"/>
            <w:noWrap/>
          </w:tcPr>
          <w:p w14:paraId="278EBC91" w14:textId="77777777" w:rsidR="00813177" w:rsidRPr="00BF2839" w:rsidRDefault="00813177"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ID</w:t>
            </w:r>
          </w:p>
        </w:tc>
        <w:tc>
          <w:tcPr>
            <w:tcW w:w="1701" w:type="dxa"/>
            <w:shd w:val="clear" w:color="auto" w:fill="000000"/>
            <w:noWrap/>
          </w:tcPr>
          <w:p w14:paraId="29E4E191" w14:textId="77777777" w:rsidR="00813177" w:rsidRPr="00BF2839" w:rsidRDefault="00813177"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Validation Step</w:t>
            </w:r>
          </w:p>
        </w:tc>
        <w:tc>
          <w:tcPr>
            <w:tcW w:w="5529" w:type="dxa"/>
            <w:shd w:val="clear" w:color="auto" w:fill="000000"/>
            <w:noWrap/>
          </w:tcPr>
          <w:p w14:paraId="4CAE37D0" w14:textId="77777777" w:rsidR="00813177" w:rsidRPr="00BF2839" w:rsidRDefault="00813177"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Documentation</w:t>
            </w:r>
          </w:p>
        </w:tc>
        <w:tc>
          <w:tcPr>
            <w:tcW w:w="2693" w:type="dxa"/>
            <w:shd w:val="clear" w:color="auto" w:fill="000000"/>
          </w:tcPr>
          <w:p w14:paraId="52A012FC" w14:textId="77777777" w:rsidR="00813177" w:rsidRPr="00BF2839" w:rsidRDefault="00813177"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Considerations</w:t>
            </w:r>
          </w:p>
        </w:tc>
        <w:tc>
          <w:tcPr>
            <w:tcW w:w="1659" w:type="dxa"/>
            <w:shd w:val="clear" w:color="auto" w:fill="000000"/>
            <w:noWrap/>
          </w:tcPr>
          <w:p w14:paraId="62052104" w14:textId="77777777" w:rsidR="00813177" w:rsidRPr="00BF2839" w:rsidRDefault="00813177"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Performance Criteria</w:t>
            </w:r>
          </w:p>
        </w:tc>
        <w:tc>
          <w:tcPr>
            <w:tcW w:w="1534" w:type="dxa"/>
            <w:shd w:val="clear" w:color="auto" w:fill="000000"/>
          </w:tcPr>
          <w:p w14:paraId="79D07DA0" w14:textId="77777777" w:rsidR="00813177" w:rsidRPr="00BF2839" w:rsidRDefault="00813177" w:rsidP="007A69D9">
            <w:pPr>
              <w:spacing w:line="240" w:lineRule="auto"/>
              <w:jc w:val="left"/>
              <w:rPr>
                <w:rFonts w:ascii="Calibri" w:eastAsia="Calibri" w:hAnsi="Calibri" w:cs="Times New Roman"/>
                <w:color w:val="FFFFFF"/>
                <w:sz w:val="18"/>
                <w:szCs w:val="18"/>
              </w:rPr>
            </w:pPr>
            <w:r w:rsidRPr="00BF2839">
              <w:rPr>
                <w:rFonts w:ascii="Calibri" w:eastAsia="Calibri" w:hAnsi="Calibri" w:cs="Calibri"/>
                <w:color w:val="FFFFFF"/>
                <w:sz w:val="18"/>
                <w:szCs w:val="18"/>
              </w:rPr>
              <w:t>Source / References</w:t>
            </w:r>
          </w:p>
        </w:tc>
      </w:tr>
      <w:tr w:rsidR="00813177" w:rsidRPr="00BF2839" w14:paraId="6BDAC928" w14:textId="77777777" w:rsidTr="007A69D9">
        <w:trPr>
          <w:trHeight w:val="20"/>
        </w:trPr>
        <w:tc>
          <w:tcPr>
            <w:tcW w:w="13678" w:type="dxa"/>
            <w:gridSpan w:val="6"/>
            <w:shd w:val="clear" w:color="auto" w:fill="7F7F7F"/>
            <w:noWrap/>
          </w:tcPr>
          <w:p w14:paraId="494EB74C" w14:textId="77777777" w:rsidR="00813177" w:rsidRPr="00BF2839" w:rsidRDefault="00813177"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Construct Definition and Operationalization</w:t>
            </w:r>
          </w:p>
        </w:tc>
      </w:tr>
      <w:tr w:rsidR="00813177" w:rsidRPr="00BF2839" w14:paraId="0160706B" w14:textId="77777777" w:rsidTr="007A69D9">
        <w:trPr>
          <w:trHeight w:val="20"/>
        </w:trPr>
        <w:tc>
          <w:tcPr>
            <w:tcW w:w="562" w:type="dxa"/>
            <w:noWrap/>
            <w:hideMark/>
          </w:tcPr>
          <w:p w14:paraId="4363E89C" w14:textId="77777777" w:rsidR="00813177" w:rsidRPr="00BF2839" w:rsidRDefault="00813177" w:rsidP="007A69D9">
            <w:pPr>
              <w:spacing w:line="240" w:lineRule="auto"/>
              <w:jc w:val="left"/>
              <w:rPr>
                <w:rFonts w:ascii="Calibri" w:eastAsia="Calibri" w:hAnsi="Calibri" w:cs="Times New Roman"/>
                <w:sz w:val="18"/>
                <w:szCs w:val="18"/>
                <w:lang w:val="de-DE"/>
              </w:rPr>
            </w:pPr>
            <w:r w:rsidRPr="00BF2839">
              <w:rPr>
                <w:rFonts w:ascii="Calibri" w:eastAsia="Calibri" w:hAnsi="Calibri" w:cs="Calibri"/>
                <w:color w:val="000000"/>
                <w:sz w:val="18"/>
                <w:szCs w:val="18"/>
              </w:rPr>
              <w:t>III.1</w:t>
            </w:r>
          </w:p>
        </w:tc>
        <w:tc>
          <w:tcPr>
            <w:tcW w:w="1701" w:type="dxa"/>
            <w:noWrap/>
            <w:hideMark/>
          </w:tcPr>
          <w:p w14:paraId="6ADF83DB"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sz w:val="18"/>
                <w:szCs w:val="18"/>
              </w:rPr>
              <w:t>Comparison of measures with human-annotated test set ("gold-standard data")</w:t>
            </w:r>
          </w:p>
        </w:tc>
        <w:tc>
          <w:tcPr>
            <w:tcW w:w="5529" w:type="dxa"/>
            <w:shd w:val="clear" w:color="auto" w:fill="E2EFD9"/>
            <w:noWrap/>
          </w:tcPr>
          <w:p w14:paraId="1BD26AF0" w14:textId="77777777" w:rsidR="00813177" w:rsidRPr="00BF2839" w:rsidRDefault="00813177" w:rsidP="00813177">
            <w:pPr>
              <w:numPr>
                <w:ilvl w:val="0"/>
                <w:numId w:val="1"/>
              </w:numPr>
              <w:spacing w:line="240" w:lineRule="auto"/>
              <w:ind w:left="414" w:hanging="357"/>
              <w:contextualSpacing/>
              <w:jc w:val="left"/>
              <w:rPr>
                <w:rFonts w:ascii="Calibri Light" w:eastAsia="Calibri" w:hAnsi="Calibri Light" w:cs="Calibri Light"/>
                <w:sz w:val="18"/>
                <w:szCs w:val="18"/>
              </w:rPr>
            </w:pPr>
            <w:r w:rsidRPr="00BF2839">
              <w:rPr>
                <w:rFonts w:ascii="Calibri Light" w:eastAsia="Calibri" w:hAnsi="Calibri Light" w:cs="Calibri Light"/>
                <w:sz w:val="18"/>
                <w:szCs w:val="18"/>
              </w:rPr>
              <w:t>Systematic comparison with hand-annotated test set, report of F1 scores</w:t>
            </w:r>
          </w:p>
        </w:tc>
        <w:tc>
          <w:tcPr>
            <w:tcW w:w="2693" w:type="dxa"/>
            <w:hideMark/>
          </w:tcPr>
          <w:p w14:paraId="725D2EC2"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sz w:val="18"/>
                <w:szCs w:val="18"/>
              </w:rPr>
              <w:t xml:space="preserve">Have I reached sufficient predictive performance on a test set of held-out human annotations? Did I apply cross-validation to calculate average performance metrics?   </w:t>
            </w:r>
          </w:p>
        </w:tc>
        <w:tc>
          <w:tcPr>
            <w:tcW w:w="1659" w:type="dxa"/>
            <w:noWrap/>
            <w:hideMark/>
          </w:tcPr>
          <w:p w14:paraId="7BD7C3CE"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color w:val="000000"/>
                <w:sz w:val="18"/>
                <w:szCs w:val="18"/>
              </w:rPr>
              <w:t>Evaluating performance metrics (i.e., F1) for dataset of human annotations</w:t>
            </w:r>
          </w:p>
        </w:tc>
        <w:tc>
          <w:tcPr>
            <w:tcW w:w="1534" w:type="dxa"/>
            <w:hideMark/>
          </w:tcPr>
          <w:p w14:paraId="1F7FB571"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color w:val="000000"/>
                <w:sz w:val="18"/>
                <w:szCs w:val="18"/>
              </w:rPr>
              <w:fldChar w:fldCharType="begin"/>
            </w:r>
            <w:r w:rsidRPr="00BF2839">
              <w:rPr>
                <w:rFonts w:ascii="Calibri" w:eastAsia="Calibri" w:hAnsi="Calibri" w:cs="Calibri"/>
                <w:color w:val="000000"/>
                <w:sz w:val="18"/>
                <w:szCs w:val="18"/>
              </w:rPr>
              <w:instrText xml:space="preserve"> ADDIN ZOTERO_ITEM CSL_CITATION {"citationID":"yrpgnDBq","properties":{"formattedCitation":"(Samory et al., 2021)","plainCitation":"(Samory et al., 2021)","noteIndex":0},"citationItems":[{"id":2639,"uris":["http://zotero.org/users/9069824/items/Q7IIAVE6"],"itemData":{"id":2639,"type":"article-journal","abstract":"Research has focused on automated methods to effectively detect sexism online. Although overt sexism seems easy to spot, its subtle forms and manifold expressions are not. In this paper, we outline the different dimensions of sexism by grounding them in their implementation in psychological scales. From the scales, we derive a codebook for sexism in social media, which we use to annotate existing and novel datasets, surfacing their limitations in breadth and validity with respect to the construct of sexism. Next, we leverage the annotated datasets to generate adversarial examples, and test the reliability of sexism detection methods. Results indicate that current machine learning models pick up on a very narrow set of linguistic markers of sexism and do not generalize well to out-of-domain examples. Yet, including diverse data and adversarial examples at training time results in models that generalize better and that are more robust to artifacts of data collection. By providing a scale-based codebook and insights regarding the shortcomings of the state-of-the-art, we hope to contribute to the development of better and broader models for sexism detection, including reflections on theory-driven approaches to data collection.","container-title":"Proceedings of the International AAAI Conference on Web and Social Media","DOI":"10.1609/icwsm.v15i1.18085","ISSN":"2334-0770","language":"en","license":"Copyright (c) 2021 Association for the Advancement of Artificial Intelligence","page":"573-584","source":"ojs.aaai.org","title":"“Call me sexist, but...” : Revisiting Sexism Detection Using Psychological Scales and Adversarial Samples","title-short":"“Call me sexist, but...”","volume":"15","author":[{"family":"Samory","given":"Mattia"},{"family":"Sen","given":"Indira"},{"family":"Kohne","given":"Julian"},{"family":"Flöck","given":"Fabian"},{"family":"Wagner","given":"Claudia"}],"issued":{"date-parts":[["2021",5,22]]}}}],"schema":"https://github.com/citation-style-language/schema/raw/master/csl-citation.json"} </w:instrText>
            </w:r>
            <w:r w:rsidRPr="00BF2839">
              <w:rPr>
                <w:rFonts w:ascii="Calibri" w:eastAsia="Calibri" w:hAnsi="Calibri" w:cs="Calibri"/>
                <w:color w:val="000000"/>
                <w:sz w:val="18"/>
                <w:szCs w:val="18"/>
              </w:rPr>
              <w:fldChar w:fldCharType="separate"/>
            </w:r>
            <w:r w:rsidRPr="00BF2839">
              <w:rPr>
                <w:rFonts w:ascii="Calibri" w:eastAsia="Calibri" w:hAnsi="Calibri" w:cs="Calibri"/>
                <w:sz w:val="18"/>
                <w:szCs w:val="18"/>
              </w:rPr>
              <w:t>(</w:t>
            </w:r>
            <w:proofErr w:type="spellStart"/>
            <w:r w:rsidRPr="00BF2839">
              <w:rPr>
                <w:rFonts w:ascii="Calibri" w:eastAsia="Calibri" w:hAnsi="Calibri" w:cs="Calibri"/>
                <w:sz w:val="18"/>
                <w:szCs w:val="18"/>
              </w:rPr>
              <w:t>Samory</w:t>
            </w:r>
            <w:proofErr w:type="spellEnd"/>
            <w:r w:rsidRPr="00BF2839">
              <w:rPr>
                <w:rFonts w:ascii="Calibri" w:eastAsia="Calibri" w:hAnsi="Calibri" w:cs="Calibri"/>
                <w:sz w:val="18"/>
                <w:szCs w:val="18"/>
              </w:rPr>
              <w:t xml:space="preserve"> et al., 2021)</w:t>
            </w:r>
            <w:r w:rsidRPr="00BF2839">
              <w:rPr>
                <w:rFonts w:ascii="Calibri" w:eastAsia="Calibri" w:hAnsi="Calibri" w:cs="Calibri"/>
                <w:color w:val="000000"/>
                <w:sz w:val="18"/>
                <w:szCs w:val="18"/>
              </w:rPr>
              <w:fldChar w:fldCharType="end"/>
            </w:r>
          </w:p>
        </w:tc>
      </w:tr>
      <w:tr w:rsidR="00813177" w:rsidRPr="00BF2839" w14:paraId="10058212" w14:textId="77777777" w:rsidTr="007A69D9">
        <w:trPr>
          <w:trHeight w:val="20"/>
        </w:trPr>
        <w:tc>
          <w:tcPr>
            <w:tcW w:w="13678" w:type="dxa"/>
            <w:gridSpan w:val="6"/>
            <w:shd w:val="clear" w:color="auto" w:fill="7F7F7F"/>
            <w:noWrap/>
          </w:tcPr>
          <w:p w14:paraId="6BC56D78" w14:textId="77777777" w:rsidR="00813177" w:rsidRPr="00BF2839" w:rsidRDefault="00813177"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Surrogate Label Comparison (context-specific)</w:t>
            </w:r>
          </w:p>
        </w:tc>
      </w:tr>
      <w:tr w:rsidR="00813177" w:rsidRPr="00BF2839" w14:paraId="2D91CF4F" w14:textId="77777777" w:rsidTr="007A69D9">
        <w:trPr>
          <w:trHeight w:val="20"/>
        </w:trPr>
        <w:tc>
          <w:tcPr>
            <w:tcW w:w="562" w:type="dxa"/>
            <w:noWrap/>
            <w:hideMark/>
          </w:tcPr>
          <w:p w14:paraId="3E5B93BA"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color w:val="000000"/>
                <w:sz w:val="18"/>
                <w:szCs w:val="18"/>
              </w:rPr>
              <w:t>V.5</w:t>
            </w:r>
          </w:p>
        </w:tc>
        <w:tc>
          <w:tcPr>
            <w:tcW w:w="1701" w:type="dxa"/>
            <w:noWrap/>
            <w:hideMark/>
          </w:tcPr>
          <w:p w14:paraId="5A3F2055"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sz w:val="18"/>
                <w:szCs w:val="18"/>
              </w:rPr>
              <w:t>Comparison of measures with surrogate labels</w:t>
            </w:r>
          </w:p>
        </w:tc>
        <w:tc>
          <w:tcPr>
            <w:tcW w:w="5529" w:type="dxa"/>
            <w:shd w:val="clear" w:color="auto" w:fill="E2EFD9"/>
            <w:noWrap/>
          </w:tcPr>
          <w:p w14:paraId="42C84DF2" w14:textId="77777777" w:rsidR="00813177" w:rsidRPr="00BF2839" w:rsidRDefault="00813177" w:rsidP="00813177">
            <w:pPr>
              <w:numPr>
                <w:ilvl w:val="0"/>
                <w:numId w:val="1"/>
              </w:numPr>
              <w:spacing w:line="240" w:lineRule="auto"/>
              <w:ind w:left="414" w:hanging="357"/>
              <w:contextualSpacing/>
              <w:jc w:val="left"/>
              <w:rPr>
                <w:rFonts w:ascii="Calibri Light" w:eastAsia="Calibri" w:hAnsi="Calibri Light" w:cs="Calibri Light"/>
                <w:sz w:val="18"/>
                <w:szCs w:val="18"/>
              </w:rPr>
            </w:pPr>
            <w:r w:rsidRPr="00BF2839">
              <w:rPr>
                <w:rFonts w:ascii="Calibri Light" w:eastAsia="Calibri" w:hAnsi="Calibri Light" w:cs="Calibri Light"/>
                <w:sz w:val="18"/>
                <w:szCs w:val="18"/>
              </w:rPr>
              <w:t>Not provided</w:t>
            </w:r>
          </w:p>
        </w:tc>
        <w:tc>
          <w:tcPr>
            <w:tcW w:w="2693" w:type="dxa"/>
            <w:hideMark/>
          </w:tcPr>
          <w:p w14:paraId="19631A6D"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sz w:val="18"/>
                <w:szCs w:val="18"/>
              </w:rPr>
              <w:t xml:space="preserve">Have I reached sufficient predictive performance on the surrogate labels?    </w:t>
            </w:r>
          </w:p>
        </w:tc>
        <w:tc>
          <w:tcPr>
            <w:tcW w:w="1659" w:type="dxa"/>
            <w:noWrap/>
            <w:hideMark/>
          </w:tcPr>
          <w:p w14:paraId="09F99574"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sz w:val="18"/>
                <w:szCs w:val="18"/>
              </w:rPr>
              <w:t>Evaluating performance metrics (i.e., F1) for the surrogate labels</w:t>
            </w:r>
          </w:p>
        </w:tc>
        <w:tc>
          <w:tcPr>
            <w:tcW w:w="1534" w:type="dxa"/>
            <w:hideMark/>
          </w:tcPr>
          <w:p w14:paraId="46E72C0D"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sz w:val="18"/>
                <w:szCs w:val="18"/>
              </w:rPr>
              <w:t>Grimmer et al. (2022)</w:t>
            </w:r>
          </w:p>
        </w:tc>
      </w:tr>
      <w:tr w:rsidR="00813177" w:rsidRPr="00BF2839" w14:paraId="768E9018" w14:textId="77777777" w:rsidTr="007A69D9">
        <w:trPr>
          <w:trHeight w:val="20"/>
        </w:trPr>
        <w:tc>
          <w:tcPr>
            <w:tcW w:w="13678" w:type="dxa"/>
            <w:gridSpan w:val="6"/>
            <w:shd w:val="clear" w:color="auto" w:fill="7F7F7F"/>
            <w:noWrap/>
          </w:tcPr>
          <w:p w14:paraId="4DCAC258" w14:textId="77777777" w:rsidR="00813177" w:rsidRPr="00BF2839" w:rsidRDefault="00813177"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Criterion Prediction (context-specific)</w:t>
            </w:r>
          </w:p>
        </w:tc>
      </w:tr>
      <w:tr w:rsidR="00813177" w:rsidRPr="00BF2839" w14:paraId="31EB957B" w14:textId="77777777" w:rsidTr="007A69D9">
        <w:trPr>
          <w:trHeight w:val="20"/>
        </w:trPr>
        <w:tc>
          <w:tcPr>
            <w:tcW w:w="562" w:type="dxa"/>
            <w:noWrap/>
            <w:hideMark/>
          </w:tcPr>
          <w:p w14:paraId="563AD8A9"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color w:val="000000"/>
                <w:sz w:val="18"/>
                <w:szCs w:val="18"/>
              </w:rPr>
              <w:t>V.6</w:t>
            </w:r>
          </w:p>
        </w:tc>
        <w:tc>
          <w:tcPr>
            <w:tcW w:w="1701" w:type="dxa"/>
            <w:noWrap/>
            <w:hideMark/>
          </w:tcPr>
          <w:p w14:paraId="2A96B39F"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sz w:val="18"/>
                <w:szCs w:val="18"/>
              </w:rPr>
              <w:t>Criterion Prediction</w:t>
            </w:r>
          </w:p>
        </w:tc>
        <w:tc>
          <w:tcPr>
            <w:tcW w:w="5529" w:type="dxa"/>
            <w:shd w:val="clear" w:color="auto" w:fill="E2EFD9"/>
            <w:noWrap/>
          </w:tcPr>
          <w:p w14:paraId="7275A7A3" w14:textId="77777777" w:rsidR="00813177" w:rsidRPr="00BF2839" w:rsidRDefault="00813177" w:rsidP="00813177">
            <w:pPr>
              <w:numPr>
                <w:ilvl w:val="0"/>
                <w:numId w:val="1"/>
              </w:numPr>
              <w:spacing w:line="240" w:lineRule="auto"/>
              <w:ind w:left="414" w:hanging="357"/>
              <w:contextualSpacing/>
              <w:jc w:val="left"/>
              <w:rPr>
                <w:rFonts w:ascii="Calibri Light" w:eastAsia="Calibri" w:hAnsi="Calibri Light" w:cs="Calibri Light"/>
                <w:sz w:val="18"/>
                <w:szCs w:val="18"/>
              </w:rPr>
            </w:pPr>
            <w:r w:rsidRPr="00BF2839">
              <w:rPr>
                <w:rFonts w:ascii="Calibri Light" w:eastAsia="Calibri" w:hAnsi="Calibri Light" w:cs="Calibri Light"/>
                <w:sz w:val="18"/>
                <w:szCs w:val="18"/>
              </w:rPr>
              <w:t>Not provided</w:t>
            </w:r>
          </w:p>
        </w:tc>
        <w:tc>
          <w:tcPr>
            <w:tcW w:w="2693" w:type="dxa"/>
            <w:hideMark/>
          </w:tcPr>
          <w:p w14:paraId="26ACFFFE"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sz w:val="18"/>
                <w:szCs w:val="18"/>
              </w:rPr>
              <w:t xml:space="preserve">Have I been able to accurately predict real-word phenomena? </w:t>
            </w:r>
          </w:p>
        </w:tc>
        <w:tc>
          <w:tcPr>
            <w:tcW w:w="1659" w:type="dxa"/>
            <w:noWrap/>
            <w:hideMark/>
          </w:tcPr>
          <w:p w14:paraId="55E57CC7"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sz w:val="18"/>
                <w:szCs w:val="18"/>
              </w:rPr>
              <w:t>Evaluating predictive metrics (i.e., regression coefficient) for the criteria</w:t>
            </w:r>
          </w:p>
        </w:tc>
        <w:tc>
          <w:tcPr>
            <w:tcW w:w="1534" w:type="dxa"/>
            <w:hideMark/>
          </w:tcPr>
          <w:p w14:paraId="5FF0BF66" w14:textId="77777777" w:rsidR="00813177" w:rsidRPr="00BF2839" w:rsidRDefault="00813177" w:rsidP="007A69D9">
            <w:pPr>
              <w:spacing w:line="240" w:lineRule="auto"/>
              <w:jc w:val="left"/>
              <w:rPr>
                <w:rFonts w:ascii="Calibri" w:eastAsia="Calibri" w:hAnsi="Calibri" w:cs="Times New Roman"/>
                <w:sz w:val="18"/>
                <w:szCs w:val="18"/>
              </w:rPr>
            </w:pPr>
            <w:r w:rsidRPr="00BF2839">
              <w:rPr>
                <w:rFonts w:ascii="Calibri" w:eastAsia="Calibri" w:hAnsi="Calibri" w:cs="Calibri"/>
                <w:sz w:val="18"/>
                <w:szCs w:val="18"/>
              </w:rPr>
              <w:t>Grimmer et al. (2022)</w:t>
            </w:r>
          </w:p>
        </w:tc>
      </w:tr>
    </w:tbl>
    <w:p w14:paraId="74CCEE99" w14:textId="77777777" w:rsidR="000630AD" w:rsidRPr="00813177" w:rsidRDefault="000630AD" w:rsidP="00813177"/>
    <w:sectPr w:rsidR="000630AD" w:rsidRPr="00813177" w:rsidSect="002416DC">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833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DC"/>
    <w:rsid w:val="000630AD"/>
    <w:rsid w:val="000B004A"/>
    <w:rsid w:val="002416DC"/>
    <w:rsid w:val="002C7642"/>
    <w:rsid w:val="00331AF8"/>
    <w:rsid w:val="003F481E"/>
    <w:rsid w:val="005B19A7"/>
    <w:rsid w:val="006834BC"/>
    <w:rsid w:val="00813177"/>
    <w:rsid w:val="00AE4522"/>
    <w:rsid w:val="00BA4DC4"/>
    <w:rsid w:val="00F328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FEA8"/>
  <w15:chartTrackingRefBased/>
  <w15:docId w15:val="{2B087491-CC59-4424-8116-B12FB6AF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DC"/>
    <w:pPr>
      <w:spacing w:line="480" w:lineRule="auto"/>
      <w:jc w:val="both"/>
    </w:pPr>
    <w:rPr>
      <w:rFonts w:ascii="Times New Roman" w:hAnsi="Times New Roman"/>
      <w:kern w:val="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6DC"/>
    <w:pPr>
      <w:spacing w:after="0" w:line="240" w:lineRule="auto"/>
    </w:pPr>
    <w:rPr>
      <w:kern w:val="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2957</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3</cp:revision>
  <dcterms:created xsi:type="dcterms:W3CDTF">2024-09-30T12:23:00Z</dcterms:created>
  <dcterms:modified xsi:type="dcterms:W3CDTF">2024-09-30T12:23:00Z</dcterms:modified>
</cp:coreProperties>
</file>