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1. Úvod do manažerského účetnictví</w:t>
      </w:r>
    </w:p>
    <w:p>
      <w:pPr>
        <w:pStyle w:val="Heading1"/>
      </w:pPr>
      <w:r>
        <w:t xml:space="preserve">Klasifikace účetních systémů</w:t>
      </w:r>
    </w:p>
    <w:p>
      <w:pPr>
        <w:pStyle w:val="ListParagraph"/>
        <w:numPr>
          <w:ilvl w:val="0"/>
          <w:numId w:val="2"/>
        </w:numPr>
      </w:pPr>
      <w:r>
        <w:t xml:space="preserve">Finanční účetnictví (financial accounting) – MD, D</w:t>
      </w:r>
    </w:p>
    <w:p>
      <w:pPr>
        <w:pStyle w:val="ListParagraph"/>
        <w:numPr>
          <w:ilvl w:val="0"/>
          <w:numId w:val="2"/>
        </w:numPr>
      </w:pPr>
      <w:r>
        <w:t xml:space="preserve">Daňové účetnictví (tax accounting)</w:t>
      </w:r>
    </w:p>
    <w:p>
      <w:pPr>
        <w:pStyle w:val="ListParagraph"/>
        <w:numPr>
          <w:ilvl w:val="0"/>
          <w:numId w:val="2"/>
        </w:numPr>
      </w:pPr>
      <w:r>
        <w:t xml:space="preserve">Nákladové účetnictví (cost accounting)</w:t>
      </w:r>
    </w:p>
    <w:p>
      <w:pPr>
        <w:pStyle w:val="ListParagraph"/>
        <w:numPr>
          <w:ilvl w:val="0"/>
          <w:numId w:val="2"/>
        </w:numPr>
      </w:pPr>
      <w:r>
        <w:t xml:space="preserve">Manažerské účetnictví (managerial accounting) – odhady, predikce</w:t>
      </w:r>
    </w:p>
    <w:p>
      <w:pPr>
        <w:pStyle w:val="ListParagraph"/>
        <w:numPr>
          <w:ilvl w:val="0"/>
          <w:numId w:val="2"/>
        </w:numPr>
      </w:pPr>
      <w:r>
        <w:t xml:space="preserve">Odpovědnostní účetnictví (responsibility accounting)</w:t>
      </w:r>
    </w:p>
    <w:p>
      <w:pPr>
        <w:pStyle w:val="Heading1"/>
      </w:pPr>
      <w:r>
        <w:t xml:space="preserve">Regionální rozdíly ve FÚ ⚠️ TEST</w:t>
      </w:r>
    </w:p>
    <w:p>
      <w:r>
        <w:rPr>
          <w:i/>
          <w:iCs/>
        </w:rPr>
        <w:t xml:space="preserve">Cíl všech systémů: poskytovat informace uživatelům</w:t>
      </w:r>
    </w:p>
    <w:p>
      <w:pPr>
        <w:pStyle w:val="Heading2"/>
      </w:pPr>
      <w:r>
        <w:t xml:space="preserve">Anglosaský (US GAAP, IFRS)</w:t>
      </w:r>
    </w:p>
    <w:p>
      <w:pPr>
        <w:pStyle w:val="ListParagraph"/>
        <w:numPr>
          <w:ilvl w:val="0"/>
          <w:numId w:val="3"/>
        </w:numPr>
      </w:pPr>
      <w:r>
        <w:t xml:space="preserve">Uživatelé: investoři, akcionáři, držitelé dluhopisů</w:t>
      </w:r>
    </w:p>
    <w:p>
      <w:pPr>
        <w:pStyle w:val="ListParagraph"/>
        <w:numPr>
          <w:ilvl w:val="0"/>
          <w:numId w:val="3"/>
        </w:numPr>
      </w:pPr>
      <w:r>
        <w:t xml:space="preserve">Země: USA, UK</w:t>
      </w:r>
    </w:p>
    <w:p>
      <w:pPr>
        <w:pStyle w:val="Heading2"/>
      </w:pPr>
      <w:r>
        <w:t xml:space="preserve">Kontinentální (EU)</w:t>
      </w:r>
    </w:p>
    <w:p>
      <w:pPr>
        <w:pStyle w:val="ListParagraph"/>
        <w:numPr>
          <w:ilvl w:val="0"/>
          <w:numId w:val="3"/>
        </w:numPr>
      </w:pPr>
      <w:r>
        <w:t xml:space="preserve">Uživatelé: stát, banky, vedení</w:t>
      </w:r>
    </w:p>
    <w:p>
      <w:pPr>
        <w:pStyle w:val="ListParagraph"/>
        <w:numPr>
          <w:ilvl w:val="0"/>
          <w:numId w:val="3"/>
        </w:numPr>
      </w:pPr>
      <w:r>
        <w:t xml:space="preserve">Země: Francie, Německo, ČR</w:t>
      </w:r>
    </w:p>
    <w:p>
      <w:pPr>
        <w:pStyle w:val="ListParagraph"/>
        <w:numPr>
          <w:ilvl w:val="0"/>
          <w:numId w:val="3"/>
        </w:numPr>
      </w:pPr>
      <w:r>
        <w:t xml:space="preserve">Rozdíly v oceňování majetku → systémy nejsou slučitelné</w:t>
      </w:r>
    </w:p>
    <w:p>
      <w:pPr>
        <w:pStyle w:val="Heading1"/>
      </w:pPr>
      <w:r>
        <w:t xml:space="preserve">Mezinárodní účetní standardy</w:t>
      </w:r>
    </w:p>
    <w:p>
      <w:pPr>
        <w:pStyle w:val="ListParagraph"/>
        <w:numPr>
          <w:ilvl w:val="0"/>
          <w:numId w:val="2"/>
        </w:numPr>
      </w:pPr>
      <w:r>
        <w:t xml:space="preserve">Snahy o harmonizaci od 70. let (rozdíly v legislativách)</w:t>
      </w:r>
    </w:p>
    <w:p>
      <w:pPr>
        <w:pStyle w:val="ListParagraph"/>
        <w:numPr>
          <w:ilvl w:val="0"/>
          <w:numId w:val="2"/>
        </w:numPr>
      </w:pPr>
      <w:r>
        <w:t xml:space="preserve">US GAAP – USA</w:t>
      </w:r>
    </w:p>
    <w:p>
      <w:pPr>
        <w:pStyle w:val="ListParagraph"/>
        <w:numPr>
          <w:ilvl w:val="0"/>
          <w:numId w:val="2"/>
        </w:numPr>
      </w:pPr>
      <w:r>
        <w:t xml:space="preserve">IAS/IFRS – Evropa</w:t>
      </w:r>
    </w:p>
    <w:p>
      <w:pPr>
        <w:pStyle w:val="ListParagraph"/>
        <w:numPr>
          <w:ilvl w:val="0"/>
          <w:numId w:val="2"/>
        </w:numPr>
      </w:pPr>
      <w:r>
        <w:t xml:space="preserve">Oba založeny na podobných principech</w:t>
      </w:r>
    </w:p>
    <w:p>
      <w:pPr>
        <w:pStyle w:val="Heading1"/>
      </w:pPr>
      <w:r>
        <w:t xml:space="preserve">Vztah FÚ a MÚ ⚠️ TEST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Uživatelé: </w:t>
      </w:r>
      <w:r>
        <w:t xml:space="preserve">FÚ = externí (investoři, banky) | MÚ = vedení, manažeři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Obsah: </w:t>
      </w:r>
      <w:r>
        <w:t xml:space="preserve">FÚ = aktiva, pasiva, HV | MÚ = kalkulace, rozpočty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Zaměření: </w:t>
      </w:r>
      <w:r>
        <w:t xml:space="preserve">FÚ = podnik jako celek | MÚ = i vnitropodnikové jednotky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Regulace: </w:t>
      </w:r>
      <w:r>
        <w:t xml:space="preserve">FÚ = zákonem regulováno | MÚ = neregulováno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Jednotky: </w:t>
      </w:r>
      <w:r>
        <w:t xml:space="preserve">FÚ = peněžní | MÚ = peněžní + naturální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Periodicita: </w:t>
      </w:r>
      <w:r>
        <w:t xml:space="preserve">FÚ = ročně | MÚ = dle potřeby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Čas: </w:t>
      </w:r>
      <w:r>
        <w:t xml:space="preserve">FÚ = MINULOST | MÚ = BUDOUCNOST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Spolehlivost: </w:t>
      </w:r>
      <w:r>
        <w:t xml:space="preserve">FÚ = spolehlivé, veřejné | MÚ = odhady, důvěrné</w:t>
      </w:r>
    </w:p>
    <w:p>
      <w:pPr>
        <w:pStyle w:val="Heading1"/>
      </w:pPr>
      <w:r>
        <w:t xml:space="preserve">3 vývojové etapy ⚠️ TEST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I. Nákladové účetnictví </w:t>
      </w:r>
      <w:r>
        <w:t xml:space="preserve">– minulost, evidence nákladů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II. Manažerské účetnictví </w:t>
      </w:r>
      <w:r>
        <w:t xml:space="preserve">– budoucnost, podpora rozhodnutí, modelování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III. Management nákladů </w:t>
      </w:r>
      <w:r>
        <w:t xml:space="preserve">– budoucnost, aktivní ovlivňování, strategie</w:t>
      </w:r>
    </w:p>
    <w:p>
      <w:pPr>
        <w:pStyle w:val="Heading1"/>
      </w:pPr>
      <w:r>
        <w:t xml:space="preserve">Hlavní vývojové trendy ⚠️ TEST</w:t>
      </w:r>
    </w:p>
    <w:p>
      <w:pPr>
        <w:pStyle w:val="ListParagraph"/>
        <w:numPr>
          <w:ilvl w:val="0"/>
          <w:numId w:val="2"/>
        </w:numPr>
      </w:pPr>
      <w:r>
        <w:t xml:space="preserve">Analýza celého hodnotového řetězce (ne jen výroba)</w:t>
      </w:r>
    </w:p>
    <w:p>
      <w:pPr>
        <w:pStyle w:val="ListParagraph"/>
        <w:numPr>
          <w:ilvl w:val="0"/>
          <w:numId w:val="2"/>
        </w:numPr>
      </w:pPr>
      <w:r>
        <w:t xml:space="preserve">Náklady od nápadu až po zrušení produktu</w:t>
      </w:r>
    </w:p>
    <w:p>
      <w:pPr>
        <w:pStyle w:val="ListParagraph"/>
        <w:numPr>
          <w:ilvl w:val="0"/>
          <w:numId w:val="2"/>
        </w:numPr>
      </w:pPr>
      <w:r>
        <w:t xml:space="preserve">Náklady lze aktivně ovlivňovat (nejsou "nutné zlo")</w:t>
      </w:r>
    </w:p>
    <w:p>
      <w:pPr>
        <w:pStyle w:val="ListParagraph"/>
        <w:numPr>
          <w:ilvl w:val="0"/>
          <w:numId w:val="2"/>
        </w:numPr>
      </w:pPr>
      <w:r>
        <w:t xml:space="preserve">Náklady vznikají důsledkem procesů</w:t>
      </w:r>
    </w:p>
    <w:p>
      <w:pPr>
        <w:pStyle w:val="ListParagraph"/>
        <w:numPr>
          <w:ilvl w:val="0"/>
          <w:numId w:val="2"/>
        </w:numPr>
      </w:pPr>
      <w:r>
        <w:t xml:space="preserve">Údaje poskytují info o budoucím vývoji</w:t>
      </w:r>
    </w:p>
    <w:p>
      <w:pPr>
        <w:pStyle w:val="Heading1"/>
      </w:pPr>
      <w:r>
        <w:t xml:space="preserve">Vliv změn v ekonomickém prostředí</w:t>
      </w:r>
    </w:p>
    <w:p>
      <w:pPr>
        <w:pStyle w:val="ListParagraph"/>
        <w:numPr>
          <w:ilvl w:val="0"/>
          <w:numId w:val="2"/>
        </w:numPr>
      </w:pPr>
      <w:r>
        <w:t xml:space="preserve">Globální konkurence (od 80. let)</w:t>
      </w:r>
    </w:p>
    <w:p>
      <w:pPr>
        <w:pStyle w:val="ListParagraph"/>
        <w:numPr>
          <w:ilvl w:val="0"/>
          <w:numId w:val="2"/>
        </w:numPr>
      </w:pPr>
      <w:r>
        <w:t xml:space="preserve">Růst služeb (UK 75% HDP)</w:t>
      </w:r>
    </w:p>
    <w:p>
      <w:pPr>
        <w:pStyle w:val="ListParagraph"/>
        <w:numPr>
          <w:ilvl w:val="0"/>
          <w:numId w:val="2"/>
        </w:numPr>
      </w:pPr>
      <w:r>
        <w:t xml:space="preserve">Zkracování životního cyklu výrobků</w:t>
      </w:r>
    </w:p>
    <w:p>
      <w:pPr>
        <w:pStyle w:val="ListParagraph"/>
        <w:numPr>
          <w:ilvl w:val="0"/>
          <w:numId w:val="2"/>
        </w:numPr>
      </w:pPr>
      <w:r>
        <w:t xml:space="preserve">Rozvoj technologií (lean systémy)</w:t>
      </w:r>
    </w:p>
    <w:p>
      <w:pPr>
        <w:pStyle w:val="ListParagraph"/>
        <w:numPr>
          <w:ilvl w:val="0"/>
          <w:numId w:val="2"/>
        </w:numPr>
      </w:pPr>
      <w:r>
        <w:t xml:space="preserve">IT dopad (e-business, ERP systémy)</w:t>
      </w:r>
    </w:p>
    <w:p>
      <w:pPr>
        <w:pStyle w:val="ListParagraph"/>
        <w:numPr>
          <w:ilvl w:val="0"/>
          <w:numId w:val="2"/>
        </w:numPr>
      </w:pPr>
      <w:r>
        <w:t xml:space="preserve">Environmentální aspekty</w:t>
      </w:r>
    </w:p>
    <w:p>
      <w:pPr>
        <w:pStyle w:val="ListParagraph"/>
        <w:numPr>
          <w:ilvl w:val="0"/>
          <w:numId w:val="2"/>
        </w:numPr>
      </w:pPr>
      <w:r>
        <w:t xml:space="preserve">Zákaznická orientace</w:t>
      </w:r>
    </w:p>
    <w:p>
      <w:pPr>
        <w:pStyle w:val="Heading1"/>
      </w:pPr>
      <w:r>
        <w:t xml:space="preserve">Spokojenost zákazníků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Nákladová efektivnost </w:t>
      </w:r>
      <w:r>
        <w:t xml:space="preserve">– nízké náklady = konkurenční výhoda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Kvalita </w:t>
      </w:r>
      <w:r>
        <w:t xml:space="preserve">– TQM systémy, 100% kvalita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Čas </w:t>
      </w:r>
      <w:r>
        <w:t xml:space="preserve">– zkracování dodacích časů, eliminace aktivit nepřidávajících hodnotu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Inovace </w:t>
      </w:r>
      <w:r>
        <w:t xml:space="preserve">– trvalé zlepšování</w:t>
      </w:r>
    </w:p>
    <w:p>
      <w:pPr>
        <w:pStyle w:val="Heading1"/>
      </w:pPr>
      <w:r>
        <w:t xml:space="preserve">Etické chování</w:t>
      </w:r>
    </w:p>
    <w:p>
      <w:pPr>
        <w:pStyle w:val="ListParagraph"/>
        <w:numPr>
          <w:ilvl w:val="0"/>
          <w:numId w:val="2"/>
        </w:numPr>
      </w:pPr>
      <w:r>
        <w:t xml:space="preserve">Bezúhonnost (nulová tolerance k falzifikacím)</w:t>
      </w:r>
    </w:p>
    <w:p>
      <w:pPr>
        <w:pStyle w:val="ListParagraph"/>
        <w:numPr>
          <w:ilvl w:val="0"/>
          <w:numId w:val="2"/>
        </w:numPr>
      </w:pPr>
      <w:r>
        <w:t xml:space="preserve">Objektivita (nezaujatost)</w:t>
      </w:r>
    </w:p>
    <w:p>
      <w:pPr>
        <w:pStyle w:val="ListParagraph"/>
        <w:numPr>
          <w:ilvl w:val="0"/>
          <w:numId w:val="2"/>
        </w:numPr>
      </w:pPr>
      <w:r>
        <w:t xml:space="preserve">Důvěrnost, kompetentnost</w:t>
      </w:r>
    </w:p>
    <w:p>
      <w:pPr>
        <w:pStyle w:val="ListParagraph"/>
        <w:numPr>
          <w:ilvl w:val="0"/>
          <w:numId w:val="2"/>
        </w:numPr>
      </w:pPr>
      <w:r>
        <w:t xml:space="preserve">Dodržování zákonů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before="240" w:after="80"/>
      <w:outlineLvl w:val="0"/>
    </w:pPr>
    <w:rPr>
      <w:rFonts w:ascii="Arial" w:cs="Arial" w:eastAsia="Arial" w:hAnsi="Arial"/>
      <w:b/>
      <w:bCs/>
      <w:color w:val="C00000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2026-01-01T10:12:06.848Z</dcterms:created>
  <dcterms:modified xsi:type="dcterms:W3CDTF">2026-01-01T10:12:06.849Z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