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B664" w14:textId="77777777" w:rsidR="00A024E0" w:rsidRDefault="00000000">
      <w:pPr>
        <w:pStyle w:val="Nzev"/>
      </w:pPr>
      <w:r>
        <w:t>2. Význam nákladů v podnikovém řízení</w:t>
      </w:r>
    </w:p>
    <w:p w14:paraId="42F10494" w14:textId="77777777" w:rsidR="00A024E0" w:rsidRDefault="00000000">
      <w:pPr>
        <w:pStyle w:val="Nadpis1"/>
      </w:pPr>
      <w:r>
        <w:t>Využití informací o nákladech</w:t>
      </w:r>
    </w:p>
    <w:p w14:paraId="334981E6" w14:textId="77777777" w:rsidR="00A024E0" w:rsidRDefault="00000000">
      <w:pPr>
        <w:pStyle w:val="Odstavecseseznamem"/>
        <w:numPr>
          <w:ilvl w:val="0"/>
          <w:numId w:val="2"/>
        </w:numPr>
      </w:pPr>
      <w:r>
        <w:t>Cenová rozhodování</w:t>
      </w:r>
    </w:p>
    <w:p w14:paraId="2609301E" w14:textId="77777777" w:rsidR="00A024E0" w:rsidRDefault="00000000">
      <w:pPr>
        <w:pStyle w:val="Odstavecseseznamem"/>
        <w:numPr>
          <w:ilvl w:val="0"/>
          <w:numId w:val="2"/>
        </w:numPr>
      </w:pPr>
      <w:r>
        <w:t>Plánování výroby (Target Costing)</w:t>
      </w:r>
    </w:p>
    <w:p w14:paraId="4987C763" w14:textId="77777777" w:rsidR="00A024E0" w:rsidRDefault="00000000">
      <w:pPr>
        <w:pStyle w:val="Odstavecseseznamem"/>
        <w:numPr>
          <w:ilvl w:val="0"/>
          <w:numId w:val="2"/>
        </w:numPr>
      </w:pPr>
      <w:r>
        <w:t>Rozpočetnictví</w:t>
      </w:r>
    </w:p>
    <w:p w14:paraId="78F90EA8" w14:textId="77777777" w:rsidR="00A024E0" w:rsidRDefault="00000000">
      <w:pPr>
        <w:pStyle w:val="Odstavecseseznamem"/>
        <w:numPr>
          <w:ilvl w:val="0"/>
          <w:numId w:val="2"/>
        </w:numPr>
      </w:pPr>
      <w:r>
        <w:t>Měření výkonnosti</w:t>
      </w:r>
    </w:p>
    <w:p w14:paraId="05B4403E" w14:textId="77777777" w:rsidR="00A024E0" w:rsidRDefault="00000000">
      <w:pPr>
        <w:pStyle w:val="Odstavecseseznamem"/>
        <w:numPr>
          <w:ilvl w:val="0"/>
          <w:numId w:val="2"/>
        </w:numPr>
      </w:pPr>
      <w:r>
        <w:t>Vykazování nákladů externím subjektům (Contracting)</w:t>
      </w:r>
    </w:p>
    <w:p w14:paraId="6F112BB7" w14:textId="77777777" w:rsidR="00A024E0" w:rsidRDefault="00000000">
      <w:pPr>
        <w:pStyle w:val="Nadpis1"/>
      </w:pPr>
      <w:r>
        <w:t>Změny ve struktuře nákladů ⚠️ TEST</w:t>
      </w:r>
    </w:p>
    <w:p w14:paraId="00C6F73B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Dříve (1. pol. 20. stol.): </w:t>
      </w:r>
      <w:r>
        <w:t>režijní náklady cca 10%</w:t>
      </w:r>
    </w:p>
    <w:p w14:paraId="6C074D8D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Dnes: </w:t>
      </w:r>
      <w:r>
        <w:t xml:space="preserve">režijní náklady cca </w:t>
      </w:r>
      <w:proofErr w:type="gramStart"/>
      <w:r>
        <w:t>50%</w:t>
      </w:r>
      <w:proofErr w:type="gramEnd"/>
      <w:r>
        <w:t xml:space="preserve"> (služby až </w:t>
      </w:r>
      <w:proofErr w:type="gramStart"/>
      <w:r>
        <w:t>80%</w:t>
      </w:r>
      <w:proofErr w:type="gramEnd"/>
      <w:r>
        <w:t>)</w:t>
      </w:r>
    </w:p>
    <w:p w14:paraId="6F370020" w14:textId="77777777" w:rsidR="00A024E0" w:rsidRDefault="00000000">
      <w:pPr>
        <w:pStyle w:val="Odstavecseseznamem"/>
        <w:numPr>
          <w:ilvl w:val="0"/>
          <w:numId w:val="2"/>
        </w:numPr>
      </w:pPr>
      <w:r>
        <w:t>Dramatický nárůst režijních nákladů na úkor přímých</w:t>
      </w:r>
    </w:p>
    <w:p w14:paraId="2C0CB234" w14:textId="77777777" w:rsidR="00A024E0" w:rsidRDefault="00000000">
      <w:pPr>
        <w:pStyle w:val="Nadpis2"/>
      </w:pPr>
      <w:r>
        <w:t>Příčiny změn (1950-2015)</w:t>
      </w:r>
    </w:p>
    <w:p w14:paraId="7E1D41FD" w14:textId="77777777" w:rsidR="00A024E0" w:rsidRDefault="00000000">
      <w:pPr>
        <w:pStyle w:val="Odstavecseseznamem"/>
        <w:numPr>
          <w:ilvl w:val="0"/>
          <w:numId w:val="3"/>
        </w:numPr>
      </w:pPr>
      <w:r>
        <w:t>Levnější materiály (plasty)</w:t>
      </w:r>
    </w:p>
    <w:p w14:paraId="43798397" w14:textId="77777777" w:rsidR="00A024E0" w:rsidRDefault="00000000">
      <w:pPr>
        <w:pStyle w:val="Odstavecseseznamem"/>
        <w:numPr>
          <w:ilvl w:val="0"/>
          <w:numId w:val="3"/>
        </w:numPr>
      </w:pPr>
      <w:r>
        <w:t>Růst automatizace</w:t>
      </w:r>
    </w:p>
    <w:p w14:paraId="27BA1B4A" w14:textId="77777777" w:rsidR="00A024E0" w:rsidRDefault="00000000">
      <w:pPr>
        <w:pStyle w:val="Odstavecseseznamem"/>
        <w:numPr>
          <w:ilvl w:val="0"/>
          <w:numId w:val="3"/>
        </w:numPr>
      </w:pPr>
      <w:r>
        <w:t>Customizace (širší sortiment)</w:t>
      </w:r>
    </w:p>
    <w:p w14:paraId="29B59AC9" w14:textId="77777777" w:rsidR="00A024E0" w:rsidRDefault="00000000">
      <w:pPr>
        <w:pStyle w:val="Odstavecseseznamem"/>
        <w:numPr>
          <w:ilvl w:val="0"/>
          <w:numId w:val="3"/>
        </w:numPr>
      </w:pPr>
      <w:r>
        <w:t>Nárůst režijních činností</w:t>
      </w:r>
    </w:p>
    <w:p w14:paraId="36FFCDA3" w14:textId="77777777" w:rsidR="00A024E0" w:rsidRDefault="00000000">
      <w:pPr>
        <w:pStyle w:val="Odstavecseseznamem"/>
        <w:numPr>
          <w:ilvl w:val="0"/>
          <w:numId w:val="3"/>
        </w:numPr>
      </w:pPr>
      <w:r>
        <w:t>Komplexní produkty</w:t>
      </w:r>
    </w:p>
    <w:p w14:paraId="0E80BE09" w14:textId="77777777" w:rsidR="00A024E0" w:rsidRDefault="00000000">
      <w:pPr>
        <w:pStyle w:val="Odstavecseseznamem"/>
        <w:numPr>
          <w:ilvl w:val="0"/>
          <w:numId w:val="3"/>
        </w:numPr>
      </w:pPr>
      <w:r>
        <w:t>Růst technologické náročnosti</w:t>
      </w:r>
    </w:p>
    <w:p w14:paraId="7C070E3F" w14:textId="77777777" w:rsidR="00A024E0" w:rsidRDefault="00000000">
      <w:pPr>
        <w:pStyle w:val="Odstavecseseznamem"/>
        <w:numPr>
          <w:ilvl w:val="0"/>
          <w:numId w:val="3"/>
        </w:numPr>
      </w:pPr>
      <w:r>
        <w:t>Zkracování životního cyklu</w:t>
      </w:r>
    </w:p>
    <w:p w14:paraId="35BA82D2" w14:textId="77777777" w:rsidR="00A024E0" w:rsidRDefault="00000000">
      <w:pPr>
        <w:pStyle w:val="Nadpis1"/>
      </w:pPr>
      <w:r>
        <w:t>Pojetí nákladů</w:t>
      </w:r>
    </w:p>
    <w:p w14:paraId="4F397666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Finanční: </w:t>
      </w:r>
      <w:r>
        <w:t>úbytek ekonomického prospěchu (úbytek aktiv/přírůstek dluhů)</w:t>
      </w:r>
    </w:p>
    <w:p w14:paraId="6A80052A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Hodnotové: </w:t>
      </w:r>
      <w:r>
        <w:t>účelné vynaložení ekonomických zdrojů = manažerské pojetí</w:t>
      </w:r>
    </w:p>
    <w:p w14:paraId="4C52FB7E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Ekonomické: </w:t>
      </w:r>
      <w:r>
        <w:t>(zahrnuje i oportunitní náklady)</w:t>
      </w:r>
    </w:p>
    <w:p w14:paraId="2686E572" w14:textId="77777777" w:rsidR="00A024E0" w:rsidRDefault="00000000">
      <w:pPr>
        <w:pStyle w:val="Nadpis1"/>
      </w:pPr>
      <w:r>
        <w:t>Členění nákladů</w:t>
      </w:r>
    </w:p>
    <w:p w14:paraId="201D03A2" w14:textId="77777777" w:rsidR="00A024E0" w:rsidRDefault="00000000">
      <w:pPr>
        <w:pStyle w:val="Nadpis2"/>
      </w:pPr>
      <w:r>
        <w:t>Druhové členění</w:t>
      </w:r>
    </w:p>
    <w:p w14:paraId="142120B1" w14:textId="77777777" w:rsidR="00A024E0" w:rsidRDefault="00000000">
      <w:pPr>
        <w:pStyle w:val="Odstavecseseznamem"/>
        <w:numPr>
          <w:ilvl w:val="0"/>
          <w:numId w:val="2"/>
        </w:numPr>
      </w:pPr>
      <w:r>
        <w:t>Dle spotřebovaného externího vstupu</w:t>
      </w:r>
    </w:p>
    <w:p w14:paraId="55EFDAAD" w14:textId="77777777" w:rsidR="00A024E0" w:rsidRDefault="00000000">
      <w:pPr>
        <w:pStyle w:val="Odstavecseseznamem"/>
        <w:numPr>
          <w:ilvl w:val="0"/>
          <w:numId w:val="2"/>
        </w:numPr>
      </w:pPr>
      <w:r>
        <w:t>Druhy: materiál, osobní N, odpisy, externí služby, finanční N</w:t>
      </w:r>
    </w:p>
    <w:p w14:paraId="6DA4F769" w14:textId="77777777" w:rsidR="00A024E0" w:rsidRDefault="00000000">
      <w:pPr>
        <w:pStyle w:val="Odstavecseseznamem"/>
        <w:numPr>
          <w:ilvl w:val="0"/>
          <w:numId w:val="2"/>
        </w:numPr>
      </w:pPr>
      <w:r>
        <w:t>Nevyjadřuje příčinu vynaložení nákladů</w:t>
      </w:r>
    </w:p>
    <w:p w14:paraId="6CB46BCE" w14:textId="77777777" w:rsidR="00A024E0" w:rsidRDefault="00000000">
      <w:pPr>
        <w:pStyle w:val="Nadpis2"/>
      </w:pPr>
      <w:r>
        <w:t>Účelové členění</w:t>
      </w:r>
    </w:p>
    <w:p w14:paraId="6098B6FE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Technologické: </w:t>
      </w:r>
      <w:r>
        <w:t>vyvolané technologií</w:t>
      </w:r>
    </w:p>
    <w:p w14:paraId="5DB12389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Na obsluhu a řízení: </w:t>
      </w:r>
      <w:r>
        <w:t>doprovodné činnosti (energie v kancelářích, mzdy admin.)</w:t>
      </w:r>
    </w:p>
    <w:p w14:paraId="6FAD22DF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Jednicové: </w:t>
      </w:r>
      <w:r>
        <w:t>přímo na jednotku výkonu</w:t>
      </w:r>
    </w:p>
    <w:p w14:paraId="601FB8A0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Režijní: </w:t>
      </w:r>
      <w:r>
        <w:t>technologický proces jako celek + obsluha a řízení</w:t>
      </w:r>
    </w:p>
    <w:p w14:paraId="3BFAB674" w14:textId="77777777" w:rsidR="00A024E0" w:rsidRDefault="00000000">
      <w:pPr>
        <w:pStyle w:val="Nadpis2"/>
      </w:pPr>
      <w:r>
        <w:t>Kalkulační členění</w:t>
      </w:r>
    </w:p>
    <w:p w14:paraId="1C36624D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Přímé: </w:t>
      </w:r>
      <w:r>
        <w:t>přímo souvisí s konkrétním výkonem</w:t>
      </w:r>
    </w:p>
    <w:p w14:paraId="6D65D57F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Nepřímé: </w:t>
      </w:r>
      <w:r>
        <w:t>nevážou se k jednomu druhu výkonu</w:t>
      </w:r>
    </w:p>
    <w:p w14:paraId="76BC6BCF" w14:textId="77777777" w:rsidR="00A024E0" w:rsidRDefault="00000000">
      <w:pPr>
        <w:pStyle w:val="Nadpis2"/>
      </w:pPr>
      <w:r>
        <w:t>Členění dle objemu výkonů</w:t>
      </w:r>
    </w:p>
    <w:p w14:paraId="3580DC03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Variabilní: </w:t>
      </w:r>
      <w:r>
        <w:t>mění se s objemem</w:t>
      </w:r>
    </w:p>
    <w:p w14:paraId="2B8523A7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Fixní: </w:t>
      </w:r>
      <w:r>
        <w:t>neměnné v určitém rozpětí (kapacitní náklady)</w:t>
      </w:r>
    </w:p>
    <w:p w14:paraId="2DB578DD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Smíšené (semivariabilní): </w:t>
      </w:r>
      <w:r>
        <w:t>fixní + variabilní složka (např. energie)</w:t>
      </w:r>
    </w:p>
    <w:p w14:paraId="25EA7CCB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Semi-fixní: </w:t>
      </w:r>
      <w:r>
        <w:t>skokové fixní náklady (zapojování kapacit)</w:t>
      </w:r>
    </w:p>
    <w:p w14:paraId="2FC24EAA" w14:textId="77777777" w:rsidR="00A024E0" w:rsidRDefault="00000000">
      <w:pPr>
        <w:pStyle w:val="Nadpis1"/>
      </w:pPr>
      <w:r>
        <w:t>Sticky cost (strnulé náklady) ⚠️ TEST</w:t>
      </w:r>
    </w:p>
    <w:p w14:paraId="4C509E35" w14:textId="77777777" w:rsidR="00A024E0" w:rsidRDefault="00000000">
      <w:pPr>
        <w:pStyle w:val="Odstavecseseznamem"/>
        <w:numPr>
          <w:ilvl w:val="0"/>
          <w:numId w:val="2"/>
        </w:numPr>
      </w:pPr>
      <w:r>
        <w:t>Náklady reagují jinak na pokles a jinak na nárůst aktivity</w:t>
      </w:r>
    </w:p>
    <w:p w14:paraId="4BD237E9" w14:textId="77777777" w:rsidR="00A024E0" w:rsidRDefault="00000000">
      <w:pPr>
        <w:pStyle w:val="Odstavecseseznamem"/>
        <w:numPr>
          <w:ilvl w:val="0"/>
          <w:numId w:val="2"/>
        </w:numPr>
      </w:pPr>
      <w:r>
        <w:t>Při nárůstu aktivity → vyšší růst nákladů</w:t>
      </w:r>
    </w:p>
    <w:p w14:paraId="5AB7CB9F" w14:textId="77777777" w:rsidR="00A024E0" w:rsidRDefault="00000000">
      <w:pPr>
        <w:pStyle w:val="Odstavecseseznamem"/>
        <w:numPr>
          <w:ilvl w:val="0"/>
          <w:numId w:val="2"/>
        </w:numPr>
      </w:pPr>
      <w:r>
        <w:t>Při poklesu aktivity → náklady neklesnou proporcionálně</w:t>
      </w:r>
    </w:p>
    <w:p w14:paraId="580B74C4" w14:textId="77777777" w:rsidR="00A024E0" w:rsidRDefault="00000000">
      <w:pPr>
        <w:pStyle w:val="Odstavecseseznamem"/>
        <w:numPr>
          <w:ilvl w:val="0"/>
          <w:numId w:val="2"/>
        </w:numPr>
      </w:pPr>
      <w:r>
        <w:t>Důvod: pomalá manažerská reakce na pokles</w:t>
      </w:r>
    </w:p>
    <w:p w14:paraId="0BD5818D" w14:textId="77777777" w:rsidR="002828A6" w:rsidRDefault="002828A6" w:rsidP="002828A6">
      <w:pPr>
        <w:pStyle w:val="Odstavecseseznamem"/>
        <w:ind w:left="400"/>
      </w:pPr>
    </w:p>
    <w:p w14:paraId="4A8B7385" w14:textId="77777777" w:rsidR="00A024E0" w:rsidRDefault="00000000">
      <w:pPr>
        <w:pStyle w:val="Nadpis1"/>
      </w:pPr>
      <w:r>
        <w:lastRenderedPageBreak/>
        <w:t>Variabilizace nákladů ⚠️ TEST</w:t>
      </w:r>
    </w:p>
    <w:p w14:paraId="62DB99DE" w14:textId="77777777" w:rsidR="00A024E0" w:rsidRDefault="00000000">
      <w:pPr>
        <w:pStyle w:val="Odstavecseseznamem"/>
        <w:numPr>
          <w:ilvl w:val="0"/>
          <w:numId w:val="2"/>
        </w:numPr>
      </w:pPr>
      <w:r>
        <w:t>Snaha zvýšit podíl variabilních N na úkor fixních</w:t>
      </w:r>
    </w:p>
    <w:p w14:paraId="1DAAD0B6" w14:textId="77777777" w:rsidR="00A024E0" w:rsidRDefault="00000000">
      <w:pPr>
        <w:pStyle w:val="Odstavecseseznamem"/>
        <w:numPr>
          <w:ilvl w:val="0"/>
          <w:numId w:val="2"/>
        </w:numPr>
      </w:pPr>
      <w:r>
        <w:t>Využíváno zejména v sektoru služeb</w:t>
      </w:r>
    </w:p>
    <w:p w14:paraId="3D15A1A5" w14:textId="77777777" w:rsidR="00A024E0" w:rsidRDefault="00000000">
      <w:pPr>
        <w:pStyle w:val="Nadpis2"/>
      </w:pPr>
      <w:r>
        <w:t>Způsoby variabilizace</w:t>
      </w:r>
    </w:p>
    <w:p w14:paraId="01E71462" w14:textId="77777777" w:rsidR="00A024E0" w:rsidRDefault="00000000">
      <w:pPr>
        <w:pStyle w:val="Odstavecseseznamem"/>
        <w:numPr>
          <w:ilvl w:val="0"/>
          <w:numId w:val="3"/>
        </w:numPr>
      </w:pPr>
      <w:r>
        <w:t>Agenturní pracovníci</w:t>
      </w:r>
    </w:p>
    <w:p w14:paraId="19059420" w14:textId="77777777" w:rsidR="00A024E0" w:rsidRDefault="00000000">
      <w:pPr>
        <w:pStyle w:val="Odstavecseseznamem"/>
        <w:numPr>
          <w:ilvl w:val="0"/>
          <w:numId w:val="3"/>
        </w:numPr>
      </w:pPr>
      <w:r>
        <w:t>Outsourcing režijních činností</w:t>
      </w:r>
    </w:p>
    <w:p w14:paraId="06103CAA" w14:textId="77777777" w:rsidR="00A024E0" w:rsidRDefault="00000000">
      <w:pPr>
        <w:pStyle w:val="Odstavecseseznamem"/>
        <w:numPr>
          <w:ilvl w:val="0"/>
          <w:numId w:val="3"/>
        </w:numPr>
      </w:pPr>
      <w:r>
        <w:t>Nastavení servisních smluv (např. pronájem auta pro dopravu)</w:t>
      </w:r>
    </w:p>
    <w:p w14:paraId="37F3F03E" w14:textId="77777777" w:rsidR="00A024E0" w:rsidRDefault="00000000">
      <w:pPr>
        <w:pStyle w:val="Nadpis1"/>
      </w:pPr>
      <w:r>
        <w:t>Marže a bod zvratu</w:t>
      </w:r>
    </w:p>
    <w:p w14:paraId="245453FD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Marže = </w:t>
      </w:r>
      <w:proofErr w:type="gramStart"/>
      <w:r>
        <w:t>cena − variabilní</w:t>
      </w:r>
      <w:proofErr w:type="gramEnd"/>
      <w:r>
        <w:t xml:space="preserve"> náklady</w:t>
      </w:r>
    </w:p>
    <w:p w14:paraId="5226E61A" w14:textId="77777777" w:rsidR="00A024E0" w:rsidRDefault="00000000">
      <w:pPr>
        <w:pStyle w:val="Odstavecseseznamem"/>
        <w:numPr>
          <w:ilvl w:val="0"/>
          <w:numId w:val="2"/>
        </w:numPr>
      </w:pPr>
      <w:r>
        <w:t>= příspěvek na úhradu fixních N a tvorbu zisku (krycí příspěvek)</w:t>
      </w:r>
    </w:p>
    <w:p w14:paraId="39566171" w14:textId="77777777" w:rsidR="00A024E0" w:rsidRDefault="00000000">
      <w:pPr>
        <w:pStyle w:val="Odstavecseseznamem"/>
        <w:numPr>
          <w:ilvl w:val="0"/>
          <w:numId w:val="2"/>
        </w:numPr>
      </w:pPr>
      <w:r>
        <w:t>Analýza bodu zvratu – od kdy je podnik ziskový</w:t>
      </w:r>
    </w:p>
    <w:p w14:paraId="41E4F867" w14:textId="77777777" w:rsidR="00A024E0" w:rsidRDefault="00000000">
      <w:pPr>
        <w:pStyle w:val="Nadpis1"/>
      </w:pPr>
      <w:r>
        <w:t>Provozní páka</w:t>
      </w:r>
    </w:p>
    <w:p w14:paraId="081A64C8" w14:textId="77777777" w:rsidR="00A024E0" w:rsidRDefault="00000000">
      <w:pPr>
        <w:pStyle w:val="Odstavecseseznamem"/>
        <w:numPr>
          <w:ilvl w:val="0"/>
          <w:numId w:val="2"/>
        </w:numPr>
      </w:pPr>
      <w:r>
        <w:t>Determinována výší fixních a variabilních N</w:t>
      </w:r>
    </w:p>
    <w:p w14:paraId="77990C91" w14:textId="77777777" w:rsidR="00A024E0" w:rsidRDefault="00000000">
      <w:pPr>
        <w:pStyle w:val="Odstavecseseznamem"/>
        <w:numPr>
          <w:ilvl w:val="0"/>
          <w:numId w:val="2"/>
        </w:numPr>
      </w:pPr>
      <w:r>
        <w:t>Nízká páka = více variabilních N, menší riziko</w:t>
      </w:r>
    </w:p>
    <w:p w14:paraId="4584148E" w14:textId="77777777" w:rsidR="00A024E0" w:rsidRDefault="00000000">
      <w:pPr>
        <w:pStyle w:val="Odstavecseseznamem"/>
        <w:numPr>
          <w:ilvl w:val="0"/>
          <w:numId w:val="2"/>
        </w:numPr>
      </w:pPr>
      <w:r>
        <w:t>Vysoká páka = více fixních N, větší riziko i potenciál zisku</w:t>
      </w:r>
    </w:p>
    <w:p w14:paraId="77156B6B" w14:textId="77777777" w:rsidR="00A024E0" w:rsidRDefault="00000000">
      <w:pPr>
        <w:pStyle w:val="Nadpis1"/>
      </w:pPr>
      <w:r>
        <w:t>Utopené náklady (sunk costs)</w:t>
      </w:r>
    </w:p>
    <w:p w14:paraId="0BC6CDED" w14:textId="77777777" w:rsidR="00A024E0" w:rsidRDefault="00000000">
      <w:pPr>
        <w:pStyle w:val="Odstavecseseznamem"/>
        <w:numPr>
          <w:ilvl w:val="0"/>
          <w:numId w:val="2"/>
        </w:numPr>
      </w:pPr>
      <w:r>
        <w:t>Vynaloženy v minulosti, nelze je změnit</w:t>
      </w:r>
    </w:p>
    <w:p w14:paraId="64D6BFB5" w14:textId="77777777" w:rsidR="00A024E0" w:rsidRDefault="00000000">
      <w:pPr>
        <w:pStyle w:val="Odstavecseseznamem"/>
        <w:numPr>
          <w:ilvl w:val="0"/>
          <w:numId w:val="2"/>
        </w:numPr>
      </w:pPr>
      <w:r>
        <w:t>Vynakládají se před zahájením výroby</w:t>
      </w:r>
    </w:p>
    <w:p w14:paraId="1D856EF4" w14:textId="77777777" w:rsidR="00A024E0" w:rsidRDefault="00000000">
      <w:pPr>
        <w:pStyle w:val="Odstavecseseznamem"/>
        <w:numPr>
          <w:ilvl w:val="0"/>
          <w:numId w:val="2"/>
        </w:numPr>
      </w:pPr>
      <w:r>
        <w:t>Např. odpisy fixních aktiv</w:t>
      </w:r>
    </w:p>
    <w:p w14:paraId="22FE4535" w14:textId="77777777" w:rsidR="00A024E0" w:rsidRDefault="00000000">
      <w:pPr>
        <w:pStyle w:val="Odstavecseseznamem"/>
        <w:numPr>
          <w:ilvl w:val="0"/>
          <w:numId w:val="2"/>
        </w:numPr>
      </w:pPr>
      <w:r>
        <w:t>Pro rozhodování je vyloučit! (irelevantní)</w:t>
      </w:r>
    </w:p>
    <w:p w14:paraId="0FB1CF6F" w14:textId="77777777" w:rsidR="00A024E0" w:rsidRDefault="00000000">
      <w:pPr>
        <w:pStyle w:val="Nadpis1"/>
      </w:pPr>
      <w:r>
        <w:t>Oportunitní náklady</w:t>
      </w:r>
    </w:p>
    <w:p w14:paraId="336F8C3F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Explicitní N: </w:t>
      </w:r>
      <w:r>
        <w:t>evidované v účetnictví</w:t>
      </w:r>
    </w:p>
    <w:p w14:paraId="59642C32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Implicitní N: </w:t>
      </w:r>
      <w:r>
        <w:t>neevidované nebo v jiné výši</w:t>
      </w:r>
    </w:p>
    <w:p w14:paraId="730055CC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Oportunitní N = </w:t>
      </w:r>
      <w:r>
        <w:t>náklady obětované příležitosti (ušlý zisk z nepřijaté alternativy)</w:t>
      </w:r>
    </w:p>
    <w:p w14:paraId="6EE878EE" w14:textId="77777777" w:rsidR="00A024E0" w:rsidRDefault="00000000">
      <w:pPr>
        <w:pStyle w:val="Nadpis1"/>
      </w:pPr>
      <w:r>
        <w:t>Kalkulační druhy nákladů ⚠️ TEST</w:t>
      </w:r>
    </w:p>
    <w:p w14:paraId="67742C08" w14:textId="77777777" w:rsidR="00A024E0" w:rsidRDefault="00000000">
      <w:r>
        <w:rPr>
          <w:i/>
          <w:iCs/>
        </w:rPr>
        <w:t>= implicitní náklady pro vyjádření skutečných ekonomických nákladů</w:t>
      </w:r>
    </w:p>
    <w:p w14:paraId="6ECA2C8F" w14:textId="77777777" w:rsidR="00A024E0" w:rsidRDefault="00000000">
      <w:pPr>
        <w:pStyle w:val="Nadpis2"/>
      </w:pPr>
      <w:r>
        <w:t>5 druhů:</w:t>
      </w:r>
    </w:p>
    <w:p w14:paraId="5D1C5B3D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1. Kalkulační odpisy </w:t>
      </w:r>
      <w:r>
        <w:t>– skutečné opotřebení, reprodukční cena, i po odepsání ve FÚ</w:t>
      </w:r>
    </w:p>
    <w:p w14:paraId="23E52594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2. Kalkulační úroky </w:t>
      </w:r>
      <w:r>
        <w:t>– ušlý výnos z vázaného kapitálu (oportunitní N)</w:t>
      </w:r>
    </w:p>
    <w:p w14:paraId="28DF6041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3. Kalkulační rizikové přirážky </w:t>
      </w:r>
      <w:r>
        <w:t>– vnitřní ocenění rizika</w:t>
      </w:r>
    </w:p>
    <w:p w14:paraId="1C7C6E04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4. Kalkulační podnikatelská mzda </w:t>
      </w:r>
      <w:r>
        <w:t>– pro živnostníky, kteří nemají mzdu</w:t>
      </w:r>
    </w:p>
    <w:p w14:paraId="6C953F1B" w14:textId="77777777" w:rsidR="00A024E0" w:rsidRDefault="00000000">
      <w:pPr>
        <w:pStyle w:val="Odstavecseseznamem"/>
        <w:numPr>
          <w:ilvl w:val="0"/>
          <w:numId w:val="2"/>
        </w:numPr>
      </w:pPr>
      <w:r>
        <w:rPr>
          <w:b/>
          <w:bCs/>
        </w:rPr>
        <w:t xml:space="preserve">5. Kalkulační nájemné </w:t>
      </w:r>
      <w:r>
        <w:t>– ušlý výnos z vlastních prostor</w:t>
      </w:r>
    </w:p>
    <w:sectPr w:rsidR="00A024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5D9F"/>
    <w:multiLevelType w:val="hybridMultilevel"/>
    <w:tmpl w:val="E438E702"/>
    <w:lvl w:ilvl="0" w:tplc="D8F6FFEC">
      <w:start w:val="1"/>
      <w:numFmt w:val="bullet"/>
      <w:lvlText w:val="–"/>
      <w:lvlJc w:val="left"/>
      <w:pPr>
        <w:ind w:left="700" w:hanging="200"/>
      </w:pPr>
    </w:lvl>
    <w:lvl w:ilvl="1" w:tplc="A3BE3114">
      <w:numFmt w:val="decimal"/>
      <w:lvlText w:val=""/>
      <w:lvlJc w:val="left"/>
    </w:lvl>
    <w:lvl w:ilvl="2" w:tplc="2CBCA818">
      <w:numFmt w:val="decimal"/>
      <w:lvlText w:val=""/>
      <w:lvlJc w:val="left"/>
    </w:lvl>
    <w:lvl w:ilvl="3" w:tplc="241A6DBA">
      <w:numFmt w:val="decimal"/>
      <w:lvlText w:val=""/>
      <w:lvlJc w:val="left"/>
    </w:lvl>
    <w:lvl w:ilvl="4" w:tplc="D85A9C36">
      <w:numFmt w:val="decimal"/>
      <w:lvlText w:val=""/>
      <w:lvlJc w:val="left"/>
    </w:lvl>
    <w:lvl w:ilvl="5" w:tplc="6CE85C94">
      <w:numFmt w:val="decimal"/>
      <w:lvlText w:val=""/>
      <w:lvlJc w:val="left"/>
    </w:lvl>
    <w:lvl w:ilvl="6" w:tplc="171CE92C">
      <w:numFmt w:val="decimal"/>
      <w:lvlText w:val=""/>
      <w:lvlJc w:val="left"/>
    </w:lvl>
    <w:lvl w:ilvl="7" w:tplc="DF2C1E0A">
      <w:numFmt w:val="decimal"/>
      <w:lvlText w:val=""/>
      <w:lvlJc w:val="left"/>
    </w:lvl>
    <w:lvl w:ilvl="8" w:tplc="C1149CB6">
      <w:numFmt w:val="decimal"/>
      <w:lvlText w:val=""/>
      <w:lvlJc w:val="left"/>
    </w:lvl>
  </w:abstractNum>
  <w:abstractNum w:abstractNumId="1" w15:restartNumberingAfterBreak="0">
    <w:nsid w:val="30A26082"/>
    <w:multiLevelType w:val="hybridMultilevel"/>
    <w:tmpl w:val="4EE8A8E6"/>
    <w:lvl w:ilvl="0" w:tplc="FDE26D4A">
      <w:start w:val="1"/>
      <w:numFmt w:val="bullet"/>
      <w:lvlText w:val="•"/>
      <w:lvlJc w:val="left"/>
      <w:pPr>
        <w:ind w:left="400" w:hanging="200"/>
      </w:pPr>
    </w:lvl>
    <w:lvl w:ilvl="1" w:tplc="2A3CC08A">
      <w:numFmt w:val="decimal"/>
      <w:lvlText w:val=""/>
      <w:lvlJc w:val="left"/>
    </w:lvl>
    <w:lvl w:ilvl="2" w:tplc="E86650DE">
      <w:numFmt w:val="decimal"/>
      <w:lvlText w:val=""/>
      <w:lvlJc w:val="left"/>
    </w:lvl>
    <w:lvl w:ilvl="3" w:tplc="E74007F2">
      <w:numFmt w:val="decimal"/>
      <w:lvlText w:val=""/>
      <w:lvlJc w:val="left"/>
    </w:lvl>
    <w:lvl w:ilvl="4" w:tplc="417243AA">
      <w:numFmt w:val="decimal"/>
      <w:lvlText w:val=""/>
      <w:lvlJc w:val="left"/>
    </w:lvl>
    <w:lvl w:ilvl="5" w:tplc="2C589852">
      <w:numFmt w:val="decimal"/>
      <w:lvlText w:val=""/>
      <w:lvlJc w:val="left"/>
    </w:lvl>
    <w:lvl w:ilvl="6" w:tplc="1CEAB870">
      <w:numFmt w:val="decimal"/>
      <w:lvlText w:val=""/>
      <w:lvlJc w:val="left"/>
    </w:lvl>
    <w:lvl w:ilvl="7" w:tplc="337205FE">
      <w:numFmt w:val="decimal"/>
      <w:lvlText w:val=""/>
      <w:lvlJc w:val="left"/>
    </w:lvl>
    <w:lvl w:ilvl="8" w:tplc="5C72F8CA">
      <w:numFmt w:val="decimal"/>
      <w:lvlText w:val=""/>
      <w:lvlJc w:val="left"/>
    </w:lvl>
  </w:abstractNum>
  <w:abstractNum w:abstractNumId="2" w15:restartNumberingAfterBreak="0">
    <w:nsid w:val="616830A3"/>
    <w:multiLevelType w:val="hybridMultilevel"/>
    <w:tmpl w:val="18C2390A"/>
    <w:lvl w:ilvl="0" w:tplc="A978F17A">
      <w:start w:val="1"/>
      <w:numFmt w:val="bullet"/>
      <w:lvlText w:val="●"/>
      <w:lvlJc w:val="left"/>
      <w:pPr>
        <w:ind w:left="720" w:hanging="360"/>
      </w:pPr>
    </w:lvl>
    <w:lvl w:ilvl="1" w:tplc="67BACB24">
      <w:start w:val="1"/>
      <w:numFmt w:val="bullet"/>
      <w:lvlText w:val="○"/>
      <w:lvlJc w:val="left"/>
      <w:pPr>
        <w:ind w:left="1440" w:hanging="360"/>
      </w:pPr>
    </w:lvl>
    <w:lvl w:ilvl="2" w:tplc="C7B870DE">
      <w:start w:val="1"/>
      <w:numFmt w:val="bullet"/>
      <w:lvlText w:val="■"/>
      <w:lvlJc w:val="left"/>
      <w:pPr>
        <w:ind w:left="2160" w:hanging="360"/>
      </w:pPr>
    </w:lvl>
    <w:lvl w:ilvl="3" w:tplc="881E91EC">
      <w:start w:val="1"/>
      <w:numFmt w:val="bullet"/>
      <w:lvlText w:val="●"/>
      <w:lvlJc w:val="left"/>
      <w:pPr>
        <w:ind w:left="2880" w:hanging="360"/>
      </w:pPr>
    </w:lvl>
    <w:lvl w:ilvl="4" w:tplc="9FC6F04E">
      <w:start w:val="1"/>
      <w:numFmt w:val="bullet"/>
      <w:lvlText w:val="○"/>
      <w:lvlJc w:val="left"/>
      <w:pPr>
        <w:ind w:left="3600" w:hanging="360"/>
      </w:pPr>
    </w:lvl>
    <w:lvl w:ilvl="5" w:tplc="631C7FBC">
      <w:start w:val="1"/>
      <w:numFmt w:val="bullet"/>
      <w:lvlText w:val="■"/>
      <w:lvlJc w:val="left"/>
      <w:pPr>
        <w:ind w:left="4320" w:hanging="360"/>
      </w:pPr>
    </w:lvl>
    <w:lvl w:ilvl="6" w:tplc="D8FA95DA">
      <w:start w:val="1"/>
      <w:numFmt w:val="bullet"/>
      <w:lvlText w:val="●"/>
      <w:lvlJc w:val="left"/>
      <w:pPr>
        <w:ind w:left="5040" w:hanging="360"/>
      </w:pPr>
    </w:lvl>
    <w:lvl w:ilvl="7" w:tplc="6226DD8A">
      <w:start w:val="1"/>
      <w:numFmt w:val="bullet"/>
      <w:lvlText w:val="●"/>
      <w:lvlJc w:val="left"/>
      <w:pPr>
        <w:ind w:left="5760" w:hanging="360"/>
      </w:pPr>
    </w:lvl>
    <w:lvl w:ilvl="8" w:tplc="B87628E4">
      <w:start w:val="1"/>
      <w:numFmt w:val="bullet"/>
      <w:lvlText w:val="●"/>
      <w:lvlJc w:val="left"/>
      <w:pPr>
        <w:ind w:left="6480" w:hanging="360"/>
      </w:pPr>
    </w:lvl>
  </w:abstractNum>
  <w:num w:numId="1" w16cid:durableId="1249852392">
    <w:abstractNumId w:val="2"/>
    <w:lvlOverride w:ilvl="0">
      <w:startOverride w:val="1"/>
    </w:lvlOverride>
  </w:num>
  <w:num w:numId="2" w16cid:durableId="1024555323">
    <w:abstractNumId w:val="1"/>
    <w:lvlOverride w:ilvl="0">
      <w:startOverride w:val="1"/>
    </w:lvlOverride>
  </w:num>
  <w:num w:numId="3" w16cid:durableId="617684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4E0"/>
    <w:rsid w:val="002828A6"/>
    <w:rsid w:val="0079541E"/>
    <w:rsid w:val="00A0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193714"/>
  <w15:docId w15:val="{090308E1-3694-E840-952F-7BA708DF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240" w:after="80"/>
      <w:outlineLvl w:val="0"/>
    </w:pPr>
    <w:rPr>
      <w:b/>
      <w:bCs/>
      <w:color w:val="C00000"/>
      <w:sz w:val="26"/>
      <w:szCs w:val="26"/>
    </w:rPr>
  </w:style>
  <w:style w:type="paragraph" w:styleId="Nadpis2">
    <w:name w:val="heading 2"/>
    <w:uiPriority w:val="9"/>
    <w:unhideWhenUsed/>
    <w:qFormat/>
    <w:pPr>
      <w:spacing w:before="160" w:after="60"/>
      <w:outlineLvl w:val="1"/>
    </w:pPr>
    <w:rPr>
      <w:b/>
      <w:bCs/>
      <w:color w:val="1F4E79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pPr>
      <w:spacing w:after="120"/>
      <w:jc w:val="center"/>
    </w:pPr>
    <w:rPr>
      <w:b/>
      <w:bCs/>
      <w:color w:val="1F4E79"/>
      <w:sz w:val="40"/>
      <w:szCs w:val="40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2526</Characters>
  <Application>Microsoft Office Word</Application>
  <DocSecurity>0</DocSecurity>
  <Lines>180</Lines>
  <Paragraphs>142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Natálie Hučková</cp:lastModifiedBy>
  <cp:revision>2</cp:revision>
  <dcterms:created xsi:type="dcterms:W3CDTF">2026-01-01T10:48:00Z</dcterms:created>
  <dcterms:modified xsi:type="dcterms:W3CDTF">2026-01-01T10:55:00Z</dcterms:modified>
</cp:coreProperties>
</file>