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Meta-analysis</w:t>
            </w:r>
          </w:p>
        </w:tc>
        <w:tc>
          <w:p>
            <w:pPr>
              <w:pStyle w:val="Normal"/>
            </w:pPr>
            <w:r>
              <w:t>13 ± 108 (2)</w:t>
            </w:r>
          </w:p>
        </w:tc>
        <w:tc>
          <w:p>
            <w:pPr>
              <w:pStyle w:val="Normal"/>
            </w:pPr>
            <w:r>
              <w:t>24 ± 33 (17)</w:t>
            </w:r>
          </w:p>
        </w:tc>
        <w:tc>
          <w:p>
            <w:pPr>
              <w:pStyle w:val="Normal"/>
            </w:pPr>
            <w:r>
              <w:t>11 ± 112 (12)</w:t>
            </w:r>
          </w:p>
        </w:tc>
        <w:tc>
          <w:p>
            <w:pPr>
              <w:pStyle w:val="Normal"/>
            </w:pPr>
            <w:r>
              <w:t>0.91 ± 0.87</w:t>
            </w:r>
          </w:p>
        </w:tc>
        <w:tc>
          <w:p>
            <w:pPr>
              <w:pStyle w:val="Normal"/>
            </w:pPr>
            <w:r>
              <w:t>0.86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2026-01-02T16:28:14Z</dcterms:modified>
  <cp:category/>
</cp:coreProperties>
</file>