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val="Normal"/>
            </w:pPr>
            <w:r>
              <w:t>Variable</w:t>
            </w:r>
          </w:p>
        </w:tc>
        <w:tc>
          <w:p>
            <w:pPr>
              <w:pStyle w:val="Normal"/>
            </w:pPr>
            <w:r>
              <w:t>Kelps</w:t>
            </w:r>
          </w:p>
        </w:tc>
        <w:tc>
          <w:p>
            <w:pPr>
              <w:pStyle w:val="Normal"/>
            </w:pPr>
            <w:r>
              <w:t>Trees</w:t>
            </w:r>
          </w:p>
        </w:tc>
        <w:tc>
          <w:p>
            <w:pPr>
              <w:pStyle w:val="Normal"/>
            </w:pPr>
            <w:r>
              <w:t>difference</w:t>
            </w:r>
          </w:p>
        </w:tc>
        <w:tc>
          <w:p>
            <w:pPr>
              <w:pStyle w:val="Normal"/>
            </w:pPr>
            <w:r>
              <w:t>log_ratio</w:t>
            </w:r>
          </w:p>
        </w:tc>
        <w:tc>
          <w:p>
            <w:pPr>
              <w:pStyle w:val="Normal"/>
            </w:pPr>
            <w:r>
              <w:t>log_ratio_sym</w:t>
            </w:r>
          </w:p>
        </w:tc>
        <w:tc>
          <w:p>
            <w:pPr>
              <w:pStyle w:val="Normal"/>
            </w:pPr>
            <w:r>
              <w:t>P</w:t>
            </w:r>
          </w:p>
        </w:tc>
      </w:tr>
      <w:tr>
        <w:tc>
          <w:p>
            <w:pPr>
              <w:pStyle w:val="Normal"/>
            </w:pPr>
            <w:r>
              <w:t>Turnover</w:t>
            </w:r>
          </w:p>
        </w:tc>
        <w:tc>
          <w:p>
            <w:pPr>
              <w:pStyle w:val="Normal"/>
            </w:pPr>
            <w:r>
              <w:t>2.7 (0.64–12)</w:t>
            </w:r>
          </w:p>
        </w:tc>
        <w:tc>
          <w:p>
            <w:pPr>
              <w:pStyle w:val="Normal"/>
            </w:pPr>
            <w:r>
              <w:t>0.16 (0.017–1.5)</w:t>
            </w:r>
          </w:p>
        </w:tc>
        <w:tc>
          <w:p>
            <w:pPr>
              <w:pStyle w:val="Normal"/>
            </w:pPr>
            <w:r>
              <w:t>2.4 (0.16–11)</w:t>
            </w:r>
          </w:p>
        </w:tc>
        <w:tc>
          <w:p>
            <w:pPr>
              <w:pStyle w:val="Normal"/>
            </w:pPr>
            <w:r>
              <w:t>1.2 (0.087–2.4)</w:t>
            </w:r>
          </w:p>
        </w:tc>
        <w:tc>
          <w:p>
            <w:pPr>
              <w:pStyle w:val="Normal"/>
            </w:pPr>
            <w:r>
              <w:t>1.2 ± 0.7</w:t>
            </w:r>
          </w:p>
        </w:tc>
        <w:tc>
          <w:p>
            <w:pPr>
              <w:pStyle w:val="Normal"/>
            </w:pPr>
            <w:r>
              <w:t>0.96</w:t>
            </w:r>
          </w:p>
        </w:tc>
      </w:tr>
      <w:tr>
        <w:tc>
          <w:p>
            <w:pPr>
              <w:pStyle w:val="Normal"/>
            </w:pPr>
            <w:r>
              <w:t>k</w:t>
            </w:r>
          </w:p>
        </w:tc>
        <w:tc>
          <w:p>
            <w:pPr>
              <w:pStyle w:val="Normal"/>
            </w:pPr>
            <w:r>
              <w:t>1.5 (0.032–89)</w:t>
            </w:r>
          </w:p>
        </w:tc>
        <w:tc>
          <w:p>
            <w:pPr>
              <w:pStyle w:val="Normal"/>
            </w:pPr>
            <w:r>
              <w:t>0.33 (0.0027–29)</w:t>
            </w:r>
          </w:p>
        </w:tc>
        <w:tc>
          <w:p>
            <w:pPr>
              <w:pStyle w:val="Normal"/>
            </w:pPr>
            <w:r>
              <w:t>0.58 (-14–72)</w:t>
            </w:r>
          </w:p>
        </w:tc>
        <w:tc>
          <w:p>
            <w:pPr>
              <w:pStyle w:val="Normal"/>
            </w:pPr>
            <w:r>
              <w:t>0.63 (-1.4–3.1)</w:t>
            </w:r>
          </w:p>
        </w:tc>
        <w:tc>
          <w:p>
            <w:pPr>
              <w:pStyle w:val="Normal"/>
            </w:pPr>
            <w:r>
              <w:t>0.71 ± 1.4</w:t>
            </w:r>
          </w:p>
        </w:tc>
        <w:tc>
          <w:p>
            <w:pPr>
              <w:pStyle w:val="Normal"/>
            </w:pPr>
            <w:r>
              <w:t>0.70</w:t>
            </w:r>
          </w:p>
        </w:tc>
      </w:tr>
      <w:tr>
        <w:tc>
          <w:p>
            <w:pPr>
              <w:pStyle w:val="Normal"/>
            </w:pPr>
            <w:r>
              <w:t>Time</w:t>
            </w:r>
          </w:p>
        </w:tc>
        <w:tc>
          <w:p>
            <w:pPr>
              <w:pStyle w:val="Normal"/>
            </w:pPr>
            <w:r>
              <w:t>135 (32–566)</w:t>
            </w:r>
          </w:p>
        </w:tc>
        <w:tc>
          <w:p>
            <w:pPr>
              <w:pStyle w:val="Normal"/>
            </w:pPr>
            <w:r>
              <w:t>2317 (251–21549)</w:t>
            </w:r>
          </w:p>
        </w:tc>
        <w:tc>
          <w:p>
            <w:pPr>
              <w:pStyle w:val="Normal"/>
            </w:pPr>
            <w:r>
              <w:t>2133 (48–21360)</w:t>
            </w:r>
          </w:p>
        </w:tc>
        <w:tc>
          <w:p>
            <w:pPr>
              <w:pStyle w:val="Normal"/>
            </w:pPr>
            <w:r>
              <w:t>1.2 (0.087–2.4)</w:t>
            </w:r>
          </w:p>
        </w:tc>
        <w:tc>
          <w:p>
            <w:pPr>
              <w:pStyle w:val="Normal"/>
            </w:pPr>
            <w:r>
              <w:t>1.2 ± 0.7</w:t>
            </w:r>
          </w:p>
        </w:tc>
        <w:tc>
          <w:p>
            <w:pPr>
              <w:pStyle w:val="Normal"/>
            </w:pPr>
            <w:r>
              <w:t>0.96</w:t>
            </w:r>
          </w:p>
        </w:tc>
      </w:tr>
      <w:tr>
        <w:tc>
          <w:p>
            <w:pPr>
              <w:pStyle w:val="Normal"/>
            </w:pPr>
            <w:r>
              <w:t>t0.5</w:t>
            </w:r>
          </w:p>
        </w:tc>
        <w:tc>
          <w:p>
            <w:pPr>
              <w:pStyle w:val="Normal"/>
            </w:pPr>
            <w:r>
              <w:t>46 (0.78–2156)</w:t>
            </w:r>
          </w:p>
        </w:tc>
        <w:tc>
          <w:p>
            <w:pPr>
              <w:pStyle w:val="Normal"/>
            </w:pPr>
            <w:r>
              <w:t>211 (2.4–25720)</w:t>
            </w:r>
          </w:p>
        </w:tc>
        <w:tc>
          <w:p>
            <w:pPr>
              <w:pStyle w:val="Normal"/>
            </w:pPr>
            <w:r>
              <w:t>88 (-950–23693)</w:t>
            </w:r>
          </w:p>
        </w:tc>
        <w:tc>
          <w:p>
            <w:pPr>
              <w:pStyle w:val="Normal"/>
            </w:pPr>
            <w:r>
              <w:t>0.63 (-1.4–3.1)</w:t>
            </w:r>
          </w:p>
        </w:tc>
        <w:tc>
          <w:p>
            <w:pPr>
              <w:pStyle w:val="Normal"/>
            </w:pPr>
            <w:r>
              <w:t>0.71 ± 1.4</w:t>
            </w:r>
          </w:p>
        </w:tc>
        <w:tc>
          <w:p>
            <w:pPr>
              <w:pStyle w:val="Normal"/>
            </w:pPr>
            <w:r>
              <w:t>0.70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lukawright</cp:lastModifiedBy>
  <cp:revision>9</cp:revision>
  <dcterms:created xsi:type="dcterms:W3CDTF">2017-02-28T11:18:00Z</dcterms:created>
  <dcterms:modified xsi:type="dcterms:W3CDTF">2026-01-09T10:47:22Z</dcterms:modified>
  <cp:category/>
</cp:coreProperties>
</file>