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A7FB4" w14:textId="77777777" w:rsidR="00AE4B03" w:rsidRDefault="00AE4B03" w:rsidP="00AE4B03">
      <w:pPr>
        <w:rPr>
          <w:rFonts w:ascii="Times New Roman" w:hAnsi="Times New Roman" w:cs="Times New Roman"/>
          <w:b/>
          <w:bCs/>
          <w:sz w:val="32"/>
          <w:szCs w:val="32"/>
        </w:rPr>
      </w:pPr>
      <w:commentRangeStart w:id="0"/>
      <w:r>
        <w:rPr>
          <w:rFonts w:ascii="Times New Roman" w:hAnsi="Times New Roman" w:cs="Times New Roman"/>
          <w:b/>
          <w:bCs/>
          <w:sz w:val="32"/>
          <w:szCs w:val="32"/>
        </w:rPr>
        <w:t>Kelp decomposition hinges on physiology //</w:t>
      </w:r>
    </w:p>
    <w:p w14:paraId="03B1E47A" w14:textId="77777777" w:rsidR="00AE4B03" w:rsidRDefault="00AE4B03" w:rsidP="00AE4B03">
      <w:pPr>
        <w:rPr>
          <w:rFonts w:ascii="Times New Roman" w:hAnsi="Times New Roman" w:cs="Times New Roman"/>
          <w:b/>
          <w:bCs/>
          <w:sz w:val="32"/>
          <w:szCs w:val="32"/>
        </w:rPr>
      </w:pPr>
      <w:r>
        <w:rPr>
          <w:rFonts w:ascii="Times New Roman" w:hAnsi="Times New Roman" w:cs="Times New Roman"/>
          <w:b/>
          <w:bCs/>
          <w:sz w:val="32"/>
          <w:szCs w:val="32"/>
        </w:rPr>
        <w:t>Physiology determines kelp decomposition //</w:t>
      </w:r>
    </w:p>
    <w:p w14:paraId="5A96C5C1" w14:textId="77777777" w:rsidR="00AE4B03" w:rsidRDefault="00AE4B03" w:rsidP="00AE4B03">
      <w:pPr>
        <w:rPr>
          <w:rFonts w:ascii="Times New Roman" w:hAnsi="Times New Roman" w:cs="Times New Roman"/>
          <w:b/>
          <w:bCs/>
          <w:sz w:val="32"/>
          <w:szCs w:val="32"/>
        </w:rPr>
      </w:pPr>
      <w:r>
        <w:rPr>
          <w:rFonts w:ascii="Times New Roman" w:hAnsi="Times New Roman" w:cs="Times New Roman"/>
          <w:b/>
          <w:bCs/>
          <w:sz w:val="32"/>
          <w:szCs w:val="32"/>
        </w:rPr>
        <w:t>Kelp decomposition is masked/confounded by physiology //</w:t>
      </w:r>
    </w:p>
    <w:p w14:paraId="652D681C" w14:textId="77777777" w:rsidR="00AE4B03" w:rsidRPr="00767228" w:rsidRDefault="00AE4B03" w:rsidP="00AE4B03">
      <w:pPr>
        <w:rPr>
          <w:rFonts w:ascii="Times New Roman" w:hAnsi="Times New Roman" w:cs="Times New Roman"/>
          <w:b/>
          <w:bCs/>
          <w:sz w:val="32"/>
          <w:szCs w:val="32"/>
        </w:rPr>
      </w:pPr>
      <w:r w:rsidRPr="00767228">
        <w:rPr>
          <w:rFonts w:ascii="Times New Roman" w:hAnsi="Times New Roman" w:cs="Times New Roman"/>
          <w:b/>
          <w:bCs/>
          <w:sz w:val="32"/>
          <w:szCs w:val="32"/>
        </w:rPr>
        <w:t>Kelp decomposition is underestimated by an order of magnitude</w:t>
      </w:r>
      <w:commentRangeEnd w:id="0"/>
      <w:r>
        <w:rPr>
          <w:rStyle w:val="CommentReference"/>
        </w:rPr>
        <w:commentReference w:id="0"/>
      </w:r>
    </w:p>
    <w:p w14:paraId="19FFE2B3" w14:textId="77777777" w:rsidR="00AE4B03" w:rsidRDefault="00AE4B03" w:rsidP="00AE4B03">
      <w:pPr>
        <w:autoSpaceDE w:val="0"/>
        <w:autoSpaceDN w:val="0"/>
        <w:adjustRightInd w:val="0"/>
        <w:rPr>
          <w:rFonts w:ascii="Times New Roman" w:hAnsi="Times New Roman"/>
          <w:color w:val="000000"/>
          <w:kern w:val="0"/>
        </w:rPr>
      </w:pPr>
    </w:p>
    <w:p w14:paraId="08A8AF6B" w14:textId="77777777" w:rsidR="00AE4B03" w:rsidRPr="001E6D5A" w:rsidRDefault="00AE4B03" w:rsidP="00AE4B03">
      <w:pPr>
        <w:autoSpaceDE w:val="0"/>
        <w:autoSpaceDN w:val="0"/>
        <w:adjustRightInd w:val="0"/>
        <w:rPr>
          <w:rFonts w:ascii="Times New Roman" w:hAnsi="Times New Roman"/>
          <w:color w:val="000000"/>
          <w:kern w:val="0"/>
        </w:rPr>
      </w:pPr>
      <w:r w:rsidRPr="001E6D5A">
        <w:rPr>
          <w:rFonts w:ascii="Times New Roman" w:hAnsi="Times New Roman"/>
          <w:color w:val="000000"/>
          <w:kern w:val="0"/>
        </w:rPr>
        <w:t>Luka Seamus Wright*</w:t>
      </w:r>
      <w:r w:rsidRPr="001E6D5A">
        <w:rPr>
          <w:rFonts w:ascii="Times New Roman" w:hAnsi="Times New Roman"/>
          <w:color w:val="000000"/>
          <w:kern w:val="0"/>
          <w:vertAlign w:val="superscript"/>
        </w:rPr>
        <w:t>1,2,3</w:t>
      </w:r>
      <w:r w:rsidRPr="001E6D5A">
        <w:rPr>
          <w:rFonts w:ascii="Times New Roman" w:hAnsi="Times New Roman"/>
          <w:color w:val="000000"/>
          <w:kern w:val="0"/>
        </w:rPr>
        <w:t xml:space="preserve">, </w:t>
      </w:r>
      <w:r>
        <w:rPr>
          <w:rFonts w:ascii="Times New Roman" w:hAnsi="Times New Roman"/>
          <w:color w:val="000000"/>
          <w:kern w:val="0"/>
        </w:rPr>
        <w:t>Andy Foggo</w:t>
      </w:r>
      <w:r w:rsidRPr="001E6D5A">
        <w:rPr>
          <w:rFonts w:ascii="Times New Roman" w:hAnsi="Times New Roman"/>
          <w:color w:val="000000"/>
          <w:kern w:val="0"/>
          <w:vertAlign w:val="superscript"/>
        </w:rPr>
        <w:t>4</w:t>
      </w:r>
      <w:r w:rsidRPr="001E6D5A">
        <w:rPr>
          <w:rFonts w:ascii="Times New Roman" w:hAnsi="Times New Roman"/>
          <w:color w:val="000000"/>
          <w:kern w:val="0"/>
        </w:rPr>
        <w:t xml:space="preserve">, </w:t>
      </w:r>
      <w:r>
        <w:rPr>
          <w:rFonts w:ascii="Times New Roman" w:hAnsi="Times New Roman"/>
          <w:color w:val="000000"/>
          <w:kern w:val="0"/>
        </w:rPr>
        <w:t>Tom Roberts</w:t>
      </w:r>
      <w:r>
        <w:rPr>
          <w:rFonts w:ascii="Times New Roman" w:hAnsi="Times New Roman"/>
          <w:color w:val="000000"/>
          <w:kern w:val="0"/>
          <w:vertAlign w:val="superscript"/>
        </w:rPr>
        <w:t>2</w:t>
      </w:r>
      <w:r w:rsidRPr="001E6D5A">
        <w:rPr>
          <w:rFonts w:ascii="Times New Roman" w:hAnsi="Times New Roman"/>
          <w:color w:val="000000"/>
          <w:kern w:val="0"/>
        </w:rPr>
        <w:t xml:space="preserve">, </w:t>
      </w:r>
      <w:r>
        <w:rPr>
          <w:rFonts w:ascii="Times New Roman" w:hAnsi="Times New Roman"/>
          <w:color w:val="000000"/>
          <w:kern w:val="0"/>
        </w:rPr>
        <w:t>Pippa Attwell</w:t>
      </w:r>
      <w:r>
        <w:rPr>
          <w:rFonts w:ascii="Times New Roman" w:hAnsi="Times New Roman"/>
          <w:color w:val="000000"/>
          <w:kern w:val="0"/>
          <w:vertAlign w:val="superscript"/>
        </w:rPr>
        <w:t>2</w:t>
      </w:r>
      <w:r w:rsidRPr="001E6D5A">
        <w:rPr>
          <w:rFonts w:ascii="Times New Roman" w:hAnsi="Times New Roman"/>
          <w:color w:val="000000"/>
          <w:kern w:val="0"/>
        </w:rPr>
        <w:t xml:space="preserve">, </w:t>
      </w:r>
      <w:r>
        <w:rPr>
          <w:rFonts w:ascii="Times New Roman" w:hAnsi="Times New Roman"/>
          <w:color w:val="000000"/>
          <w:kern w:val="0"/>
        </w:rPr>
        <w:t>Just Cebrián</w:t>
      </w:r>
      <w:r w:rsidRPr="00F721BC">
        <w:rPr>
          <w:rFonts w:ascii="Times New Roman" w:hAnsi="Times New Roman"/>
          <w:color w:val="000000"/>
          <w:kern w:val="0"/>
          <w:vertAlign w:val="superscript"/>
        </w:rPr>
        <w:t>5</w:t>
      </w:r>
      <w:r>
        <w:rPr>
          <w:rFonts w:ascii="Times New Roman" w:hAnsi="Times New Roman"/>
          <w:color w:val="000000"/>
          <w:kern w:val="0"/>
        </w:rPr>
        <w:t xml:space="preserve">, </w:t>
      </w:r>
      <w:r w:rsidRPr="001E6D5A">
        <w:rPr>
          <w:rFonts w:ascii="Times New Roman" w:hAnsi="Times New Roman"/>
          <w:color w:val="000000"/>
          <w:kern w:val="0"/>
        </w:rPr>
        <w:t>Thomas Wernberg</w:t>
      </w:r>
      <w:r w:rsidRPr="001E6D5A">
        <w:rPr>
          <w:rFonts w:ascii="Times New Roman" w:hAnsi="Times New Roman"/>
          <w:color w:val="000000"/>
          <w:kern w:val="0"/>
          <w:vertAlign w:val="superscript"/>
        </w:rPr>
        <w:t>1,2,</w:t>
      </w:r>
      <w:r>
        <w:rPr>
          <w:rFonts w:ascii="Times New Roman" w:hAnsi="Times New Roman"/>
          <w:color w:val="000000"/>
          <w:kern w:val="0"/>
          <w:vertAlign w:val="superscript"/>
        </w:rPr>
        <w:t>6</w:t>
      </w:r>
      <w:r w:rsidRPr="001E6D5A">
        <w:rPr>
          <w:rFonts w:ascii="Times New Roman" w:hAnsi="Times New Roman"/>
          <w:color w:val="000000"/>
          <w:kern w:val="0"/>
        </w:rPr>
        <w:t>, Karen Filbee-Dexter</w:t>
      </w:r>
      <w:r w:rsidRPr="001E6D5A">
        <w:rPr>
          <w:rFonts w:ascii="Times New Roman" w:hAnsi="Times New Roman"/>
          <w:color w:val="000000"/>
          <w:kern w:val="0"/>
          <w:vertAlign w:val="superscript"/>
        </w:rPr>
        <w:t>1,2,</w:t>
      </w:r>
      <w:r>
        <w:rPr>
          <w:rFonts w:ascii="Times New Roman" w:hAnsi="Times New Roman"/>
          <w:color w:val="000000"/>
          <w:kern w:val="0"/>
          <w:vertAlign w:val="superscript"/>
        </w:rPr>
        <w:t>6</w:t>
      </w:r>
    </w:p>
    <w:p w14:paraId="4A5E4CCD" w14:textId="77777777" w:rsidR="00AE4B03" w:rsidRPr="001E6D5A" w:rsidRDefault="00AE4B03" w:rsidP="00AE4B03">
      <w:pPr>
        <w:autoSpaceDE w:val="0"/>
        <w:autoSpaceDN w:val="0"/>
        <w:adjustRightInd w:val="0"/>
        <w:rPr>
          <w:rFonts w:ascii="Times New Roman" w:hAnsi="Times New Roman"/>
          <w:color w:val="000000"/>
          <w:kern w:val="0"/>
        </w:rPr>
      </w:pPr>
    </w:p>
    <w:p w14:paraId="1EB51F67" w14:textId="77777777" w:rsidR="00AE4B03" w:rsidRPr="001E6D5A" w:rsidRDefault="00AE4B03" w:rsidP="00AE4B03">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1</w:t>
      </w:r>
      <w:r w:rsidRPr="001E6D5A">
        <w:rPr>
          <w:rFonts w:ascii="Times New Roman" w:hAnsi="Times New Roman"/>
          <w:color w:val="000000"/>
          <w:kern w:val="0"/>
        </w:rPr>
        <w:t>Oceans Institute, University of Western Australia, Perth, Australia</w:t>
      </w:r>
    </w:p>
    <w:p w14:paraId="25827E79" w14:textId="77777777" w:rsidR="00AE4B03" w:rsidRPr="001E6D5A" w:rsidRDefault="00AE4B03" w:rsidP="00AE4B03">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2</w:t>
      </w:r>
      <w:r w:rsidRPr="001E6D5A">
        <w:rPr>
          <w:rFonts w:ascii="Times New Roman" w:hAnsi="Times New Roman"/>
          <w:color w:val="000000"/>
          <w:kern w:val="0"/>
        </w:rPr>
        <w:t>School of Biological Sciences, University of Western Australia, Perth, Australia</w:t>
      </w:r>
    </w:p>
    <w:p w14:paraId="1A3AA972" w14:textId="77777777" w:rsidR="00AE4B03" w:rsidRPr="001E6D5A" w:rsidRDefault="00AE4B03" w:rsidP="00AE4B03">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3</w:t>
      </w:r>
      <w:r w:rsidRPr="001E6D5A">
        <w:rPr>
          <w:rFonts w:ascii="Times New Roman" w:hAnsi="Times New Roman"/>
          <w:color w:val="000000"/>
          <w:kern w:val="0"/>
        </w:rPr>
        <w:t>CSIRO Oceans and Atmosphere, Perth, Australia</w:t>
      </w:r>
    </w:p>
    <w:p w14:paraId="57834AD0" w14:textId="77777777" w:rsidR="00AE4B03" w:rsidRDefault="00AE4B03" w:rsidP="00AE4B03">
      <w:pPr>
        <w:autoSpaceDE w:val="0"/>
        <w:autoSpaceDN w:val="0"/>
        <w:adjustRightInd w:val="0"/>
        <w:rPr>
          <w:rFonts w:ascii="Times New Roman" w:hAnsi="Times New Roman"/>
          <w:color w:val="000000"/>
          <w:kern w:val="0"/>
        </w:rPr>
      </w:pPr>
      <w:r w:rsidRPr="001E6D5A">
        <w:rPr>
          <w:rFonts w:ascii="Times New Roman" w:hAnsi="Times New Roman"/>
          <w:color w:val="000000"/>
          <w:kern w:val="0"/>
          <w:vertAlign w:val="superscript"/>
        </w:rPr>
        <w:t>4</w:t>
      </w:r>
      <w:r>
        <w:rPr>
          <w:rFonts w:ascii="Times New Roman" w:hAnsi="Times New Roman"/>
          <w:color w:val="000000"/>
          <w:kern w:val="0"/>
        </w:rPr>
        <w:t>Marine Biology and Ecology Research Centre, University of Plymouth, Plymouth, United Kingdom</w:t>
      </w:r>
    </w:p>
    <w:p w14:paraId="62D9E394" w14:textId="77777777" w:rsidR="00AE4B03" w:rsidRPr="001E6D5A" w:rsidRDefault="00AE4B03" w:rsidP="00AE4B03">
      <w:pPr>
        <w:autoSpaceDE w:val="0"/>
        <w:autoSpaceDN w:val="0"/>
        <w:adjustRightInd w:val="0"/>
        <w:rPr>
          <w:rFonts w:ascii="Times New Roman" w:hAnsi="Times New Roman"/>
          <w:color w:val="000000"/>
          <w:kern w:val="0"/>
        </w:rPr>
      </w:pPr>
      <w:r w:rsidRPr="00F721BC">
        <w:rPr>
          <w:rFonts w:ascii="Times New Roman" w:hAnsi="Times New Roman"/>
          <w:color w:val="000000"/>
          <w:kern w:val="0"/>
          <w:vertAlign w:val="superscript"/>
        </w:rPr>
        <w:t>5</w:t>
      </w:r>
      <w:r>
        <w:rPr>
          <w:rFonts w:ascii="Times New Roman" w:hAnsi="Times New Roman"/>
          <w:color w:val="000000"/>
          <w:kern w:val="0"/>
        </w:rPr>
        <w:t>King Abdullah University of Science and Technology, Thuwal, Saudi Arabia</w:t>
      </w:r>
    </w:p>
    <w:p w14:paraId="5BFC92AF" w14:textId="77777777" w:rsidR="00AE4B03" w:rsidRPr="001E6D5A" w:rsidRDefault="00AE4B03" w:rsidP="00AE4B03">
      <w:pPr>
        <w:autoSpaceDE w:val="0"/>
        <w:autoSpaceDN w:val="0"/>
        <w:adjustRightInd w:val="0"/>
        <w:rPr>
          <w:rFonts w:ascii="Times New Roman" w:hAnsi="Times New Roman"/>
          <w:color w:val="000000"/>
          <w:kern w:val="0"/>
        </w:rPr>
      </w:pPr>
      <w:r>
        <w:rPr>
          <w:rFonts w:ascii="Times New Roman" w:hAnsi="Times New Roman"/>
          <w:color w:val="000000"/>
          <w:kern w:val="0"/>
          <w:vertAlign w:val="superscript"/>
        </w:rPr>
        <w:t>6</w:t>
      </w:r>
      <w:r w:rsidRPr="001E6D5A">
        <w:rPr>
          <w:rFonts w:ascii="Times New Roman" w:hAnsi="Times New Roman"/>
          <w:color w:val="000000"/>
          <w:kern w:val="0"/>
        </w:rPr>
        <w:t>Institute of Marine Research, His, Norway</w:t>
      </w:r>
    </w:p>
    <w:p w14:paraId="03942F53" w14:textId="77777777" w:rsidR="00AE4B03" w:rsidRPr="001E6D5A" w:rsidRDefault="00AE4B03" w:rsidP="00AE4B03">
      <w:pPr>
        <w:rPr>
          <w:rFonts w:ascii="Times New Roman" w:hAnsi="Times New Roman"/>
        </w:rPr>
      </w:pPr>
      <w:r w:rsidRPr="001E6D5A">
        <w:rPr>
          <w:rFonts w:ascii="Times New Roman" w:hAnsi="Times New Roman"/>
          <w:color w:val="000000"/>
          <w:kern w:val="0"/>
        </w:rPr>
        <w:t>*luka.wright@research.uwa.edu.au, luka@wright.it</w:t>
      </w:r>
    </w:p>
    <w:p w14:paraId="66E83E45" w14:textId="77777777" w:rsidR="00AE4B03" w:rsidRPr="001E6D5A" w:rsidRDefault="00AE4B03" w:rsidP="00AE4B03">
      <w:pPr>
        <w:rPr>
          <w:rFonts w:ascii="Times New Roman" w:hAnsi="Times New Roman"/>
        </w:rPr>
      </w:pPr>
    </w:p>
    <w:p w14:paraId="76A9C2F7" w14:textId="77777777" w:rsidR="00AE4B03" w:rsidRPr="001E6D5A" w:rsidRDefault="00AE4B03" w:rsidP="00AE4B03">
      <w:pPr>
        <w:rPr>
          <w:rFonts w:ascii="Times New Roman" w:hAnsi="Times New Roman"/>
          <w:b/>
          <w:bCs/>
        </w:rPr>
      </w:pPr>
      <w:r w:rsidRPr="001E6D5A">
        <w:rPr>
          <w:rFonts w:ascii="Times New Roman" w:hAnsi="Times New Roman"/>
          <w:b/>
          <w:bCs/>
        </w:rPr>
        <w:t>ORCiD</w:t>
      </w:r>
    </w:p>
    <w:p w14:paraId="69A97F21" w14:textId="77777777" w:rsidR="00AE4B03" w:rsidRPr="001E6D5A" w:rsidRDefault="00AE4B03" w:rsidP="00AE4B03">
      <w:pPr>
        <w:rPr>
          <w:rFonts w:ascii="Times New Roman" w:hAnsi="Times New Roman"/>
        </w:rPr>
      </w:pPr>
      <w:r w:rsidRPr="001E6D5A">
        <w:rPr>
          <w:rFonts w:ascii="Times New Roman" w:hAnsi="Times New Roman"/>
        </w:rPr>
        <w:t xml:space="preserve">Luka Seamus Wright </w:t>
      </w:r>
      <w:hyperlink r:id="rId9" w:history="1">
        <w:r w:rsidRPr="001E6D5A">
          <w:rPr>
            <w:rStyle w:val="Hyperlink"/>
            <w:rFonts w:ascii="Times New Roman" w:hAnsi="Times New Roman"/>
          </w:rPr>
          <w:t>https://orcid.org/0000-0002-1273-6256</w:t>
        </w:r>
      </w:hyperlink>
    </w:p>
    <w:p w14:paraId="267F0981" w14:textId="77777777" w:rsidR="00AE4B03" w:rsidRPr="000A308B" w:rsidRDefault="00AE4B03" w:rsidP="00AE4B03">
      <w:pPr>
        <w:rPr>
          <w:rFonts w:ascii="Times New Roman" w:hAnsi="Times New Roman"/>
        </w:rPr>
      </w:pPr>
      <w:r w:rsidRPr="000A308B">
        <w:rPr>
          <w:rFonts w:ascii="Times New Roman" w:hAnsi="Times New Roman"/>
        </w:rPr>
        <w:t xml:space="preserve">Andy Foggo </w:t>
      </w:r>
      <w:hyperlink r:id="rId10" w:history="1">
        <w:r w:rsidRPr="00813F77">
          <w:rPr>
            <w:rStyle w:val="Hyperlink"/>
            <w:rFonts w:ascii="Times New Roman" w:hAnsi="Times New Roman"/>
          </w:rPr>
          <w:t>https://orcid.org/0000-0002-0280-0824</w:t>
        </w:r>
      </w:hyperlink>
      <w:r>
        <w:rPr>
          <w:rFonts w:ascii="Times New Roman" w:hAnsi="Times New Roman"/>
        </w:rPr>
        <w:t xml:space="preserve"> </w:t>
      </w:r>
    </w:p>
    <w:p w14:paraId="729C5EA5" w14:textId="77777777" w:rsidR="00AE4B03" w:rsidRPr="001E6D5A" w:rsidRDefault="00AE4B03" w:rsidP="00AE4B03">
      <w:pPr>
        <w:rPr>
          <w:rFonts w:ascii="Times New Roman" w:hAnsi="Times New Roman"/>
          <w:color w:val="000000"/>
          <w:kern w:val="0"/>
        </w:rPr>
      </w:pPr>
      <w:commentRangeStart w:id="1"/>
      <w:r>
        <w:rPr>
          <w:rFonts w:ascii="Times New Roman" w:hAnsi="Times New Roman"/>
          <w:color w:val="000000"/>
          <w:kern w:val="0"/>
        </w:rPr>
        <w:t>Tom Roberts</w:t>
      </w:r>
      <w:r w:rsidRPr="001E6D5A">
        <w:rPr>
          <w:rFonts w:ascii="Times New Roman" w:hAnsi="Times New Roman"/>
          <w:color w:val="000000"/>
          <w:kern w:val="0"/>
        </w:rPr>
        <w:t xml:space="preserve"> ?</w:t>
      </w:r>
    </w:p>
    <w:p w14:paraId="73E7D666" w14:textId="77777777" w:rsidR="00AE4B03" w:rsidRDefault="00AE4B03" w:rsidP="00AE4B03">
      <w:pPr>
        <w:rPr>
          <w:rFonts w:ascii="Times New Roman" w:hAnsi="Times New Roman"/>
          <w:color w:val="000000"/>
          <w:kern w:val="0"/>
        </w:rPr>
      </w:pPr>
      <w:r>
        <w:rPr>
          <w:rFonts w:ascii="Times New Roman" w:hAnsi="Times New Roman"/>
          <w:color w:val="000000"/>
          <w:kern w:val="0"/>
        </w:rPr>
        <w:t>Pippa Attwell</w:t>
      </w:r>
      <w:r w:rsidRPr="001E6D5A">
        <w:rPr>
          <w:rFonts w:ascii="Times New Roman" w:hAnsi="Times New Roman"/>
          <w:color w:val="000000"/>
          <w:kern w:val="0"/>
        </w:rPr>
        <w:t xml:space="preserve"> ?</w:t>
      </w:r>
    </w:p>
    <w:p w14:paraId="20190E01" w14:textId="77777777" w:rsidR="00AE4B03" w:rsidRPr="001E6D5A" w:rsidRDefault="00AE4B03" w:rsidP="00AE4B03">
      <w:pPr>
        <w:rPr>
          <w:rFonts w:ascii="Times New Roman" w:hAnsi="Times New Roman"/>
        </w:rPr>
      </w:pPr>
      <w:r>
        <w:rPr>
          <w:rFonts w:ascii="Times New Roman" w:hAnsi="Times New Roman"/>
          <w:color w:val="000000"/>
          <w:kern w:val="0"/>
        </w:rPr>
        <w:t>Just Cebrián ?</w:t>
      </w:r>
      <w:commentRangeEnd w:id="1"/>
      <w:r>
        <w:rPr>
          <w:rStyle w:val="CommentReference"/>
        </w:rPr>
        <w:commentReference w:id="1"/>
      </w:r>
    </w:p>
    <w:p w14:paraId="7C3AF515" w14:textId="77777777" w:rsidR="00AE4B03" w:rsidRPr="001E6D5A" w:rsidRDefault="00AE4B03" w:rsidP="00AE4B03">
      <w:pPr>
        <w:rPr>
          <w:rFonts w:ascii="Times New Roman" w:hAnsi="Times New Roman"/>
          <w:color w:val="000000"/>
          <w:kern w:val="0"/>
          <w:lang w:val="de-DE"/>
        </w:rPr>
      </w:pPr>
      <w:r w:rsidRPr="001E6D5A">
        <w:rPr>
          <w:rFonts w:ascii="Times New Roman" w:hAnsi="Times New Roman"/>
          <w:color w:val="000000"/>
          <w:kern w:val="0"/>
          <w:lang w:val="de-DE"/>
        </w:rPr>
        <w:t xml:space="preserve">Thomas Wernberg </w:t>
      </w:r>
      <w:hyperlink r:id="rId11" w:history="1">
        <w:r w:rsidRPr="001E6D5A">
          <w:rPr>
            <w:rStyle w:val="Hyperlink"/>
            <w:rFonts w:ascii="Times New Roman" w:hAnsi="Times New Roman"/>
            <w:kern w:val="0"/>
            <w:lang w:val="de-DE"/>
          </w:rPr>
          <w:t>https://orcid.org/0000-0003-1185-9745</w:t>
        </w:r>
      </w:hyperlink>
      <w:r w:rsidRPr="001E6D5A">
        <w:rPr>
          <w:rFonts w:ascii="Times New Roman" w:hAnsi="Times New Roman"/>
          <w:color w:val="000000"/>
          <w:kern w:val="0"/>
          <w:lang w:val="de-DE"/>
        </w:rPr>
        <w:t xml:space="preserve"> </w:t>
      </w:r>
    </w:p>
    <w:p w14:paraId="7CD913B9" w14:textId="77777777" w:rsidR="00AE4B03" w:rsidRPr="001E6D5A" w:rsidRDefault="00AE4B03" w:rsidP="00AE4B03">
      <w:pPr>
        <w:rPr>
          <w:rFonts w:ascii="Times New Roman" w:hAnsi="Times New Roman"/>
          <w:color w:val="000000"/>
          <w:kern w:val="0"/>
          <w:lang w:val="de-DE"/>
        </w:rPr>
      </w:pPr>
      <w:r w:rsidRPr="001E6D5A">
        <w:rPr>
          <w:rFonts w:ascii="Times New Roman" w:hAnsi="Times New Roman"/>
          <w:color w:val="000000"/>
          <w:kern w:val="0"/>
          <w:lang w:val="de-DE"/>
        </w:rPr>
        <w:t xml:space="preserve">Karen Filbee-Dexter </w:t>
      </w:r>
      <w:hyperlink r:id="rId12" w:history="1">
        <w:r w:rsidRPr="001E6D5A">
          <w:rPr>
            <w:rStyle w:val="Hyperlink"/>
            <w:rFonts w:ascii="Times New Roman" w:hAnsi="Times New Roman"/>
            <w:kern w:val="0"/>
            <w:lang w:val="de-DE"/>
          </w:rPr>
          <w:t>https://orcid.org/0000-0001-8413-6797</w:t>
        </w:r>
      </w:hyperlink>
      <w:r w:rsidRPr="001E6D5A">
        <w:rPr>
          <w:rFonts w:ascii="Times New Roman" w:hAnsi="Times New Roman"/>
          <w:color w:val="000000"/>
          <w:kern w:val="0"/>
          <w:lang w:val="de-DE"/>
        </w:rPr>
        <w:t xml:space="preserve"> </w:t>
      </w:r>
    </w:p>
    <w:p w14:paraId="2ED68C08" w14:textId="77777777" w:rsidR="00AE4B03" w:rsidRPr="00F37CD8" w:rsidRDefault="00AE4B03" w:rsidP="00AE4B03">
      <w:pPr>
        <w:rPr>
          <w:rFonts w:ascii="Times New Roman" w:hAnsi="Times New Roman" w:cs="Times New Roman"/>
          <w:lang w:val="de-DE"/>
        </w:rPr>
      </w:pPr>
    </w:p>
    <w:p w14:paraId="77C6D111" w14:textId="093C1659" w:rsidR="00AE4B03" w:rsidRPr="00B96A12" w:rsidRDefault="00AE4B03" w:rsidP="00AE4B03">
      <w:pPr>
        <w:rPr>
          <w:rFonts w:ascii="Times New Roman" w:hAnsi="Times New Roman" w:cs="Times New Roman"/>
          <w:b/>
          <w:bCs/>
        </w:rPr>
      </w:pPr>
      <w:commentRangeStart w:id="2"/>
      <w:r w:rsidRPr="00B96A12">
        <w:rPr>
          <w:rFonts w:ascii="Times New Roman" w:hAnsi="Times New Roman" w:cs="Times New Roman"/>
          <w:b/>
          <w:bCs/>
        </w:rPr>
        <w:t>Kelp</w:t>
      </w:r>
      <w:commentRangeEnd w:id="2"/>
      <w:r w:rsidRPr="00B96A12">
        <w:rPr>
          <w:rStyle w:val="CommentReference"/>
          <w:rFonts w:ascii="Times New Roman" w:hAnsi="Times New Roman"/>
          <w:b/>
          <w:bCs/>
          <w:sz w:val="24"/>
          <w:szCs w:val="24"/>
        </w:rPr>
        <w:commentReference w:id="2"/>
      </w:r>
      <w:r w:rsidRPr="00B96A12">
        <w:rPr>
          <w:rFonts w:ascii="Times New Roman" w:hAnsi="Times New Roman" w:cs="Times New Roman"/>
          <w:b/>
          <w:bCs/>
        </w:rPr>
        <w:t xml:space="preserve"> forests are in the eye of blue carbon</w:t>
      </w:r>
      <w:r>
        <w:t xml:space="preserve">{Filbee-Dexter et al., 2024, #27977; Pessarrodona et al., 2022, #59703; Krause-Jensen and Duarte, 2016, #82158; </w:t>
      </w:r>
      <w:r w:rsidRPr="00D92209">
        <w:rPr>
          <w:rFonts w:ascii="Times New Roman" w:hAnsi="Times New Roman" w:cs="Times New Roman"/>
        </w:rPr>
        <w:t>Pessarrodona et al., 2023, #24779}</w:t>
      </w:r>
      <w:r w:rsidRPr="00B96A12">
        <w:rPr>
          <w:rFonts w:ascii="Times New Roman" w:hAnsi="Times New Roman" w:cs="Times New Roman"/>
          <w:b/>
          <w:bCs/>
        </w:rPr>
        <w:t>. There is currently no quantitative baseline for their carbon cycle, of which decomposition is the most decisive component</w:t>
      </w:r>
      <w:r>
        <w:t xml:space="preserve">{Pedersen et al., 2021, #86831; </w:t>
      </w:r>
      <w:r w:rsidRPr="00B96A12">
        <w:rPr>
          <w:rFonts w:ascii="Times New Roman" w:hAnsi="Times New Roman" w:cs="Times New Roman"/>
          <w:b/>
          <w:bCs/>
          <w:lang w:bidi="he-IL"/>
        </w:rPr>
        <w:t>Wright et al., 2022, #84779; Filbee-Dexter et al., 2022, #89942; White and Norkko, 2025, #37662}</w:t>
      </w:r>
      <w:r w:rsidRPr="00B96A12">
        <w:rPr>
          <w:rFonts w:ascii="Times New Roman" w:hAnsi="Times New Roman" w:cs="Times New Roman"/>
          <w:b/>
          <w:bCs/>
        </w:rPr>
        <w:t xml:space="preserve">. Despite its importance to blue carbon estimates, kelp decomposition remains </w:t>
      </w:r>
      <w:r>
        <w:rPr>
          <w:rFonts w:ascii="Times New Roman" w:hAnsi="Times New Roman" w:cs="Times New Roman"/>
          <w:b/>
          <w:bCs/>
        </w:rPr>
        <w:t>obscure</w:t>
      </w:r>
      <w:r w:rsidRPr="00B96A12">
        <w:rPr>
          <w:rFonts w:ascii="Times New Roman" w:hAnsi="Times New Roman" w:cs="Times New Roman"/>
          <w:b/>
          <w:bCs/>
        </w:rPr>
        <w:t>. Here we introduce the enigma of kelp decomposition: kelps are among the fastest growing plants and are therefore expected to decompose rapidly</w:t>
      </w:r>
      <w:r>
        <w:t>{Cebrián and Duarte, 1995, #98069}</w:t>
      </w:r>
      <w:r w:rsidRPr="00B96A12">
        <w:rPr>
          <w:rFonts w:ascii="Times New Roman" w:hAnsi="Times New Roman" w:cs="Times New Roman"/>
          <w:b/>
          <w:bCs/>
        </w:rPr>
        <w:t xml:space="preserve"> but are often observed to decompose very slowly</w:t>
      </w:r>
      <w:r>
        <w:rPr>
          <w:rFonts w:ascii="Times New Roman" w:hAnsi="Times New Roman" w:cs="Times New Roman"/>
          <w:b/>
          <w:bCs/>
        </w:rPr>
        <w:t xml:space="preserve"> </w:t>
      </w:r>
      <w:r w:rsidRPr="00B96A12">
        <w:rPr>
          <w:rFonts w:ascii="Times New Roman" w:hAnsi="Times New Roman" w:cs="Times New Roman"/>
          <w:b/>
          <w:bCs/>
        </w:rPr>
        <w:t>with</w:t>
      </w:r>
      <w:r>
        <w:rPr>
          <w:rFonts w:ascii="Times New Roman" w:hAnsi="Times New Roman" w:cs="Times New Roman"/>
          <w:b/>
          <w:bCs/>
        </w:rPr>
        <w:t xml:space="preserve"> generally high unexplained variation</w:t>
      </w:r>
      <w:r w:rsidRPr="00B96A12">
        <w:rPr>
          <w:rFonts w:ascii="Times New Roman" w:hAnsi="Times New Roman" w:cs="Times New Roman"/>
          <w:b/>
          <w:bCs/>
        </w:rPr>
        <w:t xml:space="preserve">. We </w:t>
      </w:r>
      <w:r>
        <w:rPr>
          <w:rFonts w:ascii="Times New Roman" w:hAnsi="Times New Roman" w:cs="Times New Roman"/>
          <w:b/>
          <w:bCs/>
        </w:rPr>
        <w:t>suggest</w:t>
      </w:r>
      <w:r w:rsidRPr="00B96A12">
        <w:rPr>
          <w:rFonts w:ascii="Times New Roman" w:hAnsi="Times New Roman" w:cs="Times New Roman"/>
          <w:b/>
          <w:bCs/>
        </w:rPr>
        <w:t xml:space="preserve"> that kelp decomposition experiments are confounded by physiology, a phenomenon known as detrital photosynthesis</w:t>
      </w:r>
      <w:r>
        <w:t>{Frontier et al., 2021, #5570; Wright and Foggo, 2021, #58011; Wright and Kregting, 2023, #49343; Wright et al., 2022, #84779; Wright et al., 2024, #11376}</w:t>
      </w:r>
      <w:r w:rsidRPr="00B96A12">
        <w:rPr>
          <w:rFonts w:ascii="Times New Roman" w:hAnsi="Times New Roman" w:cs="Times New Roman"/>
          <w:b/>
          <w:bCs/>
        </w:rPr>
        <w:t xml:space="preserve">. Without physiology, kelp decomposes an order of magnitude faster and shows far less variation. </w:t>
      </w:r>
      <w:r>
        <w:rPr>
          <w:rFonts w:ascii="Times New Roman" w:hAnsi="Times New Roman" w:cs="Times New Roman"/>
          <w:b/>
          <w:bCs/>
        </w:rPr>
        <w:t>The unexplained variation in k</w:t>
      </w:r>
      <w:r w:rsidRPr="00B96A12">
        <w:rPr>
          <w:rFonts w:ascii="Times New Roman" w:hAnsi="Times New Roman" w:cs="Times New Roman"/>
          <w:b/>
          <w:bCs/>
        </w:rPr>
        <w:t xml:space="preserve">elp </w:t>
      </w:r>
      <w:r>
        <w:rPr>
          <w:rFonts w:ascii="Times New Roman" w:hAnsi="Times New Roman" w:cs="Times New Roman"/>
          <w:b/>
          <w:bCs/>
        </w:rPr>
        <w:t>decomposition</w:t>
      </w:r>
      <w:r w:rsidRPr="00B96A12">
        <w:rPr>
          <w:rFonts w:ascii="Times New Roman" w:hAnsi="Times New Roman" w:cs="Times New Roman"/>
          <w:b/>
          <w:bCs/>
        </w:rPr>
        <w:t xml:space="preserve"> thus seems to be </w:t>
      </w:r>
      <w:r>
        <w:rPr>
          <w:rFonts w:ascii="Times New Roman" w:hAnsi="Times New Roman" w:cs="Times New Roman"/>
          <w:b/>
          <w:bCs/>
        </w:rPr>
        <w:t>almost purely physiological</w:t>
      </w:r>
      <w:r w:rsidRPr="00B96A12">
        <w:rPr>
          <w:rFonts w:ascii="Times New Roman" w:hAnsi="Times New Roman" w:cs="Times New Roman"/>
          <w:b/>
          <w:bCs/>
        </w:rPr>
        <w:t>. We show that this effect is detectable but insubstantial for seagrasses</w:t>
      </w:r>
      <w:r>
        <w:rPr>
          <w:rFonts w:ascii="Times New Roman" w:hAnsi="Times New Roman" w:cs="Times New Roman"/>
          <w:b/>
          <w:bCs/>
        </w:rPr>
        <w:t xml:space="preserve"> with limited detrital photosynthesis</w:t>
      </w:r>
      <w:r w:rsidRPr="00B96A12">
        <w:rPr>
          <w:rFonts w:ascii="Times New Roman" w:hAnsi="Times New Roman" w:cs="Times New Roman"/>
          <w:b/>
          <w:bCs/>
        </w:rPr>
        <w:t>, likely because their structural recalcitrance dominates. Since most kelp detritus is probably senescent or dead when exported, we suggest that kelp decomposition has likely been underestimated</w:t>
      </w:r>
      <w:r>
        <w:rPr>
          <w:rFonts w:ascii="Times New Roman" w:hAnsi="Times New Roman" w:cs="Times New Roman"/>
          <w:b/>
          <w:bCs/>
        </w:rPr>
        <w:t>, which would result in overestimation of</w:t>
      </w:r>
      <w:r w:rsidRPr="00B96A12">
        <w:rPr>
          <w:rFonts w:ascii="Times New Roman" w:hAnsi="Times New Roman" w:cs="Times New Roman"/>
          <w:b/>
          <w:bCs/>
        </w:rPr>
        <w:t xml:space="preserve"> </w:t>
      </w:r>
      <w:r w:rsidRPr="00AF6590">
        <w:rPr>
          <w:rFonts w:ascii="Times New Roman" w:hAnsi="Times New Roman" w:cs="Times New Roman"/>
          <w:b/>
          <w:bCs/>
        </w:rPr>
        <w:t xml:space="preserve">kelp </w:t>
      </w:r>
      <w:r w:rsidRPr="00AF6590">
        <w:rPr>
          <w:rFonts w:ascii="Times New Roman" w:hAnsi="Times New Roman" w:cs="Times New Roman"/>
          <w:b/>
          <w:bCs/>
          <w:lang w:bidi="he-IL"/>
        </w:rPr>
        <w:t>CO</w:t>
      </w:r>
      <w:r w:rsidRPr="00AF6590">
        <w:rPr>
          <w:rFonts w:ascii="Times New Roman" w:hAnsi="Times New Roman" w:cs="Times New Roman"/>
          <w:b/>
          <w:bCs/>
          <w:vertAlign w:val="subscript"/>
          <w:lang w:bidi="he-IL"/>
        </w:rPr>
        <w:t>2</w:t>
      </w:r>
      <w:r w:rsidRPr="00AF6590">
        <w:rPr>
          <w:rFonts w:ascii="Times New Roman" w:hAnsi="Times New Roman" w:cs="Times New Roman"/>
          <w:b/>
          <w:bCs/>
        </w:rPr>
        <w:t xml:space="preserve"> removal.</w:t>
      </w:r>
    </w:p>
    <w:p w14:paraId="214F61EE" w14:textId="77777777" w:rsidR="00AE4B03" w:rsidRPr="00AC7FA2" w:rsidRDefault="00AE4B03" w:rsidP="00AE4B03">
      <w:pPr>
        <w:rPr>
          <w:rFonts w:ascii="Times New Roman" w:hAnsi="Times New Roman" w:cs="Times New Roman"/>
        </w:rPr>
      </w:pPr>
    </w:p>
    <w:p w14:paraId="7D6C9889" w14:textId="77777777" w:rsidR="00AE4B03" w:rsidRPr="001A0A29" w:rsidRDefault="00AE4B03" w:rsidP="00AE4B03">
      <w:pPr>
        <w:rPr>
          <w:rFonts w:ascii="Times New Roman" w:hAnsi="Times New Roman" w:cs="Times New Roman"/>
        </w:rPr>
      </w:pPr>
      <w:r w:rsidRPr="001A0A29">
        <w:rPr>
          <w:rFonts w:ascii="Times New Roman" w:hAnsi="Times New Roman" w:cs="Times New Roman"/>
          <w:lang w:bidi="he-IL"/>
        </w:rPr>
        <w:lastRenderedPageBreak/>
        <w:t>Human intervention to remove CO</w:t>
      </w:r>
      <w:r w:rsidRPr="001A0A29">
        <w:rPr>
          <w:rFonts w:ascii="Times New Roman" w:hAnsi="Times New Roman" w:cs="Times New Roman"/>
          <w:vertAlign w:val="subscript"/>
          <w:lang w:bidi="he-IL"/>
        </w:rPr>
        <w:t>2</w:t>
      </w:r>
      <w:r w:rsidRPr="001A0A29">
        <w:rPr>
          <w:rFonts w:ascii="Times New Roman" w:hAnsi="Times New Roman" w:cs="Times New Roman"/>
          <w:lang w:bidi="he-IL"/>
        </w:rPr>
        <w:t xml:space="preserve"> from the atmosphere for at least decades to centuries is considered indispensable to anthropogenic climate change mitigation</w:t>
      </w:r>
      <w:r>
        <w:t>{Babiker et al., 2022, #30411}</w:t>
      </w:r>
      <w:r w:rsidRPr="001A0A29">
        <w:rPr>
          <w:rFonts w:ascii="Times New Roman" w:hAnsi="Times New Roman" w:cs="Times New Roman"/>
        </w:rPr>
        <w:t xml:space="preserve">. The contribution of marine plants to such </w:t>
      </w:r>
      <w:r w:rsidRPr="001A0A29">
        <w:rPr>
          <w:rFonts w:ascii="Times New Roman" w:hAnsi="Times New Roman" w:cs="Times New Roman"/>
          <w:lang w:bidi="he-IL"/>
        </w:rPr>
        <w:t>CO</w:t>
      </w:r>
      <w:r w:rsidRPr="001A0A29">
        <w:rPr>
          <w:rFonts w:ascii="Times New Roman" w:hAnsi="Times New Roman" w:cs="Times New Roman"/>
          <w:vertAlign w:val="subscript"/>
          <w:lang w:bidi="he-IL"/>
        </w:rPr>
        <w:t>2</w:t>
      </w:r>
      <w:r w:rsidRPr="001A0A29">
        <w:rPr>
          <w:rFonts w:ascii="Times New Roman" w:hAnsi="Times New Roman" w:cs="Times New Roman"/>
        </w:rPr>
        <w:t xml:space="preserve"> removal is referred to as blue carbon</w:t>
      </w:r>
      <w:r>
        <w:t>{Babiker et al., 2022, #30411}</w:t>
      </w:r>
      <w:r w:rsidRPr="001A0A29">
        <w:rPr>
          <w:rFonts w:ascii="Times New Roman" w:hAnsi="Times New Roman" w:cs="Times New Roman"/>
        </w:rPr>
        <w:t xml:space="preserve">. Together with ocean alkalinity enhancement and ocean fertilisation, blue carbon completes the portfolio of ocean-based </w:t>
      </w:r>
      <w:r w:rsidRPr="001A0A29">
        <w:rPr>
          <w:rFonts w:ascii="Times New Roman" w:hAnsi="Times New Roman" w:cs="Times New Roman"/>
          <w:lang w:bidi="he-IL"/>
        </w:rPr>
        <w:t>CO</w:t>
      </w:r>
      <w:r w:rsidRPr="001A0A29">
        <w:rPr>
          <w:rFonts w:ascii="Times New Roman" w:hAnsi="Times New Roman" w:cs="Times New Roman"/>
          <w:vertAlign w:val="subscript"/>
          <w:lang w:bidi="he-IL"/>
        </w:rPr>
        <w:t>2</w:t>
      </w:r>
      <w:r w:rsidRPr="001A0A29">
        <w:rPr>
          <w:rFonts w:ascii="Times New Roman" w:hAnsi="Times New Roman" w:cs="Times New Roman"/>
        </w:rPr>
        <w:t xml:space="preserve"> removal strategies envisioned to date</w:t>
      </w:r>
      <w:r>
        <w:t>{Babiker et al., 2022, #30411}</w:t>
      </w:r>
      <w:r w:rsidRPr="001A0A29">
        <w:rPr>
          <w:rFonts w:ascii="Times New Roman" w:hAnsi="Times New Roman" w:cs="Times New Roman"/>
        </w:rPr>
        <w:t xml:space="preserve">. Successful blue carbon management requires a baseline to predict the impact of human intervention and calculate additionality, the </w:t>
      </w:r>
      <w:r w:rsidRPr="001A0A29">
        <w:rPr>
          <w:rFonts w:ascii="Times New Roman" w:hAnsi="Times New Roman" w:cs="Times New Roman"/>
          <w:lang w:bidi="he-IL"/>
        </w:rPr>
        <w:t>CO</w:t>
      </w:r>
      <w:r w:rsidRPr="001A0A29">
        <w:rPr>
          <w:rFonts w:ascii="Times New Roman" w:hAnsi="Times New Roman" w:cs="Times New Roman"/>
          <w:vertAlign w:val="subscript"/>
          <w:lang w:bidi="he-IL"/>
        </w:rPr>
        <w:t>2</w:t>
      </w:r>
      <w:r w:rsidRPr="001A0A29">
        <w:rPr>
          <w:rFonts w:ascii="Times New Roman" w:hAnsi="Times New Roman" w:cs="Times New Roman"/>
        </w:rPr>
        <w:t xml:space="preserve"> removal beyond natural processes. Developing such a baseline in turn requires understanding and quantifying marine plant carbon stocks and fluxes.</w:t>
      </w:r>
    </w:p>
    <w:p w14:paraId="4A24BEFF" w14:textId="77777777" w:rsidR="00AE4B03" w:rsidRPr="001A0A29" w:rsidRDefault="00AE4B03" w:rsidP="00AE4B03">
      <w:pPr>
        <w:rPr>
          <w:rFonts w:ascii="Times New Roman" w:hAnsi="Times New Roman" w:cs="Times New Roman"/>
        </w:rPr>
      </w:pPr>
    </w:p>
    <w:p w14:paraId="7EC026F5" w14:textId="77777777" w:rsidR="00AE4B03" w:rsidRPr="001A0A29" w:rsidRDefault="00AE4B03" w:rsidP="00AE4B03">
      <w:pPr>
        <w:rPr>
          <w:rFonts w:ascii="Times New Roman" w:hAnsi="Times New Roman" w:cs="Times New Roman"/>
          <w:lang w:bidi="he-IL"/>
        </w:rPr>
      </w:pPr>
      <w:r w:rsidRPr="001A0A29">
        <w:rPr>
          <w:rFonts w:ascii="Times New Roman" w:hAnsi="Times New Roman" w:cs="Times New Roman"/>
        </w:rPr>
        <w:t xml:space="preserve">There is no adequate blue carbon baseline for kelp forests. </w:t>
      </w:r>
      <w:r w:rsidRPr="001A0A29">
        <w:rPr>
          <w:rFonts w:ascii="Times New Roman" w:hAnsi="Times New Roman" w:cs="Times New Roman"/>
          <w:lang w:bidi="he-IL"/>
        </w:rPr>
        <w:t>Seaweed forests, particularly those formed by the large kelps, are currently the focus of blue carbon</w:t>
      </w:r>
      <w:r>
        <w:t>{Filbee-Dexter et al., 2024, #27977; Krause-Jensen and Duarte, 2016, #82158; Pessarrodona et al., 2023, #24779}</w:t>
      </w:r>
      <w:r w:rsidRPr="001A0A29">
        <w:rPr>
          <w:rFonts w:ascii="Times New Roman" w:hAnsi="Times New Roman" w:cs="Times New Roman"/>
          <w:lang w:bidi="he-IL"/>
        </w:rPr>
        <w:t>. These forests cover a substantial part of the coastal ocean</w:t>
      </w:r>
      <w:r>
        <w:t>{Duarte et al., 2022, #38140; Jayathilake and Costello, 2020, #40064}</w:t>
      </w:r>
      <w:r w:rsidRPr="001A0A29">
        <w:rPr>
          <w:rFonts w:ascii="Times New Roman" w:hAnsi="Times New Roman" w:cs="Times New Roman"/>
          <w:lang w:bidi="he-IL"/>
        </w:rPr>
        <w:t>, pack more biomass than any other ecosystem</w:t>
      </w:r>
      <w:r>
        <w:t>{Schiel and Choat, 1980, #79954; Creed et al., 2019, #70680}</w:t>
      </w:r>
      <w:r w:rsidRPr="001A0A29">
        <w:rPr>
          <w:rFonts w:ascii="Times New Roman" w:hAnsi="Times New Roman" w:cs="Times New Roman"/>
          <w:lang w:bidi="he-IL"/>
        </w:rPr>
        <w:t xml:space="preserve">, </w:t>
      </w:r>
      <w:r>
        <w:rPr>
          <w:rFonts w:ascii="Times New Roman" w:hAnsi="Times New Roman" w:cs="Times New Roman"/>
          <w:lang w:bidi="he-IL"/>
        </w:rPr>
        <w:t>are said</w:t>
      </w:r>
      <w:r w:rsidRPr="001A0A29">
        <w:rPr>
          <w:rFonts w:ascii="Times New Roman" w:hAnsi="Times New Roman" w:cs="Times New Roman"/>
          <w:lang w:bidi="he-IL"/>
        </w:rPr>
        <w:t xml:space="preserve"> to be as productive as terrestrial forests </w:t>
      </w:r>
      <w:r w:rsidRPr="001A0A29">
        <w:rPr>
          <w:rFonts w:ascii="Times New Roman" w:hAnsi="Times New Roman" w:cs="Times New Roman"/>
        </w:rPr>
        <w:t>and phytoplankton</w:t>
      </w:r>
      <w:r>
        <w:t>{Cebrian, 1999, #32569; Pessarrodona et al., 2022, #59703}</w:t>
      </w:r>
      <w:r w:rsidRPr="001A0A29">
        <w:rPr>
          <w:rFonts w:ascii="Times New Roman" w:hAnsi="Times New Roman" w:cs="Times New Roman"/>
        </w:rPr>
        <w:t xml:space="preserve"> </w:t>
      </w:r>
      <w:r w:rsidRPr="001A0A29">
        <w:rPr>
          <w:rFonts w:ascii="Times New Roman" w:hAnsi="Times New Roman" w:cs="Times New Roman"/>
          <w:lang w:bidi="he-IL"/>
        </w:rPr>
        <w:t>and export vast amounts of detritus</w:t>
      </w:r>
      <w:r>
        <w:t>{Duarte and Cebrián, 1996, #45201; Pessarrodona et al., 2023, #24779; Filbee-Dexter et al., 2024, #27977}</w:t>
      </w:r>
      <w:r w:rsidRPr="001A0A29">
        <w:rPr>
          <w:rFonts w:ascii="Times New Roman" w:hAnsi="Times New Roman" w:cs="Times New Roman"/>
          <w:lang w:bidi="he-IL"/>
        </w:rPr>
        <w:t>. Yet, their carbon cycle is poorly understood compared to their fellow blue carbon ecosystems—seagrass meadows, mangrove forests and saltmarshes. Unlike these marine angiosperms, algae do not have root systems and therefore cannot form carbon sinks that accumulate carbon below ground</w:t>
      </w:r>
      <w:r>
        <w:t>{Krause-Jensen and Duarte, 2016, #82158}</w:t>
      </w:r>
      <w:r w:rsidRPr="001A0A29">
        <w:rPr>
          <w:rFonts w:ascii="Times New Roman" w:hAnsi="Times New Roman" w:cs="Times New Roman"/>
          <w:lang w:bidi="he-IL"/>
        </w:rPr>
        <w:t>. Since carbon stocks are easier to quantify than carbon fluxes, the CO</w:t>
      </w:r>
      <w:r w:rsidRPr="001A0A29">
        <w:rPr>
          <w:rFonts w:ascii="Times New Roman" w:hAnsi="Times New Roman" w:cs="Times New Roman"/>
          <w:vertAlign w:val="subscript"/>
          <w:lang w:bidi="he-IL"/>
        </w:rPr>
        <w:t>2</w:t>
      </w:r>
      <w:r w:rsidRPr="001A0A29">
        <w:rPr>
          <w:rFonts w:ascii="Times New Roman" w:hAnsi="Times New Roman" w:cs="Times New Roman"/>
        </w:rPr>
        <w:t xml:space="preserve"> removal</w:t>
      </w:r>
      <w:r w:rsidRPr="001A0A29">
        <w:rPr>
          <w:rFonts w:ascii="Times New Roman" w:hAnsi="Times New Roman" w:cs="Times New Roman"/>
          <w:lang w:bidi="he-IL"/>
        </w:rPr>
        <w:t xml:space="preserve"> baseline of kelp forests remains elusive</w:t>
      </w:r>
      <w:r>
        <w:rPr>
          <w:rFonts w:ascii="Times New Roman" w:hAnsi="Times New Roman" w:cs="Times New Roman"/>
          <w:lang w:bidi="he-IL"/>
        </w:rPr>
        <w:t xml:space="preserve"> and current predictions</w:t>
      </w:r>
      <w:r>
        <w:t>{Filbee-Dexter et al., 2024, #27977; Krause-Jensen and Duarte, 2016, #82158}</w:t>
      </w:r>
      <w:r>
        <w:rPr>
          <w:rFonts w:ascii="Times New Roman" w:hAnsi="Times New Roman" w:cs="Times New Roman"/>
          <w:lang w:bidi="he-IL"/>
        </w:rPr>
        <w:t xml:space="preserve"> rely heavily on assumptions about kelp detrital dynamics.</w:t>
      </w:r>
    </w:p>
    <w:p w14:paraId="2CA37B8B" w14:textId="77777777" w:rsidR="00AE4B03" w:rsidRDefault="00AE4B03" w:rsidP="00AE4B03">
      <w:pPr>
        <w:rPr>
          <w:rFonts w:ascii="Times New Roman" w:hAnsi="Times New Roman" w:cs="Times New Roman"/>
          <w:lang w:bidi="he-IL"/>
        </w:rPr>
      </w:pPr>
    </w:p>
    <w:p w14:paraId="16C744C3" w14:textId="77777777" w:rsidR="00AE4B03" w:rsidRPr="005D25A5" w:rsidRDefault="00AE4B03" w:rsidP="00AE4B03">
      <w:pPr>
        <w:rPr>
          <w:rFonts w:ascii="Times New Roman" w:hAnsi="Times New Roman" w:cs="Times New Roman"/>
          <w:b/>
          <w:bCs/>
          <w:lang w:bidi="he-IL"/>
        </w:rPr>
      </w:pPr>
      <w:r>
        <w:rPr>
          <w:rFonts w:ascii="Times New Roman" w:hAnsi="Times New Roman" w:cs="Times New Roman"/>
          <w:b/>
          <w:bCs/>
          <w:lang w:bidi="he-IL"/>
        </w:rPr>
        <w:t>Revisiting biomass turnover</w:t>
      </w:r>
    </w:p>
    <w:p w14:paraId="75A5A854" w14:textId="77777777" w:rsidR="00AE4B03" w:rsidRDefault="00AE4B03" w:rsidP="00AE4B03">
      <w:pPr>
        <w:rPr>
          <w:rFonts w:ascii="Times New Roman" w:hAnsi="Times New Roman" w:cs="Times New Roman"/>
        </w:rPr>
      </w:pPr>
      <w:r>
        <w:rPr>
          <w:rFonts w:ascii="Times New Roman" w:hAnsi="Times New Roman" w:cs="Times New Roman"/>
        </w:rPr>
        <w:t>The first emphasis of seaweed production</w:t>
      </w:r>
      <w:r>
        <w:t>{Mann, 1973, #96395}</w:t>
      </w:r>
      <w:r>
        <w:rPr>
          <w:rFonts w:ascii="Times New Roman" w:hAnsi="Times New Roman" w:cs="Times New Roman"/>
        </w:rPr>
        <w:t xml:space="preserve"> and subsequent speculations about their importance in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w:t>
      </w:r>
      <w:r>
        <w:t>{</w:t>
      </w:r>
      <w:r w:rsidRPr="007D4F04">
        <w:rPr>
          <w:rFonts w:ascii="Times New Roman" w:hAnsi="Times New Roman" w:cs="Times New Roman"/>
        </w:rPr>
        <w:t>Smith, 1981, #43309}</w:t>
      </w:r>
      <w:r>
        <w:rPr>
          <w:rFonts w:ascii="Times New Roman" w:hAnsi="Times New Roman" w:cs="Times New Roman"/>
        </w:rPr>
        <w:t xml:space="preserve"> revolved around the concept of biomass turnover: how long it takes plants to regrow, i.e. production relative to biomass. This idea gave rise to seaweed blue carbon in the first place and continues to be frequently cited in its support</w:t>
      </w:r>
      <w:r>
        <w:t xml:space="preserve">{Filbee-Dexter et al., 2024, #27977; Pessarrodona et al., 2022, #59703; Krause-Jensen and Duarte, 2016, #82158; </w:t>
      </w:r>
      <w:r w:rsidRPr="00D92209">
        <w:rPr>
          <w:rFonts w:ascii="Times New Roman" w:hAnsi="Times New Roman" w:cs="Times New Roman"/>
        </w:rPr>
        <w:t>Pessarrodona et al., 2023, #24779}</w:t>
      </w:r>
      <w:r>
        <w:rPr>
          <w:rFonts w:ascii="Times New Roman" w:hAnsi="Times New Roman" w:cs="Times New Roman"/>
        </w:rPr>
        <w:t>, so it is sensible to revisit turnover. Even in the early claims there is already contradiction: seaweed turnover is simultaneously shown to be as fast as 18 days</w:t>
      </w:r>
      <w:r>
        <w:t>{Mann, 1973, #96395}</w:t>
      </w:r>
      <w:r>
        <w:rPr>
          <w:rFonts w:ascii="Times New Roman" w:hAnsi="Times New Roman" w:cs="Times New Roman"/>
        </w:rPr>
        <w:t xml:space="preserve"> and claimed to be the slowest turnover of marine plants (about one year) albeit much faster than that of terrestrial forests</w:t>
      </w:r>
      <w:r>
        <w:t>{</w:t>
      </w:r>
      <w:r w:rsidRPr="007D4F04">
        <w:rPr>
          <w:rFonts w:ascii="Times New Roman" w:hAnsi="Times New Roman" w:cs="Times New Roman"/>
        </w:rPr>
        <w:t>Smith, 1981, #43309}</w:t>
      </w:r>
      <w:r>
        <w:rPr>
          <w:rFonts w:ascii="Times New Roman" w:hAnsi="Times New Roman" w:cs="Times New Roman"/>
        </w:rPr>
        <w:t xml:space="preserve">. The reason clarity on this topic is important for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w:t>
      </w:r>
      <w:r>
        <w:rPr>
          <w:rFonts w:ascii="Times New Roman" w:hAnsi="Times New Roman" w:cs="Times New Roman"/>
        </w:rPr>
        <w:t xml:space="preserve"> estimates is because the turnover of plants relates to that of their detritus. More intuitively, plants tissue which is composed rapidly is also decomposed rapidly, and there are in fact empirical </w:t>
      </w:r>
      <w:r w:rsidRPr="002B08DA">
        <w:rPr>
          <w:rFonts w:ascii="Times New Roman" w:hAnsi="Times New Roman" w:cs="Times New Roman"/>
        </w:rPr>
        <w:t>relationship</w:t>
      </w:r>
      <w:r>
        <w:rPr>
          <w:rFonts w:ascii="Times New Roman" w:hAnsi="Times New Roman" w:cs="Times New Roman"/>
        </w:rPr>
        <w:t>s</w:t>
      </w:r>
      <w:r w:rsidRPr="002B08DA">
        <w:rPr>
          <w:rFonts w:ascii="Times New Roman" w:hAnsi="Times New Roman" w:cs="Times New Roman"/>
        </w:rPr>
        <w:t xml:space="preserve"> between </w:t>
      </w:r>
      <w:r>
        <w:rPr>
          <w:rFonts w:ascii="Times New Roman" w:hAnsi="Times New Roman" w:cs="Times New Roman"/>
        </w:rPr>
        <w:t xml:space="preserve">turnover </w:t>
      </w:r>
      <w:r w:rsidRPr="002B08DA">
        <w:rPr>
          <w:rFonts w:ascii="Times New Roman" w:hAnsi="Times New Roman" w:cs="Times New Roman"/>
        </w:rPr>
        <w:t xml:space="preserve">and </w:t>
      </w:r>
      <w:r>
        <w:rPr>
          <w:rFonts w:ascii="Times New Roman" w:hAnsi="Times New Roman" w:cs="Times New Roman"/>
        </w:rPr>
        <w:t>decomposition</w:t>
      </w:r>
      <w:r>
        <w:t xml:space="preserve">{Cebrián and Duarte, 1995, #98069} </w:t>
      </w:r>
      <w:r w:rsidRPr="002F4DC0">
        <w:rPr>
          <w:rFonts w:ascii="Times New Roman" w:hAnsi="Times New Roman" w:cs="Times New Roman"/>
        </w:rPr>
        <w:t>as well as herbivory</w:t>
      </w:r>
      <w:r>
        <w:t>{Cebrián and Duarte, 1994, #55384}</w:t>
      </w:r>
      <w:r w:rsidRPr="002F4DC0">
        <w:rPr>
          <w:rFonts w:ascii="Times New Roman" w:hAnsi="Times New Roman" w:cs="Times New Roman"/>
        </w:rPr>
        <w:t>.</w:t>
      </w:r>
      <w:r>
        <w:rPr>
          <w:rFonts w:ascii="Times New Roman" w:hAnsi="Times New Roman" w:cs="Times New Roman"/>
        </w:rPr>
        <w:t xml:space="preserve"> Because of its relationship with decomposition, turnover is the unit for comparing production in the context of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w:t>
      </w:r>
      <w:r>
        <w:rPr>
          <w:rFonts w:ascii="Times New Roman" w:hAnsi="Times New Roman" w:cs="Times New Roman"/>
        </w:rPr>
        <w:t>.</w:t>
      </w:r>
    </w:p>
    <w:p w14:paraId="6F37A742" w14:textId="77777777" w:rsidR="00AE4B03" w:rsidRDefault="00AE4B03" w:rsidP="00AE4B03">
      <w:pPr>
        <w:rPr>
          <w:rFonts w:ascii="Times New Roman" w:hAnsi="Times New Roman" w:cs="Times New Roman"/>
        </w:rPr>
      </w:pPr>
    </w:p>
    <w:p w14:paraId="45187BD9" w14:textId="77777777" w:rsidR="00AE4B03" w:rsidRDefault="00AE4B03" w:rsidP="00AE4B03">
      <w:pPr>
        <w:rPr>
          <w:rFonts w:ascii="Times New Roman" w:hAnsi="Times New Roman" w:cs="Times New Roman"/>
        </w:rPr>
      </w:pPr>
      <w:r>
        <w:rPr>
          <w:rFonts w:ascii="Times New Roman" w:hAnsi="Times New Roman" w:cs="Times New Roman"/>
        </w:rPr>
        <w:t xml:space="preserve">Despite this, the focus of seaweed blue carbon has mostly shifted to absolute production, a lens through which seaweed forests are frequently compared with terrestrial forests. For instance, seaweed forests are claimed to be equivalent to the Amazon rainforest in global area </w:t>
      </w:r>
      <w:r>
        <w:rPr>
          <w:rFonts w:ascii="Times New Roman" w:hAnsi="Times New Roman" w:cs="Times New Roman"/>
        </w:rPr>
        <w:lastRenderedPageBreak/>
        <w:t>and production</w:t>
      </w:r>
      <w:r>
        <w:t>{Duarte et al., 2022, #38140}</w:t>
      </w:r>
      <w:r>
        <w:rPr>
          <w:rFonts w:ascii="Times New Roman" w:hAnsi="Times New Roman" w:cs="Times New Roman"/>
        </w:rPr>
        <w:t>, and areal production is said to match that of terrestrial forests</w:t>
      </w:r>
      <w:r>
        <w:t>{Pessarrodona et al., 2022, #59703}</w:t>
      </w:r>
      <w:r>
        <w:rPr>
          <w:rFonts w:ascii="Times New Roman" w:hAnsi="Times New Roman" w:cs="Times New Roman"/>
        </w:rPr>
        <w:t xml:space="preserve">, the implication always being that their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 </w:t>
      </w:r>
      <w:r>
        <w:rPr>
          <w:rFonts w:ascii="Times New Roman" w:hAnsi="Times New Roman" w:cs="Times New Roman"/>
        </w:rPr>
        <w:t>is therefore comparable. But areal production is fairly conserved across all plant ecosystems</w:t>
      </w:r>
      <w:r>
        <w:t>{Cebrian, 1999, #32569}</w:t>
      </w:r>
      <w:r>
        <w:rPr>
          <w:rFonts w:ascii="Times New Roman" w:hAnsi="Times New Roman" w:cs="Times New Roman"/>
        </w:rPr>
        <w:t xml:space="preserve"> — likely determined simply by the amount of available sunlight,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Pr>
          <w:rFonts w:ascii="Times New Roman" w:hAnsi="Times New Roman" w:cs="Times New Roman"/>
        </w:rPr>
        <w:t xml:space="preserve"> and nutrients — and has no bearing on the fate of carbon</w:t>
      </w:r>
      <w:r>
        <w:t>{Cebrián and Duarte, 1995, #98069}</w:t>
      </w:r>
      <w:r>
        <w:rPr>
          <w:rFonts w:ascii="Times New Roman" w:hAnsi="Times New Roman" w:cs="Times New Roman"/>
        </w:rPr>
        <w:t>. What matters is not absolute but relative production, which leads us back to turnover. Here we revisited turnover by compiling data on annual kelp biomass turnover</w:t>
      </w:r>
      <w:r>
        <w:t>{Wright, 2025, #48148}</w:t>
      </w:r>
      <w:r>
        <w:rPr>
          <w:rFonts w:ascii="Times New Roman" w:hAnsi="Times New Roman" w:cs="Times New Roman"/>
        </w:rPr>
        <w:t xml:space="preserve"> and comparing these to data on terrestrial forests</w:t>
      </w:r>
      <w:r>
        <w:t xml:space="preserve">{Cebrian, 1999, #32569; </w:t>
      </w:r>
      <w:r w:rsidRPr="00E40074">
        <w:rPr>
          <w:rFonts w:ascii="Times New Roman" w:hAnsi="Times New Roman" w:cs="Times New Roman"/>
        </w:rPr>
        <w:t>Anderson‐Teixeira et al., 2018, #80225}</w:t>
      </w:r>
      <w:r>
        <w:rPr>
          <w:rFonts w:ascii="Times New Roman" w:hAnsi="Times New Roman" w:cs="Times New Roman"/>
        </w:rPr>
        <w:t>. By reanalysing the turnover–decomposition relationship</w:t>
      </w:r>
      <w:r>
        <w:t>{Cebrián and Duarte, 1995, #98069}</w:t>
      </w:r>
      <w:r>
        <w:rPr>
          <w:rFonts w:ascii="Times New Roman" w:hAnsi="Times New Roman" w:cs="Times New Roman"/>
        </w:rPr>
        <w:t xml:space="preserve"> we then predict how these differences translate to decomposition.</w:t>
      </w:r>
    </w:p>
    <w:p w14:paraId="57540AD3" w14:textId="77777777" w:rsidR="00AE4B03" w:rsidRDefault="00AE4B03" w:rsidP="00AE4B03">
      <w:pPr>
        <w:rPr>
          <w:rFonts w:ascii="Times New Roman" w:hAnsi="Times New Roman" w:cs="Times New Roman"/>
        </w:rPr>
      </w:pPr>
    </w:p>
    <w:p w14:paraId="4E301612" w14:textId="77777777" w:rsidR="00AE4B03" w:rsidRDefault="00AE4B03" w:rsidP="00AE4B03">
      <w:pPr>
        <w:rPr>
          <w:rFonts w:ascii="Times New Roman" w:hAnsi="Times New Roman" w:cs="Times New Roman"/>
        </w:rPr>
      </w:pPr>
      <w:r>
        <w:rPr>
          <w:rFonts w:ascii="Times New Roman" w:hAnsi="Times New Roman" w:cs="Times New Roman"/>
        </w:rPr>
        <w:t>We found that kelp forests turn over at a rate o</w:t>
      </w:r>
      <w:r w:rsidRPr="00F47E8E">
        <w:rPr>
          <w:rFonts w:ascii="Times New Roman" w:hAnsi="Times New Roman" w:cs="Times New Roman"/>
        </w:rPr>
        <w:t xml:space="preserve">f </w:t>
      </w:r>
      <w:r>
        <w:rPr>
          <w:rFonts w:ascii="Times New Roman" w:hAnsi="Times New Roman" w:cs="Times New Roman"/>
        </w:rPr>
        <w:t>10</w:t>
      </w:r>
      <w:r w:rsidRPr="00FC4867">
        <w:rPr>
          <w:rFonts w:ascii="Times New Roman" w:hAnsi="Times New Roman" w:cs="Times New Roman"/>
          <w:vertAlign w:val="superscript"/>
        </w:rPr>
        <w:t>0.43 ± 0.38</w:t>
      </w:r>
      <w:r w:rsidRPr="00F47E8E">
        <w:rPr>
          <w:rFonts w:ascii="Times New Roman" w:hAnsi="Times New Roman" w:cs="Times New Roman"/>
        </w:rPr>
        <w:t xml:space="preserve"> y</w:t>
      </w:r>
      <w:r>
        <w:rPr>
          <w:rFonts w:ascii="Times New Roman" w:hAnsi="Times New Roman" w:cs="Times New Roman"/>
        </w:rPr>
        <w:t>ear</w:t>
      </w:r>
      <w:r w:rsidRPr="0031649F">
        <w:rPr>
          <w:rFonts w:ascii="Times New Roman" w:hAnsi="Times New Roman" w:cs="Times New Roman"/>
          <w:color w:val="000000"/>
          <w:kern w:val="0"/>
          <w:vertAlign w:val="superscript"/>
        </w:rPr>
        <w:t>−1</w:t>
      </w:r>
      <w:r>
        <w:rPr>
          <w:rFonts w:ascii="Times New Roman" w:hAnsi="Times New Roman" w:cs="Times New Roman"/>
        </w:rPr>
        <w:t xml:space="preserve"> (mean ± standard deviation, n = 223), corresponding to a median of 2.7 </w:t>
      </w:r>
      <w:r w:rsidRPr="00F47E8E">
        <w:rPr>
          <w:rFonts w:ascii="Times New Roman" w:hAnsi="Times New Roman" w:cs="Times New Roman"/>
        </w:rPr>
        <w:t>y</w:t>
      </w:r>
      <w:r>
        <w:rPr>
          <w:rFonts w:ascii="Times New Roman" w:hAnsi="Times New Roman" w:cs="Times New Roman"/>
        </w:rPr>
        <w:t>ear</w:t>
      </w:r>
      <w:r w:rsidRPr="0031649F">
        <w:rPr>
          <w:rFonts w:ascii="Times New Roman" w:hAnsi="Times New Roman" w:cs="Times New Roman"/>
          <w:color w:val="000000"/>
          <w:kern w:val="0"/>
          <w:vertAlign w:val="superscript"/>
        </w:rPr>
        <w:t>−</w:t>
      </w:r>
      <w:r w:rsidRPr="00F47E8E">
        <w:rPr>
          <w:rFonts w:ascii="Times New Roman" w:hAnsi="Times New Roman" w:cs="Times New Roman"/>
          <w:color w:val="000000"/>
          <w:kern w:val="0"/>
          <w:vertAlign w:val="superscript"/>
        </w:rPr>
        <w:t>1</w:t>
      </w:r>
      <w:r>
        <w:rPr>
          <w:rFonts w:ascii="Times New Roman" w:hAnsi="Times New Roman" w:cs="Times New Roman"/>
        </w:rPr>
        <w:t xml:space="preserve"> (Figure 1). In other words, it only takes 135 days on average for kelp forests to replace their entire biomass. This is 63% faster than the frequently cited estimate of one year</w:t>
      </w:r>
      <w:r>
        <w:t>{</w:t>
      </w:r>
      <w:r w:rsidRPr="007D4F04">
        <w:rPr>
          <w:rFonts w:ascii="Times New Roman" w:hAnsi="Times New Roman" w:cs="Times New Roman"/>
        </w:rPr>
        <w:t>Smith, 1981, #43309}</w:t>
      </w:r>
      <w:r>
        <w:rPr>
          <w:rFonts w:ascii="Times New Roman" w:hAnsi="Times New Roman" w:cs="Times New Roman"/>
        </w:rPr>
        <w:t xml:space="preserve">. There is considerable interspecific variation, ranging from </w:t>
      </w:r>
      <w:r w:rsidRPr="00E17CBB">
        <w:rPr>
          <w:rFonts w:ascii="Times New Roman" w:hAnsi="Times New Roman" w:cs="Times New Roman"/>
          <w:i/>
          <w:iCs/>
        </w:rPr>
        <w:t>Laminaria hyperborea</w:t>
      </w:r>
      <w:r>
        <w:rPr>
          <w:rFonts w:ascii="Times New Roman" w:hAnsi="Times New Roman" w:cs="Times New Roman"/>
        </w:rPr>
        <w:t xml:space="preserve">, </w:t>
      </w:r>
      <w:r w:rsidRPr="00E17CBB">
        <w:rPr>
          <w:rFonts w:ascii="Times New Roman" w:hAnsi="Times New Roman" w:cs="Times New Roman"/>
          <w:i/>
          <w:iCs/>
        </w:rPr>
        <w:t>L. solidungula</w:t>
      </w:r>
      <w:r>
        <w:rPr>
          <w:rFonts w:ascii="Times New Roman" w:hAnsi="Times New Roman" w:cs="Times New Roman"/>
        </w:rPr>
        <w:t xml:space="preserve"> an</w:t>
      </w:r>
      <w:r w:rsidRPr="00E17CBB">
        <w:rPr>
          <w:rFonts w:ascii="Times New Roman" w:hAnsi="Times New Roman" w:cs="Times New Roman"/>
        </w:rPr>
        <w:t xml:space="preserve">d </w:t>
      </w:r>
      <w:r w:rsidRPr="00E17CBB">
        <w:rPr>
          <w:rFonts w:ascii="Times New Roman" w:hAnsi="Times New Roman" w:cs="Times New Roman"/>
          <w:i/>
          <w:iCs/>
        </w:rPr>
        <w:t>L. setchellii</w:t>
      </w:r>
      <w:r w:rsidRPr="00E17CBB">
        <w:rPr>
          <w:rFonts w:ascii="Times New Roman" w:hAnsi="Times New Roman" w:cs="Times New Roman"/>
        </w:rPr>
        <w:t xml:space="preserve"> at</w:t>
      </w:r>
      <w:r>
        <w:rPr>
          <w:rFonts w:ascii="Times New Roman" w:hAnsi="Times New Roman" w:cs="Times New Roman"/>
        </w:rPr>
        <w:t xml:space="preserve"> 1.3–1.4 </w:t>
      </w:r>
      <w:r w:rsidRPr="00F47E8E">
        <w:rPr>
          <w:rFonts w:ascii="Times New Roman" w:hAnsi="Times New Roman" w:cs="Times New Roman"/>
        </w:rPr>
        <w:t>y</w:t>
      </w:r>
      <w:r>
        <w:rPr>
          <w:rFonts w:ascii="Times New Roman" w:hAnsi="Times New Roman" w:cs="Times New Roman"/>
        </w:rPr>
        <w:t>ear</w:t>
      </w:r>
      <w:r w:rsidRPr="0031649F">
        <w:rPr>
          <w:rFonts w:ascii="Times New Roman" w:hAnsi="Times New Roman" w:cs="Times New Roman"/>
          <w:color w:val="000000"/>
          <w:kern w:val="0"/>
          <w:vertAlign w:val="superscript"/>
        </w:rPr>
        <w:t>−</w:t>
      </w:r>
      <w:r w:rsidRPr="00F47E8E">
        <w:rPr>
          <w:rFonts w:ascii="Times New Roman" w:hAnsi="Times New Roman" w:cs="Times New Roman"/>
          <w:color w:val="000000"/>
          <w:kern w:val="0"/>
          <w:vertAlign w:val="superscript"/>
        </w:rPr>
        <w:t>1</w:t>
      </w:r>
      <w:r>
        <w:rPr>
          <w:rFonts w:ascii="Times New Roman" w:hAnsi="Times New Roman" w:cs="Times New Roman"/>
        </w:rPr>
        <w:t xml:space="preserve"> to the giant kelp </w:t>
      </w:r>
      <w:r w:rsidRPr="00527BA6">
        <w:rPr>
          <w:rFonts w:ascii="Times New Roman" w:hAnsi="Times New Roman" w:cs="Times New Roman"/>
          <w:i/>
          <w:iCs/>
        </w:rPr>
        <w:t>Macrocystis pyrifera</w:t>
      </w:r>
      <w:r>
        <w:rPr>
          <w:rFonts w:ascii="Times New Roman" w:hAnsi="Times New Roman" w:cs="Times New Roman"/>
        </w:rPr>
        <w:t xml:space="preserve"> at 5.5 </w:t>
      </w:r>
      <w:r w:rsidRPr="00F47E8E">
        <w:rPr>
          <w:rFonts w:ascii="Times New Roman" w:hAnsi="Times New Roman" w:cs="Times New Roman"/>
        </w:rPr>
        <w:t>y</w:t>
      </w:r>
      <w:r>
        <w:rPr>
          <w:rFonts w:ascii="Times New Roman" w:hAnsi="Times New Roman" w:cs="Times New Roman"/>
        </w:rPr>
        <w:t>ear</w:t>
      </w:r>
      <w:r w:rsidRPr="0031649F">
        <w:rPr>
          <w:rFonts w:ascii="Times New Roman" w:hAnsi="Times New Roman" w:cs="Times New Roman"/>
          <w:color w:val="000000"/>
          <w:kern w:val="0"/>
          <w:vertAlign w:val="superscript"/>
        </w:rPr>
        <w:t>−</w:t>
      </w:r>
      <w:r w:rsidRPr="00F47E8E">
        <w:rPr>
          <w:rFonts w:ascii="Times New Roman" w:hAnsi="Times New Roman" w:cs="Times New Roman"/>
          <w:color w:val="000000"/>
          <w:kern w:val="0"/>
          <w:vertAlign w:val="superscript"/>
        </w:rPr>
        <w:t>1</w:t>
      </w:r>
      <w:r>
        <w:rPr>
          <w:rFonts w:ascii="Times New Roman" w:hAnsi="Times New Roman" w:cs="Times New Roman"/>
        </w:rPr>
        <w:t xml:space="preserve"> (Table S1). Terrestrial forests turn over more than order of magnitude slower (log</w:t>
      </w:r>
      <w:r w:rsidRPr="00E66E4B">
        <w:rPr>
          <w:rFonts w:ascii="Times New Roman" w:hAnsi="Times New Roman" w:cs="Times New Roman"/>
          <w:vertAlign w:val="subscript"/>
        </w:rPr>
        <w:t>10</w:t>
      </w:r>
      <w:r>
        <w:rPr>
          <w:rFonts w:ascii="Times New Roman" w:hAnsi="Times New Roman" w:cs="Times New Roman"/>
        </w:rPr>
        <w:t xml:space="preserve"> ratio = </w:t>
      </w:r>
      <w:r w:rsidRPr="00E66E4B">
        <w:rPr>
          <w:rFonts w:ascii="Times New Roman" w:hAnsi="Times New Roman" w:cs="Times New Roman"/>
        </w:rPr>
        <w:t>1.2 ± 0.7</w:t>
      </w:r>
      <w:r>
        <w:rPr>
          <w:rFonts w:ascii="Times New Roman" w:hAnsi="Times New Roman" w:cs="Times New Roman"/>
        </w:rPr>
        <w:t xml:space="preserve">, </w:t>
      </w:r>
      <w:r w:rsidRPr="00E66E4B">
        <w:rPr>
          <w:rFonts w:ascii="Times New Roman" w:hAnsi="Times New Roman" w:cs="Times New Roman"/>
          <w:i/>
          <w:iCs/>
        </w:rPr>
        <w:t>P</w:t>
      </w:r>
      <w:r>
        <w:rPr>
          <w:rFonts w:ascii="Times New Roman" w:hAnsi="Times New Roman" w:cs="Times New Roman"/>
          <w:vertAlign w:val="subscript"/>
        </w:rPr>
        <w:t xml:space="preserve">kelp </w:t>
      </w:r>
      <w:r w:rsidRPr="00E66E4B">
        <w:rPr>
          <w:rFonts w:ascii="Times New Roman" w:hAnsi="Times New Roman" w:cs="Times New Roman"/>
          <w:vertAlign w:val="subscript"/>
        </w:rPr>
        <w:t xml:space="preserve">&gt; </w:t>
      </w:r>
      <w:r>
        <w:rPr>
          <w:rFonts w:ascii="Times New Roman" w:hAnsi="Times New Roman" w:cs="Times New Roman"/>
          <w:vertAlign w:val="subscript"/>
        </w:rPr>
        <w:t>terrestrial</w:t>
      </w:r>
      <w:r>
        <w:rPr>
          <w:rFonts w:ascii="Times New Roman" w:hAnsi="Times New Roman" w:cs="Times New Roman"/>
        </w:rPr>
        <w:t xml:space="preserve"> = 0.96), at a rate of</w:t>
      </w:r>
      <w:r w:rsidRPr="00FC4867">
        <w:rPr>
          <w:rFonts w:ascii="Times New Roman" w:hAnsi="Times New Roman" w:cs="Times New Roman"/>
        </w:rPr>
        <w:t xml:space="preserve"> 10</w:t>
      </w:r>
      <w:r w:rsidRPr="00FC4867">
        <w:rPr>
          <w:rFonts w:ascii="Times New Roman" w:hAnsi="Times New Roman" w:cs="Times New Roman"/>
          <w:vertAlign w:val="superscript"/>
        </w:rPr>
        <w:t>−0.8 ± 0.59</w:t>
      </w:r>
      <w:r>
        <w:rPr>
          <w:rFonts w:ascii="Times New Roman" w:hAnsi="Times New Roman" w:cs="Times New Roman"/>
        </w:rPr>
        <w:t xml:space="preserve"> or 0.16 </w:t>
      </w:r>
      <w:r w:rsidRPr="00F47E8E">
        <w:rPr>
          <w:rFonts w:ascii="Times New Roman" w:hAnsi="Times New Roman" w:cs="Times New Roman"/>
        </w:rPr>
        <w:t>y</w:t>
      </w:r>
      <w:r>
        <w:rPr>
          <w:rFonts w:ascii="Times New Roman" w:hAnsi="Times New Roman" w:cs="Times New Roman"/>
        </w:rPr>
        <w:t>ear</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(n = </w:t>
      </w:r>
      <w:r>
        <w:rPr>
          <w:rFonts w:ascii="Times New Roman" w:hAnsi="Times New Roman" w:cs="Times New Roman"/>
        </w:rPr>
        <w:t>272, Figure 1), corresponding to a median turnover time of 6.3 years. Using these turnover estimates and the positive (</w:t>
      </w:r>
      <w:r w:rsidRPr="002704A3">
        <w:rPr>
          <w:rFonts w:ascii="Times New Roman" w:hAnsi="Times New Roman" w:cs="Times New Roman"/>
          <w:i/>
          <w:iCs/>
        </w:rPr>
        <w:t>P</w:t>
      </w:r>
      <w:r w:rsidRPr="002704A3">
        <w:rPr>
          <w:rFonts w:ascii="Times New Roman" w:hAnsi="Times New Roman" w:cs="Times New Roman"/>
          <w:i/>
          <w:iCs/>
          <w:vertAlign w:val="subscript"/>
        </w:rPr>
        <w:t>β</w:t>
      </w:r>
      <w:r>
        <w:rPr>
          <w:rFonts w:ascii="Times New Roman" w:hAnsi="Times New Roman" w:cs="Times New Roman"/>
          <w:vertAlign w:val="subscript"/>
        </w:rPr>
        <w:t xml:space="preserve"> </w:t>
      </w:r>
      <w:r w:rsidRPr="002704A3">
        <w:rPr>
          <w:rFonts w:ascii="Times New Roman" w:hAnsi="Times New Roman" w:cs="Times New Roman"/>
          <w:vertAlign w:val="subscript"/>
        </w:rPr>
        <w:t>&gt;</w:t>
      </w:r>
      <w:r>
        <w:rPr>
          <w:rFonts w:ascii="Times New Roman" w:hAnsi="Times New Roman" w:cs="Times New Roman"/>
          <w:vertAlign w:val="subscript"/>
        </w:rPr>
        <w:t xml:space="preserve"> </w:t>
      </w:r>
      <w:r w:rsidRPr="002704A3">
        <w:rPr>
          <w:rFonts w:ascii="Times New Roman" w:hAnsi="Times New Roman" w:cs="Times New Roman"/>
          <w:vertAlign w:val="subscript"/>
        </w:rPr>
        <w:t>0</w:t>
      </w:r>
      <w:r w:rsidRPr="002704A3">
        <w:rPr>
          <w:rFonts w:ascii="Times New Roman" w:hAnsi="Times New Roman" w:cs="Times New Roman"/>
        </w:rPr>
        <w:t xml:space="preserve"> </w:t>
      </w:r>
      <w:r>
        <w:rPr>
          <w:rFonts w:ascii="Times New Roman" w:hAnsi="Times New Roman" w:cs="Times New Roman"/>
        </w:rPr>
        <w:t xml:space="preserve">= 0.84) turnover–decomposition relationship (Figure 1), we predict median decomposition rates </w:t>
      </w:r>
      <w:r w:rsidRPr="003966C0">
        <w:rPr>
          <w:rFonts w:ascii="Times New Roman" w:hAnsi="Times New Roman" w:cs="Times New Roman"/>
        </w:rPr>
        <w:t>of 0.015 and 0.0033 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for kelp and terrestrial forests (log</w:t>
      </w:r>
      <w:r w:rsidRPr="00E66E4B">
        <w:rPr>
          <w:rFonts w:ascii="Times New Roman" w:hAnsi="Times New Roman" w:cs="Times New Roman"/>
          <w:vertAlign w:val="subscript"/>
        </w:rPr>
        <w:t>10</w:t>
      </w:r>
      <w:r>
        <w:rPr>
          <w:rFonts w:ascii="Times New Roman" w:hAnsi="Times New Roman" w:cs="Times New Roman"/>
        </w:rPr>
        <w:t xml:space="preserve"> ratio = </w:t>
      </w:r>
      <w:r w:rsidRPr="00431658">
        <w:rPr>
          <w:rFonts w:ascii="Times New Roman" w:hAnsi="Times New Roman" w:cs="Times New Roman"/>
        </w:rPr>
        <w:t>0.71 ± 1.4</w:t>
      </w:r>
      <w:r>
        <w:rPr>
          <w:rFonts w:ascii="Times New Roman" w:hAnsi="Times New Roman" w:cs="Times New Roman"/>
        </w:rPr>
        <w:t xml:space="preserve">, </w:t>
      </w:r>
      <w:r w:rsidRPr="00E66E4B">
        <w:rPr>
          <w:rFonts w:ascii="Times New Roman" w:hAnsi="Times New Roman" w:cs="Times New Roman"/>
          <w:i/>
          <w:iCs/>
        </w:rPr>
        <w:t>P</w:t>
      </w:r>
      <w:r>
        <w:rPr>
          <w:rFonts w:ascii="Times New Roman" w:hAnsi="Times New Roman" w:cs="Times New Roman"/>
          <w:vertAlign w:val="subscript"/>
        </w:rPr>
        <w:t xml:space="preserve">kelp </w:t>
      </w:r>
      <w:r w:rsidRPr="00E66E4B">
        <w:rPr>
          <w:rFonts w:ascii="Times New Roman" w:hAnsi="Times New Roman" w:cs="Times New Roman"/>
          <w:vertAlign w:val="subscript"/>
        </w:rPr>
        <w:t xml:space="preserve">&gt; </w:t>
      </w:r>
      <w:r>
        <w:rPr>
          <w:rFonts w:ascii="Times New Roman" w:hAnsi="Times New Roman" w:cs="Times New Roman"/>
          <w:vertAlign w:val="subscript"/>
        </w:rPr>
        <w:t>terrestrial</w:t>
      </w:r>
      <w:r>
        <w:rPr>
          <w:rFonts w:ascii="Times New Roman" w:hAnsi="Times New Roman" w:cs="Times New Roman"/>
        </w:rPr>
        <w:t xml:space="preserve"> = 0.7, Figure 1, Table S1). Due to the assumption of steady state</w:t>
      </w:r>
      <w:r w:rsidRPr="00F37CB4">
        <w:rPr>
          <w:rFonts w:ascii="Times New Roman" w:hAnsi="Times New Roman" w:cs="Times New Roman"/>
        </w:rPr>
        <w:t xml:space="preserve">, these dimensionless decomposition rates are equivalent to the exponential decay constant </w:t>
      </w:r>
      <w:r w:rsidRPr="00F37CB4">
        <w:rPr>
          <w:rFonts w:ascii="Times New Roman" w:hAnsi="Times New Roman" w:cs="Times New Roman"/>
          <w:i/>
          <w:iCs/>
        </w:rPr>
        <w:t>k</w:t>
      </w:r>
      <w:r>
        <w:t>{Olson, 1963, #2327}</w:t>
      </w:r>
      <w:r w:rsidRPr="00F37CB4">
        <w:rPr>
          <w:rFonts w:ascii="Times New Roman" w:hAnsi="Times New Roman" w:cs="Times New Roman"/>
        </w:rPr>
        <w:t>. Thus the</w:t>
      </w:r>
      <w:r>
        <w:rPr>
          <w:rFonts w:ascii="Times New Roman" w:hAnsi="Times New Roman" w:cs="Times New Roman"/>
        </w:rPr>
        <w:t xml:space="preserve"> predicted median half-lives (ln 2 / </w:t>
      </w:r>
      <w:r w:rsidRPr="00F37CB4">
        <w:rPr>
          <w:rFonts w:ascii="Times New Roman" w:hAnsi="Times New Roman" w:cs="Times New Roman"/>
          <w:i/>
          <w:iCs/>
        </w:rPr>
        <w:t>k</w:t>
      </w:r>
      <w:r>
        <w:rPr>
          <w:rFonts w:ascii="Times New Roman" w:hAnsi="Times New Roman" w:cs="Times New Roman"/>
        </w:rPr>
        <w:t>) are 46 and 210 days for detritus from kelp and terrestrial forests (Table S1). These results confirm the generally held notion that kelps are among the fastest growing plants</w:t>
      </w:r>
      <w:r>
        <w:t>{Mann, 1973, #96395}</w:t>
      </w:r>
      <w:r>
        <w:rPr>
          <w:rFonts w:ascii="Times New Roman" w:hAnsi="Times New Roman" w:cs="Times New Roman"/>
        </w:rPr>
        <w:t xml:space="preserve"> and predict that their decomposition should be even faster, besides illustrating that despite their comparable absolute production</w:t>
      </w:r>
      <w:r>
        <w:t xml:space="preserve">{Duarte et al., 2022, #38140; Pessarrodona et al., 2022, #59703; </w:t>
      </w:r>
      <w:r w:rsidRPr="00FC367E">
        <w:rPr>
          <w:rFonts w:ascii="Times New Roman" w:hAnsi="Times New Roman" w:cs="Times New Roman"/>
        </w:rPr>
        <w:t>Cebrian, 1999, #32569}</w:t>
      </w:r>
      <w:r>
        <w:rPr>
          <w:rFonts w:ascii="Times New Roman" w:hAnsi="Times New Roman" w:cs="Times New Roman"/>
        </w:rPr>
        <w:t xml:space="preserve">, kelp forests are expected to remove an order of magnitude less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w:t>
      </w:r>
      <w:r>
        <w:rPr>
          <w:rFonts w:ascii="Times New Roman" w:hAnsi="Times New Roman" w:cs="Times New Roman"/>
        </w:rPr>
        <w:t>than terrestrial forests, as previously suggested</w:t>
      </w:r>
      <w:r>
        <w:t>{</w:t>
      </w:r>
      <w:r w:rsidRPr="007D4F04">
        <w:rPr>
          <w:rFonts w:ascii="Times New Roman" w:hAnsi="Times New Roman" w:cs="Times New Roman"/>
        </w:rPr>
        <w:t>Smith, 1981, #43309</w:t>
      </w:r>
      <w:r>
        <w:rPr>
          <w:rFonts w:ascii="Times New Roman" w:hAnsi="Times New Roman" w:cs="Times New Roman"/>
        </w:rPr>
        <w:t xml:space="preserve">}. To delve deeper into kelp </w:t>
      </w:r>
      <w:r w:rsidRPr="00AC7FA2">
        <w:rPr>
          <w:rFonts w:ascii="Times New Roman" w:hAnsi="Times New Roman" w:cs="Times New Roman"/>
          <w:lang w:bidi="he-IL"/>
        </w:rPr>
        <w:t>CO</w:t>
      </w:r>
      <w:r w:rsidRPr="00AC7FA2">
        <w:rPr>
          <w:rFonts w:ascii="Times New Roman" w:hAnsi="Times New Roman" w:cs="Times New Roman"/>
          <w:vertAlign w:val="subscript"/>
          <w:lang w:bidi="he-IL"/>
        </w:rPr>
        <w:t>2</w:t>
      </w:r>
      <w:r w:rsidRPr="00AC7FA2">
        <w:rPr>
          <w:rFonts w:ascii="Times New Roman" w:hAnsi="Times New Roman" w:cs="Times New Roman"/>
        </w:rPr>
        <w:t xml:space="preserve"> removal</w:t>
      </w:r>
      <w:r>
        <w:rPr>
          <w:rFonts w:ascii="Times New Roman" w:hAnsi="Times New Roman" w:cs="Times New Roman"/>
        </w:rPr>
        <w:t xml:space="preserve"> and fully understand what is indicated by turnover, decomposition must be directly investigated.</w:t>
      </w:r>
    </w:p>
    <w:p w14:paraId="25CB8D14" w14:textId="77777777" w:rsidR="00AE4B03" w:rsidRDefault="00AE4B03" w:rsidP="00AE4B03">
      <w:pPr>
        <w:rPr>
          <w:rFonts w:ascii="Times New Roman" w:hAnsi="Times New Roman" w:cs="Times New Roman"/>
        </w:rPr>
      </w:pPr>
    </w:p>
    <w:p w14:paraId="0CEFF842" w14:textId="10D7DF69" w:rsidR="00AE4B03" w:rsidRDefault="00AE4B03" w:rsidP="00AE4B03">
      <w:pPr>
        <w:rPr>
          <w:rFonts w:ascii="Times New Roman" w:hAnsi="Times New Roman" w:cs="Times New Roman"/>
          <w:b/>
          <w:bCs/>
        </w:rPr>
      </w:pPr>
      <w:r w:rsidRPr="00046576">
        <w:rPr>
          <w:rFonts w:ascii="Times New Roman" w:hAnsi="Times New Roman" w:cs="Times New Roman"/>
          <w:b/>
          <w:noProof/>
        </w:rPr>
        <w:lastRenderedPageBreak/>
        <w:drawing>
          <wp:inline distT="0" distB="0" distL="0" distR="0" wp14:anchorId="2DD59806" wp14:editId="5E2371F6">
            <wp:extent cx="2840990" cy="4264660"/>
            <wp:effectExtent l="0" t="0" r="3810" b="2540"/>
            <wp:docPr id="8526125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40990" cy="4264660"/>
                    </a:xfrm>
                    <a:prstGeom prst="rect">
                      <a:avLst/>
                    </a:prstGeom>
                    <a:noFill/>
                    <a:ln>
                      <a:noFill/>
                    </a:ln>
                  </pic:spPr>
                </pic:pic>
              </a:graphicData>
            </a:graphic>
          </wp:inline>
        </w:drawing>
      </w:r>
    </w:p>
    <w:p w14:paraId="6D13B418" w14:textId="77777777" w:rsidR="00AE4B03" w:rsidRPr="00871613" w:rsidRDefault="00AE4B03" w:rsidP="00AE4B03">
      <w:pPr>
        <w:rPr>
          <w:rFonts w:ascii="Times New Roman" w:hAnsi="Times New Roman" w:cs="Times New Roman"/>
        </w:rPr>
      </w:pPr>
      <w:r w:rsidRPr="00C72330">
        <w:rPr>
          <w:rFonts w:ascii="Times New Roman" w:hAnsi="Times New Roman" w:cs="Times New Roman"/>
          <w:b/>
          <w:bCs/>
        </w:rPr>
        <w:t>Figure 1</w:t>
      </w:r>
      <w:r>
        <w:rPr>
          <w:rFonts w:ascii="Times New Roman" w:hAnsi="Times New Roman" w:cs="Times New Roman"/>
        </w:rPr>
        <w:t>. Biomass turnover and decomposition in kelp and terrestrial forests. The raincloud plot shows observations (n = 272 across 67 studies for terrestrial forests, n = 223 across 77 studies for kelp forests) below posterior probability distributions predicting new observations (</w:t>
      </w:r>
      <w:r>
        <w:rPr>
          <w:rFonts w:ascii="Times New Roman" w:hAnsi="Times New Roman" w:cs="Times New Roman"/>
          <w:i/>
          <w:iCs/>
        </w:rPr>
        <w:t xml:space="preserve">T </w:t>
      </w:r>
      <w:r>
        <w:rPr>
          <w:rFonts w:ascii="Times New Roman" w:hAnsi="Times New Roman" w:cs="Times New Roman"/>
        </w:rPr>
        <w:t>in Equation 4). The scatterplot shows the relationship between turnover and decomposition (n = 78 across 39 studies). Lines are mean predictions for each of nine plant ecosystems (n = 2–27 each). Ribbons are 50%, 80% and 90% posterior probability intervals for predicted observations on new plant ecosystems (</w:t>
      </w:r>
      <w:r w:rsidRPr="00BE4971">
        <w:rPr>
          <w:rFonts w:ascii="Times New Roman" w:hAnsi="Times New Roman" w:cs="Times New Roman"/>
          <w:i/>
          <w:iCs/>
        </w:rPr>
        <w:t>D</w:t>
      </w:r>
      <w:r>
        <w:rPr>
          <w:rFonts w:ascii="Times New Roman" w:hAnsi="Times New Roman" w:cs="Times New Roman"/>
        </w:rPr>
        <w:t xml:space="preserve"> in Equation 5). Translating turnover with this relationship yields probability distributions for predicted decomposition, which are presented as the ratio of kelp to terrestrial forests in the bottom panel (ratio = 1 means estimates are the same).</w:t>
      </w:r>
    </w:p>
    <w:p w14:paraId="27F0FECC" w14:textId="77777777" w:rsidR="00AE4B03" w:rsidRDefault="00AE4B03" w:rsidP="00AE4B03">
      <w:pPr>
        <w:rPr>
          <w:rFonts w:ascii="Times New Roman" w:hAnsi="Times New Roman" w:cs="Times New Roman"/>
        </w:rPr>
      </w:pPr>
    </w:p>
    <w:p w14:paraId="636B982C" w14:textId="77777777" w:rsidR="00AE4B03" w:rsidRPr="00F17FD7" w:rsidRDefault="00AE4B03" w:rsidP="00AE4B03">
      <w:pPr>
        <w:rPr>
          <w:rFonts w:ascii="Times New Roman" w:hAnsi="Times New Roman" w:cs="Times New Roman"/>
          <w:b/>
          <w:bCs/>
          <w:lang w:bidi="he-IL"/>
        </w:rPr>
      </w:pPr>
      <w:r w:rsidRPr="004D73C6">
        <w:rPr>
          <w:rFonts w:ascii="Times New Roman" w:hAnsi="Times New Roman" w:cs="Times New Roman"/>
          <w:b/>
          <w:bCs/>
          <w:lang w:bidi="he-IL"/>
        </w:rPr>
        <w:t xml:space="preserve">The </w:t>
      </w:r>
      <w:r>
        <w:rPr>
          <w:rFonts w:ascii="Times New Roman" w:hAnsi="Times New Roman" w:cs="Times New Roman"/>
          <w:b/>
          <w:bCs/>
          <w:lang w:bidi="he-IL"/>
        </w:rPr>
        <w:t>enigma</w:t>
      </w:r>
      <w:r w:rsidRPr="004D73C6">
        <w:rPr>
          <w:rFonts w:ascii="Times New Roman" w:hAnsi="Times New Roman" w:cs="Times New Roman"/>
          <w:b/>
          <w:bCs/>
          <w:lang w:bidi="he-IL"/>
        </w:rPr>
        <w:t xml:space="preserve"> </w:t>
      </w:r>
      <w:r>
        <w:rPr>
          <w:rFonts w:ascii="Times New Roman" w:hAnsi="Times New Roman" w:cs="Times New Roman"/>
          <w:b/>
          <w:bCs/>
          <w:lang w:bidi="he-IL"/>
        </w:rPr>
        <w:t xml:space="preserve">of </w:t>
      </w:r>
      <w:r w:rsidRPr="004D73C6">
        <w:rPr>
          <w:rFonts w:ascii="Times New Roman" w:hAnsi="Times New Roman" w:cs="Times New Roman"/>
          <w:b/>
          <w:bCs/>
          <w:lang w:bidi="he-IL"/>
        </w:rPr>
        <w:t>kelp decomposition</w:t>
      </w:r>
    </w:p>
    <w:p w14:paraId="31B9B570" w14:textId="77777777" w:rsidR="00AE4B03" w:rsidRPr="00FA6663" w:rsidRDefault="00AE4B03" w:rsidP="00AE4B03">
      <w:pPr>
        <w:rPr>
          <w:rFonts w:ascii="Times New Roman" w:hAnsi="Times New Roman" w:cs="Times New Roman"/>
          <w:lang w:bidi="he-IL"/>
        </w:rPr>
      </w:pPr>
      <w:r w:rsidRPr="00FA6663">
        <w:rPr>
          <w:rFonts w:ascii="Times New Roman" w:hAnsi="Times New Roman" w:cs="Times New Roman"/>
          <w:lang w:bidi="he-IL"/>
        </w:rPr>
        <w:t>The kelp carbon cycle hinges on decomposition. Only carbon exported from seaweed forests can be sequestered in sinks</w:t>
      </w:r>
      <w:r w:rsidRPr="00FA6663">
        <w:rPr>
          <w:rFonts w:ascii="Times New Roman" w:hAnsi="Times New Roman" w:cs="Times New Roman"/>
        </w:rPr>
        <w:t xml:space="preserve">, either </w:t>
      </w:r>
      <w:r w:rsidRPr="00FA6663">
        <w:rPr>
          <w:rFonts w:ascii="Times New Roman" w:hAnsi="Times New Roman" w:cs="Times New Roman"/>
          <w:lang w:bidi="he-IL"/>
        </w:rPr>
        <w:t>through burial in other blue carbon ecosystems and deep sediments or retention in deep ocean currents</w:t>
      </w:r>
      <w:r>
        <w:t>{Krause-Jensen and Duarte, 2016, #82158; Pessarrodona et al., 2023, #24779; Filbee-Dexter et al., 2024, #27977}</w:t>
      </w:r>
      <w:r w:rsidRPr="00FA6663">
        <w:rPr>
          <w:rFonts w:ascii="Times New Roman" w:hAnsi="Times New Roman" w:cs="Times New Roman"/>
          <w:lang w:bidi="he-IL"/>
        </w:rPr>
        <w:t>. Both sequestration pathways are fundamentally dependent on the speed at which exported detritus decomposes. According to decomposition theory</w:t>
      </w:r>
      <w:r>
        <w:t>{Olson, 1963, #2327}</w:t>
      </w:r>
      <w:r w:rsidRPr="00FA6663">
        <w:rPr>
          <w:rFonts w:ascii="Times New Roman" w:hAnsi="Times New Roman" w:cs="Times New Roman"/>
          <w:lang w:bidi="he-IL"/>
        </w:rPr>
        <w:t>, the rate of decay is proportional to the detrital pool since the number of detritivores and saprotrophs is practically infinite. So regardless of the magnitude of production and export, decomposition will ultimately determine carbon sequestration potential</w:t>
      </w:r>
      <w:r>
        <w:t xml:space="preserve">{Pedersen et al., 2021, #86831; </w:t>
      </w:r>
      <w:r w:rsidRPr="00FA6663">
        <w:rPr>
          <w:rFonts w:ascii="Times New Roman" w:hAnsi="Times New Roman" w:cs="Times New Roman"/>
          <w:lang w:bidi="he-IL"/>
        </w:rPr>
        <w:t>Wright et al., 2022, #84779; Filbee-Dexter et al., 2022, #89942; White and Norkko, 2025, #37662}</w:t>
      </w:r>
      <w:r w:rsidRPr="00FA6663">
        <w:rPr>
          <w:rFonts w:ascii="Times New Roman" w:hAnsi="Times New Roman" w:cs="Times New Roman"/>
        </w:rPr>
        <w:t>. Macroalgal blue carbon models</w:t>
      </w:r>
      <w:r>
        <w:t>{Krause-Jensen and Duarte, 2016, #82158; Filbee-Dexter et al., 2024, #27977}</w:t>
      </w:r>
      <w:r w:rsidRPr="00FA6663">
        <w:rPr>
          <w:rFonts w:ascii="Times New Roman" w:hAnsi="Times New Roman" w:cs="Times New Roman"/>
          <w:lang w:bidi="he-IL"/>
        </w:rPr>
        <w:t xml:space="preserve"> are therefore highly sensitive to changes in </w:t>
      </w:r>
      <w:r w:rsidRPr="00FA6663">
        <w:rPr>
          <w:rFonts w:ascii="Times New Roman" w:hAnsi="Times New Roman" w:cs="Times New Roman"/>
          <w:lang w:bidi="he-IL"/>
        </w:rPr>
        <w:lastRenderedPageBreak/>
        <w:t>decomposition</w:t>
      </w:r>
      <w:r>
        <w:t>{White and Norkko, 2025, #37662}</w:t>
      </w:r>
      <w:r w:rsidRPr="00FA6663">
        <w:rPr>
          <w:rFonts w:ascii="Times New Roman" w:hAnsi="Times New Roman" w:cs="Times New Roman"/>
          <w:lang w:bidi="he-IL"/>
        </w:rPr>
        <w:t>. This notion was already embedded in the original proposal of seaweed 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t>{Smith, 1981, #43309}</w:t>
      </w:r>
      <w:r w:rsidRPr="00FA6663">
        <w:rPr>
          <w:rFonts w:ascii="Times New Roman" w:hAnsi="Times New Roman" w:cs="Times New Roman"/>
        </w:rPr>
        <w:t>.</w:t>
      </w:r>
    </w:p>
    <w:p w14:paraId="3C726147" w14:textId="77777777" w:rsidR="00AE4B03" w:rsidRPr="00FA6663" w:rsidRDefault="00AE4B03" w:rsidP="00AE4B03">
      <w:pPr>
        <w:rPr>
          <w:rFonts w:ascii="Times New Roman" w:hAnsi="Times New Roman" w:cs="Times New Roman"/>
          <w:lang w:bidi="he-IL"/>
        </w:rPr>
      </w:pPr>
    </w:p>
    <w:p w14:paraId="0B0AC799" w14:textId="77777777" w:rsidR="00AE4B03" w:rsidRDefault="00AE4B03" w:rsidP="00AE4B03">
      <w:pPr>
        <w:rPr>
          <w:rFonts w:ascii="Times New Roman" w:hAnsi="Times New Roman" w:cs="Times New Roman"/>
          <w:lang w:bidi="he-IL"/>
        </w:rPr>
      </w:pPr>
      <w:r w:rsidRPr="00FA6663">
        <w:rPr>
          <w:rFonts w:ascii="Times New Roman" w:hAnsi="Times New Roman" w:cs="Times New Roman"/>
          <w:lang w:bidi="he-IL"/>
        </w:rPr>
        <w:t xml:space="preserve">But kelp decomposition remains obscure. Many attempts have been made to derive a grand estimate of macroalgal </w:t>
      </w:r>
      <w:r w:rsidRPr="00FA6663">
        <w:rPr>
          <w:rFonts w:ascii="Times New Roman" w:hAnsi="Times New Roman" w:cs="Times New Roman"/>
          <w:i/>
          <w:iCs/>
          <w:lang w:bidi="he-IL"/>
        </w:rPr>
        <w:t>k</w:t>
      </w:r>
      <w:r>
        <w:t>{Cebrian, 1999, #32569; Banta et al., 2004, #54288; Filbee-Dexter et al., 2024, #27977; Kennedy and Blain, 2025, #108523; White and Norkko, 2025, #37662}</w:t>
      </w:r>
      <w:r w:rsidRPr="00FA6663">
        <w:rPr>
          <w:rFonts w:ascii="Times New Roman" w:hAnsi="Times New Roman" w:cs="Times New Roman"/>
          <w:lang w:bidi="he-IL"/>
        </w:rPr>
        <w:t xml:space="preserve">. Given fast kelp turnover (Figure 1), </w:t>
      </w:r>
      <w:r w:rsidRPr="00FA6663">
        <w:rPr>
          <w:rFonts w:ascii="Times New Roman" w:hAnsi="Times New Roman" w:cs="Times New Roman"/>
          <w:i/>
          <w:iCs/>
          <w:lang w:bidi="he-IL"/>
        </w:rPr>
        <w:t>k</w:t>
      </w:r>
      <w:r w:rsidRPr="00FA6663">
        <w:rPr>
          <w:rFonts w:ascii="Times New Roman" w:hAnsi="Times New Roman" w:cs="Times New Roman"/>
          <w:lang w:bidi="he-IL"/>
        </w:rPr>
        <w:t xml:space="preserve"> is expected to have a median value 1.5 % </w:t>
      </w:r>
      <w:r w:rsidRPr="00FA6663">
        <w:rPr>
          <w:rFonts w:ascii="Times New Roman" w:hAnsi="Times New Roman" w:cs="Times New Roman"/>
        </w:rPr>
        <w:t>day</w:t>
      </w:r>
      <w:r w:rsidRPr="00FA6663">
        <w:rPr>
          <w:rFonts w:ascii="Times New Roman" w:hAnsi="Times New Roman" w:cs="Times New Roman"/>
          <w:color w:val="000000"/>
          <w:kern w:val="0"/>
          <w:vertAlign w:val="superscript"/>
        </w:rPr>
        <w:t>−1</w:t>
      </w:r>
      <w:r w:rsidRPr="00FA6663">
        <w:rPr>
          <w:rFonts w:ascii="Times New Roman" w:hAnsi="Times New Roman" w:cs="Times New Roman"/>
          <w:lang w:bidi="he-IL"/>
        </w:rPr>
        <w:t xml:space="preserve"> but with large uncertainty (10</w:t>
      </w:r>
      <w:r w:rsidRPr="00FA6663">
        <w:rPr>
          <w:rFonts w:ascii="Times New Roman" w:hAnsi="Times New Roman" w:cs="Times New Roman"/>
          <w:color w:val="000000"/>
          <w:kern w:val="0"/>
          <w:vertAlign w:val="superscript"/>
        </w:rPr>
        <w:t>−</w:t>
      </w:r>
      <w:r w:rsidRPr="00FA6663">
        <w:rPr>
          <w:rFonts w:ascii="Times New Roman" w:hAnsi="Times New Roman" w:cs="Times New Roman"/>
          <w:vertAlign w:val="superscript"/>
          <w:lang w:bidi="he-IL"/>
        </w:rPr>
        <w:t>1.8 ± 1.1</w:t>
      </w:r>
      <w:r w:rsidRPr="00FA6663">
        <w:rPr>
          <w:rFonts w:ascii="Times New Roman" w:hAnsi="Times New Roman" w:cs="Times New Roman"/>
          <w:lang w:bidi="he-IL"/>
        </w:rPr>
        <w:t xml:space="preserve"> </w:t>
      </w:r>
      <w:r w:rsidRPr="00FA6663">
        <w:rPr>
          <w:rFonts w:ascii="Times New Roman" w:hAnsi="Times New Roman" w:cs="Times New Roman"/>
        </w:rPr>
        <w:t>day</w:t>
      </w:r>
      <w:r w:rsidRPr="00FA6663">
        <w:rPr>
          <w:rFonts w:ascii="Times New Roman" w:hAnsi="Times New Roman" w:cs="Times New Roman"/>
          <w:color w:val="000000"/>
          <w:kern w:val="0"/>
          <w:vertAlign w:val="superscript"/>
        </w:rPr>
        <w:t>−1</w:t>
      </w:r>
      <w:r w:rsidRPr="00FA6663">
        <w:rPr>
          <w:rFonts w:ascii="Times New Roman" w:hAnsi="Times New Roman" w:cs="Times New Roman"/>
          <w:color w:val="000000"/>
          <w:kern w:val="0"/>
        </w:rPr>
        <w:t>, Table S1</w:t>
      </w:r>
      <w:r w:rsidRPr="00FA6663">
        <w:rPr>
          <w:rFonts w:ascii="Times New Roman" w:hAnsi="Times New Roman" w:cs="Times New Roman"/>
          <w:lang w:bidi="he-IL"/>
        </w:rPr>
        <w:t xml:space="preserve">) resulting in a 90% probability interval bounded by 0.033 % and 90 % </w:t>
      </w:r>
      <w:r w:rsidRPr="00FA6663">
        <w:rPr>
          <w:rFonts w:ascii="Times New Roman" w:hAnsi="Times New Roman" w:cs="Times New Roman"/>
        </w:rPr>
        <w:t>day</w:t>
      </w:r>
      <w:r w:rsidRPr="00FA6663">
        <w:rPr>
          <w:rFonts w:ascii="Times New Roman" w:hAnsi="Times New Roman" w:cs="Times New Roman"/>
          <w:color w:val="000000"/>
          <w:kern w:val="0"/>
          <w:vertAlign w:val="superscript"/>
        </w:rPr>
        <w:t>−1</w:t>
      </w:r>
      <w:r w:rsidRPr="00FA6663">
        <w:rPr>
          <w:rFonts w:ascii="Times New Roman" w:hAnsi="Times New Roman" w:cs="Times New Roman"/>
          <w:lang w:bidi="he-IL"/>
        </w:rPr>
        <w:t xml:space="preserve">. Strangely, observed </w:t>
      </w:r>
      <w:r w:rsidRPr="00FA6663">
        <w:rPr>
          <w:rFonts w:ascii="Times New Roman" w:hAnsi="Times New Roman" w:cs="Times New Roman"/>
          <w:i/>
          <w:iCs/>
          <w:lang w:bidi="he-IL"/>
        </w:rPr>
        <w:t>k</w:t>
      </w:r>
      <w:r w:rsidRPr="00FA6663">
        <w:rPr>
          <w:rFonts w:ascii="Times New Roman" w:hAnsi="Times New Roman" w:cs="Times New Roman"/>
          <w:lang w:bidi="he-IL"/>
        </w:rPr>
        <w:t xml:space="preserve"> is even less precise than predicted </w:t>
      </w:r>
      <w:r w:rsidRPr="00FA6663">
        <w:rPr>
          <w:rFonts w:ascii="Times New Roman" w:hAnsi="Times New Roman" w:cs="Times New Roman"/>
          <w:i/>
          <w:iCs/>
          <w:lang w:bidi="he-IL"/>
        </w:rPr>
        <w:t>k</w:t>
      </w:r>
      <w:r w:rsidRPr="00FA6663">
        <w:rPr>
          <w:rFonts w:ascii="Times New Roman" w:hAnsi="Times New Roman" w:cs="Times New Roman"/>
          <w:lang w:bidi="he-IL"/>
        </w:rPr>
        <w:t xml:space="preserve">. Across all estimates of macroalgal </w:t>
      </w:r>
      <w:r w:rsidRPr="00FA6663">
        <w:rPr>
          <w:rFonts w:ascii="Times New Roman" w:hAnsi="Times New Roman" w:cs="Times New Roman"/>
          <w:i/>
          <w:iCs/>
          <w:lang w:bidi="he-IL"/>
        </w:rPr>
        <w:t>k</w:t>
      </w:r>
      <w:r w:rsidRPr="00FA6663">
        <w:rPr>
          <w:rFonts w:ascii="Times New Roman" w:hAnsi="Times New Roman" w:cs="Times New Roman"/>
          <w:lang w:bidi="he-IL"/>
        </w:rPr>
        <w:t xml:space="preserve"> to date</w:t>
      </w:r>
      <w:r>
        <w:t>{Wright, 2025, #83565</w:t>
      </w:r>
      <w:r w:rsidRPr="004B332B">
        <w:rPr>
          <w:rFonts w:ascii="Times New Roman" w:hAnsi="Times New Roman" w:cs="Times New Roman"/>
          <w:lang w:bidi="he-IL"/>
        </w:rPr>
        <w:t>}</w:t>
      </w:r>
      <w:r w:rsidRPr="00FA6663">
        <w:rPr>
          <w:rFonts w:ascii="Times New Roman" w:hAnsi="Times New Roman" w:cs="Times New Roman"/>
          <w:lang w:bidi="he-IL"/>
        </w:rPr>
        <w:t xml:space="preserve"> including those </w:t>
      </w:r>
      <w:r w:rsidRPr="004B332B">
        <w:rPr>
          <w:rFonts w:ascii="Times New Roman" w:hAnsi="Times New Roman" w:cs="Times New Roman"/>
        </w:rPr>
        <w:t>underlying the latest blue carbon estimates</w:t>
      </w:r>
      <w:r>
        <w:t>{Filbee-Dexter et al., 2024, #27977}</w:t>
      </w:r>
      <w:r w:rsidRPr="004B332B">
        <w:rPr>
          <w:rFonts w:ascii="Times New Roman" w:hAnsi="Times New Roman" w:cs="Times New Roman"/>
        </w:rPr>
        <w:t xml:space="preserve"> and reviews</w:t>
      </w:r>
      <w:r>
        <w:t>{Kennedy and Blain, 2025, #108523; White and Norkko, 2025, #37662}</w:t>
      </w:r>
      <w:r w:rsidRPr="004B332B">
        <w:rPr>
          <w:rFonts w:ascii="Times New Roman" w:hAnsi="Times New Roman" w:cs="Times New Roman"/>
          <w:lang w:bidi="he-IL"/>
        </w:rPr>
        <w:t xml:space="preserve">, exponential decay of kelp detritus under natural field or mesocosm conditions ranges from </w:t>
      </w:r>
      <w:r w:rsidRPr="004B332B">
        <w:rPr>
          <w:rFonts w:ascii="Times New Roman" w:hAnsi="Times New Roman" w:cs="Times New Roman"/>
          <w:color w:val="000000"/>
          <w:kern w:val="0"/>
        </w:rPr>
        <w:t>−</w:t>
      </w:r>
      <w:r w:rsidRPr="004B332B">
        <w:rPr>
          <w:rFonts w:ascii="Times New Roman" w:hAnsi="Times New Roman" w:cs="Times New Roman"/>
          <w:lang w:bidi="he-IL"/>
        </w:rPr>
        <w:t xml:space="preserve">3 to 66 % </w:t>
      </w:r>
      <w:r w:rsidRPr="004B332B">
        <w:rPr>
          <w:rFonts w:ascii="Times New Roman" w:hAnsi="Times New Roman" w:cs="Times New Roman"/>
        </w:rPr>
        <w:t>day</w:t>
      </w:r>
      <w:r w:rsidRPr="004B332B">
        <w:rPr>
          <w:rFonts w:ascii="Times New Roman" w:hAnsi="Times New Roman" w:cs="Times New Roman"/>
          <w:color w:val="000000"/>
          <w:kern w:val="0"/>
          <w:vertAlign w:val="superscript"/>
        </w:rPr>
        <w:t>−1</w:t>
      </w:r>
      <w:r w:rsidRPr="004B332B">
        <w:rPr>
          <w:rFonts w:ascii="Times New Roman" w:hAnsi="Times New Roman" w:cs="Times New Roman"/>
          <w:color w:val="000000"/>
          <w:kern w:val="0"/>
        </w:rPr>
        <w:t xml:space="preserve">. Our attempt to model observed </w:t>
      </w:r>
      <w:r w:rsidRPr="004B332B">
        <w:rPr>
          <w:rFonts w:ascii="Times New Roman" w:hAnsi="Times New Roman" w:cs="Times New Roman"/>
          <w:i/>
          <w:iCs/>
          <w:color w:val="000000"/>
          <w:kern w:val="0"/>
        </w:rPr>
        <w:t>k</w:t>
      </w:r>
      <w:r w:rsidRPr="004B332B">
        <w:rPr>
          <w:rFonts w:ascii="Times New Roman" w:hAnsi="Times New Roman" w:cs="Times New Roman"/>
          <w:color w:val="000000"/>
          <w:kern w:val="0"/>
        </w:rPr>
        <w:t xml:space="preserve"> with a normal distribution resulted in a grand estimate</w:t>
      </w:r>
      <w:r>
        <w:rPr>
          <w:rFonts w:ascii="Times New Roman" w:hAnsi="Times New Roman" w:cs="Times New Roman"/>
          <w:color w:val="000000"/>
          <w:kern w:val="0"/>
        </w:rPr>
        <w:t xml:space="preserve"> of 2.8 ± 5.5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with a 90% </w:t>
      </w:r>
      <w:r>
        <w:rPr>
          <w:rFonts w:ascii="Times New Roman" w:hAnsi="Times New Roman" w:cs="Times New Roman"/>
          <w:lang w:bidi="he-IL"/>
        </w:rPr>
        <w:t xml:space="preserve">probability interval bounded by </w:t>
      </w:r>
      <w:r w:rsidRPr="00151EF2">
        <w:rPr>
          <w:rFonts w:ascii="Times New Roman" w:hAnsi="Times New Roman" w:cs="Times New Roman"/>
          <w:color w:val="000000"/>
          <w:kern w:val="0"/>
        </w:rPr>
        <w:t>−</w:t>
      </w:r>
      <w:r>
        <w:rPr>
          <w:rFonts w:ascii="Times New Roman" w:hAnsi="Times New Roman" w:cs="Times New Roman"/>
          <w:lang w:bidi="he-IL"/>
        </w:rPr>
        <w:t xml:space="preserve">6.3 and 12 %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lang w:bidi="he-IL"/>
        </w:rPr>
        <w:t>. Due to this large variation comparison with other plants has proven difficult</w:t>
      </w:r>
      <w:r>
        <w:t xml:space="preserve">{Cebrian, 1999, #32569; </w:t>
      </w:r>
      <w:r w:rsidRPr="00F4018F">
        <w:rPr>
          <w:rFonts w:ascii="Times New Roman" w:hAnsi="Times New Roman"/>
          <w:lang w:bidi="he-IL"/>
        </w:rPr>
        <w:t>Banta et al., 2004, #54288}</w:t>
      </w:r>
      <w:r w:rsidRPr="00F4018F">
        <w:rPr>
          <w:rFonts w:ascii="Times New Roman" w:hAnsi="Times New Roman" w:cs="Times New Roman"/>
          <w:lang w:bidi="he-IL"/>
        </w:rPr>
        <w:t>.</w:t>
      </w:r>
      <w:r>
        <w:rPr>
          <w:rFonts w:ascii="Times New Roman" w:hAnsi="Times New Roman" w:cs="Times New Roman"/>
          <w:lang w:bidi="he-IL"/>
        </w:rPr>
        <w:t xml:space="preserve"> Studies on traditional predictors such as elemental stoichiometry and </w:t>
      </w:r>
      <w:r w:rsidRPr="007F4568">
        <w:rPr>
          <w:rFonts w:ascii="Times New Roman" w:hAnsi="Times New Roman" w:cs="Times New Roman"/>
          <w:lang w:bidi="he-IL"/>
        </w:rPr>
        <w:t>biochemical composition</w:t>
      </w:r>
      <w:r>
        <w:t>{Filbee-Dexter et al., 2022, #89942; Wright et al., 2022, #84779}</w:t>
      </w:r>
      <w:r w:rsidRPr="007F4568">
        <w:rPr>
          <w:rFonts w:ascii="Times New Roman" w:hAnsi="Times New Roman" w:cs="Times New Roman"/>
          <w:lang w:bidi="he-IL"/>
        </w:rPr>
        <w:t xml:space="preserve"> </w:t>
      </w:r>
      <w:r>
        <w:rPr>
          <w:rFonts w:ascii="Times New Roman" w:hAnsi="Times New Roman" w:cs="Times New Roman"/>
        </w:rPr>
        <w:t>generally failed to explain most of the variation.</w:t>
      </w:r>
      <w:r w:rsidRPr="007F4568">
        <w:rPr>
          <w:rFonts w:ascii="Times New Roman" w:hAnsi="Times New Roman" w:cs="Times New Roman"/>
        </w:rPr>
        <w:t xml:space="preserve"> </w:t>
      </w:r>
      <w:r>
        <w:rPr>
          <w:rFonts w:ascii="Times New Roman" w:hAnsi="Times New Roman" w:cs="Times New Roman"/>
        </w:rPr>
        <w:t>And even t</w:t>
      </w:r>
      <w:r w:rsidRPr="007F4568">
        <w:rPr>
          <w:rFonts w:ascii="Times New Roman" w:hAnsi="Times New Roman" w:cs="Times New Roman"/>
        </w:rPr>
        <w:t xml:space="preserve">he latest </w:t>
      </w:r>
      <w:r>
        <w:rPr>
          <w:rFonts w:ascii="Times New Roman" w:hAnsi="Times New Roman" w:cs="Times New Roman"/>
        </w:rPr>
        <w:t>holistic attempts to grasp</w:t>
      </w:r>
      <w:r w:rsidRPr="007F4568">
        <w:rPr>
          <w:rFonts w:ascii="Times New Roman" w:hAnsi="Times New Roman" w:cs="Times New Roman"/>
        </w:rPr>
        <w:t xml:space="preserve"> macroalgal decomposition</w:t>
      </w:r>
      <w:r>
        <w:t>{Kennedy and Blain, 2025, #108523; White and Norkko, 2025, #37662}</w:t>
      </w:r>
      <w:r w:rsidRPr="007F4568">
        <w:rPr>
          <w:rFonts w:ascii="Times New Roman" w:hAnsi="Times New Roman" w:cs="Times New Roman"/>
        </w:rPr>
        <w:t xml:space="preserve"> have </w:t>
      </w:r>
      <w:r>
        <w:rPr>
          <w:rFonts w:ascii="Times New Roman" w:hAnsi="Times New Roman" w:cs="Times New Roman"/>
        </w:rPr>
        <w:t>not been able to achieve clarity beyond raising several possible sources</w:t>
      </w:r>
      <w:r w:rsidRPr="007F4568">
        <w:rPr>
          <w:rFonts w:ascii="Times New Roman" w:hAnsi="Times New Roman" w:cs="Times New Roman"/>
          <w:lang w:bidi="he-IL"/>
        </w:rPr>
        <w:t xml:space="preserve"> of unexplained variability</w:t>
      </w:r>
      <w:r>
        <w:rPr>
          <w:rFonts w:ascii="Times New Roman" w:hAnsi="Times New Roman" w:cs="Times New Roman"/>
        </w:rPr>
        <w:t>.</w:t>
      </w:r>
    </w:p>
    <w:p w14:paraId="3797F427" w14:textId="77777777" w:rsidR="00AE4B03" w:rsidRDefault="00AE4B03" w:rsidP="00AE4B03">
      <w:pPr>
        <w:rPr>
          <w:rFonts w:ascii="Times New Roman" w:hAnsi="Times New Roman" w:cs="Times New Roman"/>
          <w:lang w:bidi="he-IL"/>
        </w:rPr>
      </w:pPr>
    </w:p>
    <w:p w14:paraId="5B7E3F27" w14:textId="77777777" w:rsidR="00AE4B03" w:rsidRPr="00EE7AA9" w:rsidRDefault="00AE4B03" w:rsidP="00AE4B03">
      <w:pPr>
        <w:rPr>
          <w:rFonts w:ascii="Times New Roman" w:hAnsi="Times New Roman" w:cs="Times New Roman"/>
          <w:lang w:bidi="he-IL"/>
        </w:rPr>
      </w:pPr>
      <w:r>
        <w:rPr>
          <w:rFonts w:ascii="Times New Roman" w:hAnsi="Times New Roman" w:cs="Times New Roman"/>
        </w:rPr>
        <w:t>The most parsimonious solution to this enigma is to be found in the theory of detrital photosynthesis</w:t>
      </w:r>
      <w:r w:rsidRPr="009F39D5">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lang w:bidi="he-IL"/>
        </w:rPr>
        <w:t xml:space="preserve">The distribution of kelp exponential decay derived above predicts a 30% chance of </w:t>
      </w:r>
      <w:r w:rsidRPr="00EE7AA9">
        <w:rPr>
          <w:rFonts w:ascii="Times New Roman" w:hAnsi="Times New Roman" w:cs="Times New Roman"/>
          <w:lang w:bidi="he-IL"/>
        </w:rPr>
        <w:t>exponential growth (</w:t>
      </w:r>
      <w:r w:rsidRPr="00EE7AA9">
        <w:rPr>
          <w:rFonts w:ascii="Times New Roman" w:hAnsi="Times New Roman" w:cs="Times New Roman"/>
          <w:i/>
          <w:iCs/>
          <w:lang w:bidi="he-IL"/>
        </w:rPr>
        <w:t>P</w:t>
      </w:r>
      <w:r w:rsidRPr="00EE7AA9">
        <w:rPr>
          <w:rFonts w:ascii="Times New Roman" w:hAnsi="Times New Roman" w:cs="Times New Roman"/>
          <w:i/>
          <w:iCs/>
          <w:vertAlign w:val="subscript"/>
          <w:lang w:bidi="he-IL"/>
        </w:rPr>
        <w:t>k</w:t>
      </w:r>
      <w:r w:rsidRPr="00EE7AA9">
        <w:rPr>
          <w:rFonts w:ascii="Times New Roman" w:hAnsi="Times New Roman" w:cs="Times New Roman"/>
          <w:vertAlign w:val="subscript"/>
          <w:lang w:bidi="he-IL"/>
        </w:rPr>
        <w:t xml:space="preserve"> &lt; 0</w:t>
      </w:r>
      <w:r w:rsidRPr="00EE7AA9">
        <w:rPr>
          <w:rFonts w:ascii="Times New Roman" w:hAnsi="Times New Roman" w:cs="Times New Roman"/>
          <w:lang w:bidi="he-IL"/>
        </w:rPr>
        <w:t xml:space="preserve"> = 0.3). This is clearly paradoxical in the context of the traditional decomposition model</w:t>
      </w:r>
      <w:r>
        <w:t>{Olson, 1963, #2327}</w:t>
      </w:r>
      <w:r w:rsidRPr="00EE7AA9">
        <w:rPr>
          <w:rFonts w:ascii="Times New Roman" w:hAnsi="Times New Roman" w:cs="Times New Roman"/>
        </w:rPr>
        <w:t>, but makes sense when considering the physiology of kelps which allows them to continue photosynthesis and growth as detached tissue</w:t>
      </w:r>
      <w:r>
        <w:t>{Drew, 1983, #15663}</w:t>
      </w:r>
      <w:r w:rsidRPr="00EE7AA9">
        <w:rPr>
          <w:rFonts w:ascii="Times New Roman" w:hAnsi="Times New Roman" w:cs="Times New Roman"/>
        </w:rPr>
        <w:t>. Experimental kelp detritus can remain viable after detachment</w:t>
      </w:r>
      <w:r>
        <w:t xml:space="preserve">{de Bettignies et al., 2020, #27484; Frontier et al., 2021, #5570; Frontier et al., 2022, #81381; Pedersen et al., 2021, #86831; </w:t>
      </w:r>
      <w:r w:rsidRPr="00EE7AA9">
        <w:rPr>
          <w:rFonts w:ascii="Times New Roman" w:hAnsi="Times New Roman" w:cs="Times New Roman"/>
          <w:lang w:bidi="he-IL"/>
        </w:rPr>
        <w:t xml:space="preserve">Filbee-Dexter et al., 2022, #89942; </w:t>
      </w:r>
      <w:r w:rsidRPr="00EE7AA9">
        <w:rPr>
          <w:rFonts w:ascii="Times New Roman" w:hAnsi="Times New Roman" w:cs="Times New Roman"/>
        </w:rPr>
        <w:t>Wright and Foggo, 2021, #58011; Wright and Kregting, 2023, #49343; Wright et al., 2022, #84779; Wright et al., 2024, #11376}, which theoretically allows it to slow decomposition by growth and chemical defence</w:t>
      </w:r>
      <w:r>
        <w:t>{Wright et al., 2022, #84779}</w:t>
      </w:r>
      <w:r w:rsidRPr="00EE7AA9">
        <w:rPr>
          <w:rFonts w:ascii="Times New Roman" w:hAnsi="Times New Roman" w:cs="Times New Roman"/>
        </w:rPr>
        <w:t>. Detrital photosynthesis is positively related to light</w:t>
      </w:r>
      <w:r>
        <w:t>{Frontier et al., 2021, #5570; Frontier et al., 2022, #81381; Wright et al., 2024, #11376}</w:t>
      </w:r>
      <w:r w:rsidRPr="00EE7AA9">
        <w:rPr>
          <w:rFonts w:ascii="Times New Roman" w:hAnsi="Times New Roman" w:cs="Times New Roman"/>
        </w:rPr>
        <w:t>, so contrary to photodegradation</w:t>
      </w:r>
      <w:r>
        <w:t>{Austin and Ballaré, 2024, #81910}</w:t>
      </w:r>
      <w:r w:rsidRPr="00EE7AA9">
        <w:rPr>
          <w:rFonts w:ascii="Times New Roman" w:hAnsi="Times New Roman" w:cs="Times New Roman"/>
        </w:rPr>
        <w:t xml:space="preserve"> explains cases where decomposition is slowed under light all the way to the extreme case of detrital growth</w:t>
      </w:r>
      <w:r>
        <w:t>{Frontier et al., 2021, #5570; Frontier et al., 2022, #81381; Pedersen et al., 2021, #86831; Wright et al., 2022, #84779}</w:t>
      </w:r>
      <w:r w:rsidRPr="00EE7AA9">
        <w:rPr>
          <w:rFonts w:ascii="Times New Roman" w:hAnsi="Times New Roman" w:cs="Times New Roman"/>
        </w:rPr>
        <w:t>. However, the effect of physiology on kelp decomposition has not yet been experimentally proven.</w:t>
      </w:r>
    </w:p>
    <w:p w14:paraId="1549A3D9" w14:textId="77777777" w:rsidR="00AE4B03" w:rsidRPr="00EE7AA9" w:rsidRDefault="00AE4B03" w:rsidP="00AE4B03">
      <w:pPr>
        <w:rPr>
          <w:rFonts w:ascii="Times New Roman" w:hAnsi="Times New Roman" w:cs="Times New Roman"/>
        </w:rPr>
      </w:pPr>
    </w:p>
    <w:p w14:paraId="451F65CB" w14:textId="77777777" w:rsidR="00AE4B03" w:rsidRPr="00C72330" w:rsidRDefault="00AE4B03" w:rsidP="00AE4B03">
      <w:pPr>
        <w:rPr>
          <w:rFonts w:ascii="Times New Roman" w:hAnsi="Times New Roman" w:cs="Times New Roman"/>
          <w:b/>
          <w:bCs/>
        </w:rPr>
      </w:pPr>
      <w:r w:rsidRPr="00C72330">
        <w:rPr>
          <w:rFonts w:ascii="Times New Roman" w:hAnsi="Times New Roman" w:cs="Times New Roman"/>
          <w:b/>
          <w:bCs/>
        </w:rPr>
        <w:t xml:space="preserve">Physiology </w:t>
      </w:r>
      <w:r>
        <w:rPr>
          <w:rFonts w:ascii="Times New Roman" w:hAnsi="Times New Roman" w:cs="Times New Roman"/>
          <w:b/>
          <w:bCs/>
        </w:rPr>
        <w:t>determines</w:t>
      </w:r>
      <w:r w:rsidRPr="00C72330">
        <w:rPr>
          <w:rFonts w:ascii="Times New Roman" w:hAnsi="Times New Roman" w:cs="Times New Roman"/>
          <w:b/>
          <w:bCs/>
        </w:rPr>
        <w:t xml:space="preserve"> kelp decomposition</w:t>
      </w:r>
    </w:p>
    <w:p w14:paraId="6090EBCB" w14:textId="77777777" w:rsidR="00AE4B03" w:rsidRDefault="00AE4B03" w:rsidP="00AE4B03">
      <w:pPr>
        <w:rPr>
          <w:rFonts w:ascii="Times New Roman" w:hAnsi="Times New Roman" w:cs="Times New Roman"/>
        </w:rPr>
      </w:pPr>
      <w:r>
        <w:rPr>
          <w:rFonts w:ascii="Times New Roman" w:hAnsi="Times New Roman" w:cs="Times New Roman"/>
        </w:rPr>
        <w:t xml:space="preserve">The effect of physiology on decomposition was already discussed in early studies on seaweed </w:t>
      </w:r>
      <w:r w:rsidRPr="00217D12">
        <w:rPr>
          <w:rFonts w:ascii="Times New Roman" w:hAnsi="Times New Roman" w:cs="Times New Roman"/>
        </w:rPr>
        <w:t>decomposition</w:t>
      </w:r>
      <w:r>
        <w:t xml:space="preserve">{Birch et al., 1983, #5321; Brouwer, 1996, #26706; </w:t>
      </w:r>
      <w:r w:rsidRPr="00F8207B">
        <w:rPr>
          <w:rFonts w:ascii="Times New Roman" w:hAnsi="Times New Roman" w:cs="Times New Roman"/>
        </w:rPr>
        <w:t>Josselyn and Mathieson, 1980, #46928</w:t>
      </w:r>
      <w:r w:rsidRPr="00217D12">
        <w:rPr>
          <w:rFonts w:ascii="Times New Roman" w:hAnsi="Times New Roman" w:cs="Times New Roman"/>
        </w:rPr>
        <w:t xml:space="preserve">; </w:t>
      </w:r>
      <w:r w:rsidRPr="00F8207B">
        <w:rPr>
          <w:rFonts w:ascii="Times New Roman" w:hAnsi="Times New Roman" w:cs="Times New Roman"/>
        </w:rPr>
        <w:t>Rice and Tenore, 1981, #62281}</w:t>
      </w:r>
      <w:r>
        <w:rPr>
          <w:rFonts w:ascii="Times New Roman" w:hAnsi="Times New Roman" w:cs="Times New Roman"/>
        </w:rPr>
        <w:t xml:space="preserve"> </w:t>
      </w:r>
      <w:r w:rsidRPr="00217D12">
        <w:rPr>
          <w:rFonts w:ascii="Times New Roman" w:hAnsi="Times New Roman" w:cs="Times New Roman"/>
        </w:rPr>
        <w:t xml:space="preserve">but seems to have been forgotten until recent </w:t>
      </w:r>
      <w:r>
        <w:rPr>
          <w:rFonts w:ascii="Times New Roman" w:hAnsi="Times New Roman" w:cs="Times New Roman"/>
        </w:rPr>
        <w:t xml:space="preserve">discussions on </w:t>
      </w:r>
      <w:r w:rsidRPr="00217D12">
        <w:rPr>
          <w:rFonts w:ascii="Times New Roman" w:hAnsi="Times New Roman" w:cs="Times New Roman"/>
        </w:rPr>
        <w:t>detrital photosynthesis</w:t>
      </w:r>
      <w:r>
        <w:t>{de Bettignies et al., 2020, #27484; Frontier et al., 2021, #5570; Frontier et al., 2022, #81381; Wright and Foggo, 2021, #58011; Wright and Kregting, 2023, #49343; Wright et al., 2022, #84779; Wright et al., 2024, #11376}</w:t>
      </w:r>
      <w:r w:rsidRPr="00217D12">
        <w:rPr>
          <w:rFonts w:ascii="Times New Roman" w:hAnsi="Times New Roman" w:cs="Times New Roman"/>
        </w:rPr>
        <w:t>.</w:t>
      </w:r>
      <w:r>
        <w:rPr>
          <w:rFonts w:ascii="Times New Roman" w:hAnsi="Times New Roman" w:cs="Times New Roman"/>
        </w:rPr>
        <w:t xml:space="preserve"> It therefore remains unclear how important detrital photosynthesis is in </w:t>
      </w:r>
      <w:r>
        <w:rPr>
          <w:rFonts w:ascii="Times New Roman" w:hAnsi="Times New Roman" w:cs="Times New Roman"/>
        </w:rPr>
        <w:lastRenderedPageBreak/>
        <w:t xml:space="preserve">determining the outcome of kelp decomposition experiments. Here we set out to quantify the effect of physiology on kelp decomposition. We achieved this by first conducting an international experiment on diverse kelps — North Atlantic </w:t>
      </w:r>
      <w:r w:rsidRPr="00292FC4">
        <w:rPr>
          <w:rFonts w:ascii="Times New Roman" w:hAnsi="Times New Roman" w:cs="Times New Roman"/>
          <w:i/>
          <w:iCs/>
        </w:rPr>
        <w:t>Laminaria digitata</w:t>
      </w:r>
      <w:r>
        <w:rPr>
          <w:rFonts w:ascii="Times New Roman" w:hAnsi="Times New Roman" w:cs="Times New Roman"/>
        </w:rPr>
        <w:t xml:space="preserve"> and Indo-Pacific </w:t>
      </w:r>
      <w:r w:rsidRPr="00292FC4">
        <w:rPr>
          <w:rFonts w:ascii="Times New Roman" w:hAnsi="Times New Roman" w:cs="Times New Roman"/>
          <w:i/>
          <w:iCs/>
        </w:rPr>
        <w:t>Ecklonia radiata</w:t>
      </w:r>
      <w:r>
        <w:rPr>
          <w:rFonts w:ascii="Times New Roman" w:hAnsi="Times New Roman" w:cs="Times New Roman"/>
        </w:rPr>
        <w:t xml:space="preserve"> — and then performing a meta-analysis on decomposition of 14 kelp species across 185 experiments from 25 studies including the present one. In the experiment we compared control detritus, kelp tissue that had simply been excised as in most studies, with pre-killed detritus, identically excised kelp tissue that was heated just above its thermal tolerance. The meta-analysis necessarily coalesced various methods of removing physiology, such as drying and heating, into one pre-killed treatment. Hereinafter we refer to the two treatments as live and dead detritus for simplicity. For </w:t>
      </w:r>
      <w:r w:rsidRPr="008423A5">
        <w:rPr>
          <w:rFonts w:ascii="Times New Roman" w:hAnsi="Times New Roman" w:cs="Times New Roman"/>
          <w:i/>
          <w:iCs/>
        </w:rPr>
        <w:t>E. radiata</w:t>
      </w:r>
      <w:r>
        <w:rPr>
          <w:rFonts w:ascii="Times New Roman" w:hAnsi="Times New Roman" w:cs="Times New Roman"/>
        </w:rPr>
        <w:t xml:space="preserve"> we converted fresh to dry mass (Figure S1) to test for an effect of water content on decomposition estimates to justify treating dry and fresh mass as one response variable in the meta-analysis. In the experiment we included the seagrass </w:t>
      </w:r>
      <w:r w:rsidRPr="003A773A">
        <w:rPr>
          <w:rFonts w:ascii="Times New Roman" w:hAnsi="Times New Roman" w:cs="Times New Roman"/>
          <w:i/>
          <w:iCs/>
        </w:rPr>
        <w:t>Amphibolis griffithii</w:t>
      </w:r>
      <w:r>
        <w:rPr>
          <w:rFonts w:ascii="Times New Roman" w:hAnsi="Times New Roman" w:cs="Times New Roman"/>
        </w:rPr>
        <w:t xml:space="preserve"> as an example of a plant that displays detrital photosynthesis to a lesser extent and was therefore expected to act as a marine macrophyte control. This also enabled us to partially control for unintended effects beyond the removal of physiology that may have been introduced by our treatment procedure.</w:t>
      </w:r>
    </w:p>
    <w:p w14:paraId="32B2BCCA" w14:textId="77777777" w:rsidR="00AE4B03" w:rsidRDefault="00AE4B03" w:rsidP="00AE4B03">
      <w:pPr>
        <w:rPr>
          <w:rFonts w:ascii="Times New Roman" w:hAnsi="Times New Roman" w:cs="Times New Roman"/>
        </w:rPr>
      </w:pPr>
    </w:p>
    <w:p w14:paraId="0E015665" w14:textId="77777777" w:rsidR="00AE4B03" w:rsidRDefault="00AE4B03" w:rsidP="00AE4B03">
      <w:pPr>
        <w:rPr>
          <w:rFonts w:ascii="Times New Roman" w:hAnsi="Times New Roman" w:cs="Times New Roman"/>
        </w:rPr>
      </w:pPr>
      <w:r w:rsidRPr="00F06FF9">
        <w:rPr>
          <w:rFonts w:ascii="Times New Roman" w:hAnsi="Times New Roman" w:cs="Times New Roman"/>
          <w:b/>
          <w:bCs/>
        </w:rPr>
        <w:t>Table 1</w:t>
      </w:r>
      <w:r>
        <w:rPr>
          <w:rFonts w:ascii="Times New Roman" w:hAnsi="Times New Roman" w:cs="Times New Roman"/>
        </w:rPr>
        <w:t>. The effect of physiology on exponential decay constants (</w:t>
      </w:r>
      <w:r w:rsidRPr="000E7D2A">
        <w:rPr>
          <w:rFonts w:ascii="Times New Roman" w:hAnsi="Times New Roman" w:cs="Times New Roman"/>
          <w:i/>
          <w:iCs/>
        </w:rPr>
        <w:t>k</w:t>
      </w:r>
      <w:r>
        <w:rPr>
          <w:rFonts w:ascii="Times New Roman" w:hAnsi="Times New Roman" w:cs="Times New Roman"/>
        </w:rPr>
        <w:t xml:space="preserve"> in Equation 3, % day</w:t>
      </w:r>
      <w:r w:rsidRPr="00913DE8">
        <w:rPr>
          <w:rFonts w:ascii="Times New Roman" w:hAnsi="Times New Roman" w:cs="Times New Roman"/>
          <w:vertAlign w:val="superscript"/>
        </w:rPr>
        <w:t>−1</w:t>
      </w:r>
      <w:r>
        <w:rPr>
          <w:rFonts w:ascii="Times New Roman" w:hAnsi="Times New Roman" w:cs="Times New Roman"/>
        </w:rPr>
        <w:t xml:space="preserve">) for kelp and seagrass. </w:t>
      </w:r>
      <w:r w:rsidRPr="00F315B8">
        <w:rPr>
          <w:rFonts w:ascii="Times New Roman" w:hAnsi="Times New Roman" w:cs="Times New Roman"/>
          <w:i/>
          <w:iCs/>
        </w:rPr>
        <w:t>k</w:t>
      </w:r>
      <w:r>
        <w:rPr>
          <w:rFonts w:ascii="Times New Roman" w:hAnsi="Times New Roman" w:cs="Times New Roman"/>
        </w:rPr>
        <w:t xml:space="preserve"> is estimated on the basis of fresh mass for </w:t>
      </w:r>
      <w:r w:rsidRPr="00A92C2C">
        <w:rPr>
          <w:rFonts w:ascii="Times New Roman" w:hAnsi="Times New Roman" w:cs="Times New Roman"/>
          <w:i/>
          <w:iCs/>
        </w:rPr>
        <w:t>L. digitata</w:t>
      </w:r>
      <w:r>
        <w:rPr>
          <w:rFonts w:ascii="Times New Roman" w:hAnsi="Times New Roman" w:cs="Times New Roman"/>
        </w:rPr>
        <w:t>, dry mass for the other species (cf. Table S3) and a mix for the meta-analysis. Although it is modelled as d</w:t>
      </w:r>
      <w:r w:rsidRPr="00913DE8">
        <w:rPr>
          <w:rFonts w:ascii="Times New Roman" w:hAnsi="Times New Roman" w:cs="Times New Roman"/>
          <w:vertAlign w:val="superscript"/>
        </w:rPr>
        <w:t>−1</w:t>
      </w:r>
      <w:r>
        <w:rPr>
          <w:rFonts w:ascii="Times New Roman" w:hAnsi="Times New Roman" w:cs="Times New Roman"/>
        </w:rPr>
        <w:t xml:space="preserve">, </w:t>
      </w:r>
      <w:r w:rsidRPr="000E7D2A">
        <w:rPr>
          <w:rFonts w:ascii="Times New Roman" w:hAnsi="Times New Roman" w:cs="Times New Roman"/>
          <w:i/>
          <w:iCs/>
        </w:rPr>
        <w:t>k</w:t>
      </w:r>
      <w:r>
        <w:rPr>
          <w:rFonts w:ascii="Times New Roman" w:hAnsi="Times New Roman" w:cs="Times New Roman"/>
        </w:rPr>
        <w:t xml:space="preserve"> is here given as % d</w:t>
      </w:r>
      <w:r w:rsidRPr="00913DE8">
        <w:rPr>
          <w:rFonts w:ascii="Times New Roman" w:hAnsi="Times New Roman" w:cs="Times New Roman"/>
          <w:vertAlign w:val="superscript"/>
        </w:rPr>
        <w:t>−1</w:t>
      </w:r>
      <w:r>
        <w:rPr>
          <w:rFonts w:ascii="Times New Roman" w:hAnsi="Times New Roman" w:cs="Times New Roman"/>
        </w:rPr>
        <w:t xml:space="preserve"> for readability, which is not to be confused with a linear rate. Corresponding probability distributions are given in Figures 2 and 3. </w:t>
      </w:r>
      <w:r w:rsidRPr="008108AA">
        <w:rPr>
          <w:rFonts w:ascii="Times New Roman" w:hAnsi="Times New Roman" w:cs="Times New Roman"/>
        </w:rPr>
        <w:t>Δ</w:t>
      </w:r>
      <w:r>
        <w:rPr>
          <w:rFonts w:ascii="Times New Roman" w:hAnsi="Times New Roman" w:cs="Times New Roman"/>
        </w:rPr>
        <w:t xml:space="preserve"> = Dead – Live, ratio = Dead / Live and </w:t>
      </w:r>
      <w:r w:rsidRPr="00913DE8">
        <w:rPr>
          <w:rFonts w:ascii="Times New Roman" w:hAnsi="Times New Roman" w:cs="Times New Roman"/>
          <w:i/>
          <w:iCs/>
        </w:rPr>
        <w:t>P</w:t>
      </w:r>
      <w:r>
        <w:rPr>
          <w:rFonts w:ascii="Times New Roman" w:hAnsi="Times New Roman" w:cs="Times New Roman"/>
        </w:rPr>
        <w:t xml:space="preserve"> = </w:t>
      </w:r>
      <w:r w:rsidRPr="00913DE8">
        <w:rPr>
          <w:rFonts w:ascii="Times New Roman" w:hAnsi="Times New Roman" w:cs="Times New Roman"/>
          <w:i/>
          <w:iCs/>
        </w:rPr>
        <w:t>P</w:t>
      </w:r>
      <w:r>
        <w:rPr>
          <w:rFonts w:ascii="Times New Roman" w:hAnsi="Times New Roman" w:cs="Times New Roman"/>
        </w:rPr>
        <w:t>(</w:t>
      </w:r>
      <w:r w:rsidRPr="008108AA">
        <w:rPr>
          <w:rFonts w:ascii="Times New Roman" w:hAnsi="Times New Roman" w:cs="Times New Roman"/>
        </w:rPr>
        <w:t>Δ</w:t>
      </w:r>
      <w:r>
        <w:rPr>
          <w:rFonts w:ascii="Times New Roman" w:hAnsi="Times New Roman" w:cs="Times New Roman"/>
        </w:rPr>
        <w:t xml:space="preserve"> &gt; 0) = </w:t>
      </w:r>
      <w:r w:rsidRPr="00913DE8">
        <w:rPr>
          <w:rFonts w:ascii="Times New Roman" w:hAnsi="Times New Roman" w:cs="Times New Roman"/>
          <w:i/>
          <w:iCs/>
        </w:rPr>
        <w:t>P</w:t>
      </w:r>
      <w:r>
        <w:rPr>
          <w:rFonts w:ascii="Times New Roman" w:hAnsi="Times New Roman" w:cs="Times New Roman"/>
          <w:b/>
          <w:bCs/>
        </w:rPr>
        <w:t>(</w:t>
      </w:r>
      <w:r w:rsidRPr="008108AA">
        <w:rPr>
          <w:rFonts w:ascii="Times New Roman" w:hAnsi="Times New Roman" w:cs="Times New Roman"/>
        </w:rPr>
        <w:t>log</w:t>
      </w:r>
      <w:r w:rsidRPr="008108AA">
        <w:rPr>
          <w:rFonts w:ascii="Times New Roman" w:hAnsi="Times New Roman" w:cs="Times New Roman"/>
          <w:vertAlign w:val="subscript"/>
        </w:rPr>
        <w:t>10</w:t>
      </w:r>
      <w:r w:rsidRPr="008108AA">
        <w:rPr>
          <w:rFonts w:ascii="Times New Roman" w:hAnsi="Times New Roman" w:cs="Times New Roman"/>
        </w:rPr>
        <w:t xml:space="preserve"> ratio</w:t>
      </w:r>
      <w:r>
        <w:rPr>
          <w:rFonts w:ascii="Times New Roman" w:hAnsi="Times New Roman" w:cs="Times New Roman"/>
        </w:rPr>
        <w:t xml:space="preserve"> &gt; 0) = </w:t>
      </w:r>
      <w:r w:rsidRPr="00913DE8">
        <w:rPr>
          <w:rFonts w:ascii="Times New Roman" w:hAnsi="Times New Roman" w:cs="Times New Roman"/>
          <w:i/>
          <w:iCs/>
        </w:rPr>
        <w:t>P</w:t>
      </w:r>
      <w:r>
        <w:rPr>
          <w:rFonts w:ascii="Times New Roman" w:hAnsi="Times New Roman" w:cs="Times New Roman"/>
        </w:rPr>
        <w:t xml:space="preserve">(Dead &gt; Live). All estimates are given as mean ± standard </w:t>
      </w:r>
      <w:r w:rsidRPr="00E62E77">
        <w:rPr>
          <w:rFonts w:ascii="Times New Roman" w:hAnsi="Times New Roman" w:cs="Times New Roman"/>
        </w:rPr>
        <w:t>deviation.</w:t>
      </w:r>
      <w:r>
        <w:rPr>
          <w:rFonts w:ascii="Times New Roman" w:hAnsi="Times New Roman" w:cs="Times New Roman"/>
        </w:rPr>
        <w:t xml:space="preserve"> For highly right-skewed meta-analysis estimates, medians are additionally given in parentheses.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1607"/>
        <w:gridCol w:w="1460"/>
        <w:gridCol w:w="1567"/>
        <w:gridCol w:w="1482"/>
        <w:gridCol w:w="659"/>
      </w:tblGrid>
      <w:tr w:rsidR="00AE4B03" w14:paraId="2A9EC776" w14:textId="77777777" w:rsidTr="001B688F">
        <w:tc>
          <w:tcPr>
            <w:tcW w:w="1247" w:type="pct"/>
            <w:tcBorders>
              <w:top w:val="single" w:sz="4" w:space="0" w:color="auto"/>
              <w:bottom w:val="single" w:sz="4" w:space="0" w:color="auto"/>
            </w:tcBorders>
          </w:tcPr>
          <w:p w14:paraId="645C1F54" w14:textId="77777777" w:rsidR="00AE4B03" w:rsidRDefault="00AE4B03" w:rsidP="001B688F">
            <w:pPr>
              <w:rPr>
                <w:rFonts w:ascii="Times New Roman" w:hAnsi="Times New Roman" w:cs="Times New Roman"/>
              </w:rPr>
            </w:pPr>
          </w:p>
        </w:tc>
        <w:tc>
          <w:tcPr>
            <w:tcW w:w="890" w:type="pct"/>
            <w:tcBorders>
              <w:top w:val="single" w:sz="4" w:space="0" w:color="auto"/>
              <w:bottom w:val="single" w:sz="4" w:space="0" w:color="auto"/>
            </w:tcBorders>
          </w:tcPr>
          <w:p w14:paraId="3D2AD406" w14:textId="77777777" w:rsidR="00AE4B03" w:rsidRPr="005B2C6D" w:rsidRDefault="00AE4B03" w:rsidP="001B688F">
            <w:pPr>
              <w:rPr>
                <w:rFonts w:ascii="Times New Roman" w:hAnsi="Times New Roman" w:cs="Times New Roman"/>
                <w:b/>
                <w:bCs/>
              </w:rPr>
            </w:pPr>
            <w:r w:rsidRPr="005B2C6D">
              <w:rPr>
                <w:rFonts w:ascii="Times New Roman" w:hAnsi="Times New Roman" w:cs="Times New Roman"/>
                <w:b/>
                <w:bCs/>
              </w:rPr>
              <w:t>Live</w:t>
            </w:r>
          </w:p>
        </w:tc>
        <w:tc>
          <w:tcPr>
            <w:tcW w:w="809" w:type="pct"/>
            <w:tcBorders>
              <w:top w:val="single" w:sz="4" w:space="0" w:color="auto"/>
              <w:bottom w:val="single" w:sz="4" w:space="0" w:color="auto"/>
            </w:tcBorders>
          </w:tcPr>
          <w:p w14:paraId="2F14C359" w14:textId="77777777" w:rsidR="00AE4B03" w:rsidRPr="005B2C6D" w:rsidRDefault="00AE4B03" w:rsidP="001B688F">
            <w:pPr>
              <w:rPr>
                <w:rFonts w:ascii="Times New Roman" w:hAnsi="Times New Roman" w:cs="Times New Roman"/>
                <w:b/>
                <w:bCs/>
              </w:rPr>
            </w:pPr>
            <w:r w:rsidRPr="005B2C6D">
              <w:rPr>
                <w:rFonts w:ascii="Times New Roman" w:hAnsi="Times New Roman" w:cs="Times New Roman"/>
                <w:b/>
                <w:bCs/>
              </w:rPr>
              <w:t>Dead</w:t>
            </w:r>
          </w:p>
        </w:tc>
        <w:tc>
          <w:tcPr>
            <w:tcW w:w="868" w:type="pct"/>
            <w:tcBorders>
              <w:top w:val="single" w:sz="4" w:space="0" w:color="auto"/>
              <w:bottom w:val="single" w:sz="4" w:space="0" w:color="auto"/>
            </w:tcBorders>
          </w:tcPr>
          <w:p w14:paraId="4A96E6A7" w14:textId="77777777" w:rsidR="00AE4B03" w:rsidRPr="005B2C6D" w:rsidRDefault="00AE4B03" w:rsidP="001B688F">
            <w:pPr>
              <w:rPr>
                <w:rFonts w:ascii="Times New Roman" w:hAnsi="Times New Roman" w:cs="Times New Roman"/>
                <w:b/>
                <w:bCs/>
              </w:rPr>
            </w:pPr>
            <w:r w:rsidRPr="005B2C6D">
              <w:rPr>
                <w:rFonts w:ascii="Times New Roman" w:hAnsi="Times New Roman" w:cs="Times New Roman"/>
                <w:b/>
                <w:bCs/>
              </w:rPr>
              <w:t>Δ</w:t>
            </w:r>
          </w:p>
        </w:tc>
        <w:tc>
          <w:tcPr>
            <w:tcW w:w="821" w:type="pct"/>
            <w:tcBorders>
              <w:top w:val="single" w:sz="4" w:space="0" w:color="auto"/>
              <w:bottom w:val="single" w:sz="4" w:space="0" w:color="auto"/>
            </w:tcBorders>
          </w:tcPr>
          <w:p w14:paraId="1A1B6CC9" w14:textId="77777777" w:rsidR="00AE4B03" w:rsidRPr="005B2C6D" w:rsidRDefault="00AE4B03" w:rsidP="001B688F">
            <w:pPr>
              <w:rPr>
                <w:rFonts w:ascii="Times New Roman" w:hAnsi="Times New Roman" w:cs="Times New Roman"/>
                <w:b/>
                <w:bCs/>
              </w:rPr>
            </w:pPr>
            <w:r w:rsidRPr="005B2C6D">
              <w:rPr>
                <w:rFonts w:ascii="Times New Roman" w:hAnsi="Times New Roman" w:cs="Times New Roman"/>
                <w:b/>
                <w:bCs/>
              </w:rPr>
              <w:t>log</w:t>
            </w:r>
            <w:r w:rsidRPr="005B2C6D">
              <w:rPr>
                <w:rFonts w:ascii="Times New Roman" w:hAnsi="Times New Roman" w:cs="Times New Roman"/>
                <w:b/>
                <w:bCs/>
                <w:vertAlign w:val="subscript"/>
              </w:rPr>
              <w:t>10</w:t>
            </w:r>
            <w:r>
              <w:rPr>
                <w:rFonts w:ascii="Times New Roman" w:hAnsi="Times New Roman" w:cs="Times New Roman"/>
                <w:b/>
                <w:bCs/>
              </w:rPr>
              <w:t xml:space="preserve"> ratio</w:t>
            </w:r>
          </w:p>
        </w:tc>
        <w:tc>
          <w:tcPr>
            <w:tcW w:w="366" w:type="pct"/>
            <w:tcBorders>
              <w:top w:val="single" w:sz="4" w:space="0" w:color="auto"/>
              <w:bottom w:val="single" w:sz="4" w:space="0" w:color="auto"/>
            </w:tcBorders>
          </w:tcPr>
          <w:p w14:paraId="292925E0" w14:textId="77777777" w:rsidR="00AE4B03" w:rsidRPr="00913DE8" w:rsidRDefault="00AE4B03" w:rsidP="001B688F">
            <w:pPr>
              <w:rPr>
                <w:rFonts w:ascii="Times New Roman" w:hAnsi="Times New Roman" w:cs="Times New Roman"/>
                <w:b/>
                <w:bCs/>
                <w:i/>
                <w:iCs/>
              </w:rPr>
            </w:pPr>
            <w:r w:rsidRPr="00913DE8">
              <w:rPr>
                <w:rFonts w:ascii="Times New Roman" w:hAnsi="Times New Roman" w:cs="Times New Roman"/>
                <w:b/>
                <w:bCs/>
                <w:i/>
                <w:iCs/>
              </w:rPr>
              <w:t>P</w:t>
            </w:r>
          </w:p>
        </w:tc>
      </w:tr>
      <w:tr w:rsidR="00AE4B03" w14:paraId="22FC7B59" w14:textId="77777777" w:rsidTr="001B688F">
        <w:tc>
          <w:tcPr>
            <w:tcW w:w="5000" w:type="pct"/>
            <w:gridSpan w:val="6"/>
            <w:tcBorders>
              <w:top w:val="single" w:sz="4" w:space="0" w:color="auto"/>
            </w:tcBorders>
          </w:tcPr>
          <w:p w14:paraId="2856BF7A" w14:textId="77777777" w:rsidR="00AE4B03" w:rsidRDefault="00AE4B03" w:rsidP="001B688F">
            <w:pPr>
              <w:rPr>
                <w:rFonts w:ascii="Times New Roman" w:hAnsi="Times New Roman" w:cs="Times New Roman"/>
              </w:rPr>
            </w:pPr>
            <w:r w:rsidRPr="005B2C6D">
              <w:rPr>
                <w:rFonts w:ascii="Times New Roman" w:hAnsi="Times New Roman" w:cs="Times New Roman"/>
                <w:b/>
                <w:bCs/>
              </w:rPr>
              <w:t>Kelp</w:t>
            </w:r>
          </w:p>
        </w:tc>
      </w:tr>
      <w:tr w:rsidR="00AE4B03" w14:paraId="6585940B" w14:textId="77777777" w:rsidTr="001B688F">
        <w:tc>
          <w:tcPr>
            <w:tcW w:w="1247" w:type="pct"/>
          </w:tcPr>
          <w:p w14:paraId="4B14B882" w14:textId="77777777" w:rsidR="00AE4B03" w:rsidRPr="0087523B" w:rsidRDefault="00AE4B03" w:rsidP="001B688F">
            <w:pPr>
              <w:rPr>
                <w:rFonts w:ascii="Times New Roman" w:hAnsi="Times New Roman" w:cs="Times New Roman"/>
                <w:i/>
                <w:iCs/>
              </w:rPr>
            </w:pPr>
            <w:r w:rsidRPr="0087523B">
              <w:rPr>
                <w:rFonts w:ascii="Times New Roman" w:hAnsi="Times New Roman" w:cs="Times New Roman"/>
                <w:i/>
                <w:iCs/>
              </w:rPr>
              <w:t>Laminaria digitata</w:t>
            </w:r>
          </w:p>
        </w:tc>
        <w:tc>
          <w:tcPr>
            <w:tcW w:w="890" w:type="pct"/>
          </w:tcPr>
          <w:p w14:paraId="74F72F63"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0.052 ± 0.042</w:t>
            </w:r>
          </w:p>
        </w:tc>
        <w:tc>
          <w:tcPr>
            <w:tcW w:w="809" w:type="pct"/>
          </w:tcPr>
          <w:p w14:paraId="49E1D2D7"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7.7 ± 0.78</w:t>
            </w:r>
          </w:p>
        </w:tc>
        <w:tc>
          <w:tcPr>
            <w:tcW w:w="868" w:type="pct"/>
          </w:tcPr>
          <w:p w14:paraId="77624EE7"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7.7 ± 0.78</w:t>
            </w:r>
          </w:p>
        </w:tc>
        <w:tc>
          <w:tcPr>
            <w:tcW w:w="821" w:type="pct"/>
          </w:tcPr>
          <w:p w14:paraId="1179FB17"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2.3 ± 0.42</w:t>
            </w:r>
          </w:p>
        </w:tc>
        <w:tc>
          <w:tcPr>
            <w:tcW w:w="366" w:type="pct"/>
          </w:tcPr>
          <w:p w14:paraId="0FA26EE9"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1</w:t>
            </w:r>
          </w:p>
        </w:tc>
      </w:tr>
      <w:tr w:rsidR="00AE4B03" w14:paraId="220B3807" w14:textId="77777777" w:rsidTr="001B688F">
        <w:tc>
          <w:tcPr>
            <w:tcW w:w="1247" w:type="pct"/>
          </w:tcPr>
          <w:p w14:paraId="508D5B10" w14:textId="77777777" w:rsidR="00AE4B03" w:rsidRPr="005B2C6D" w:rsidRDefault="00AE4B03" w:rsidP="001B688F">
            <w:pPr>
              <w:rPr>
                <w:rFonts w:ascii="Times New Roman" w:hAnsi="Times New Roman" w:cs="Times New Roman"/>
                <w:i/>
                <w:iCs/>
              </w:rPr>
            </w:pPr>
            <w:r w:rsidRPr="005B2C6D">
              <w:rPr>
                <w:rFonts w:ascii="Times New Roman" w:hAnsi="Times New Roman" w:cs="Times New Roman"/>
                <w:i/>
                <w:iCs/>
              </w:rPr>
              <w:t>Ecklonia radiata</w:t>
            </w:r>
          </w:p>
        </w:tc>
        <w:tc>
          <w:tcPr>
            <w:tcW w:w="890" w:type="pct"/>
          </w:tcPr>
          <w:p w14:paraId="59EB5252"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1.8 ± 0.29</w:t>
            </w:r>
          </w:p>
        </w:tc>
        <w:tc>
          <w:tcPr>
            <w:tcW w:w="809" w:type="pct"/>
          </w:tcPr>
          <w:p w14:paraId="33C20801"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11 ± 1.5</w:t>
            </w:r>
          </w:p>
        </w:tc>
        <w:tc>
          <w:tcPr>
            <w:tcW w:w="868" w:type="pct"/>
          </w:tcPr>
          <w:p w14:paraId="35B9DDA3"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9.1 ± 1.5</w:t>
            </w:r>
          </w:p>
        </w:tc>
        <w:tc>
          <w:tcPr>
            <w:tcW w:w="821" w:type="pct"/>
          </w:tcPr>
          <w:p w14:paraId="367896CC"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0.79 ± 0.092</w:t>
            </w:r>
          </w:p>
        </w:tc>
        <w:tc>
          <w:tcPr>
            <w:tcW w:w="366" w:type="pct"/>
          </w:tcPr>
          <w:p w14:paraId="4B3DEF1E"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1</w:t>
            </w:r>
          </w:p>
        </w:tc>
      </w:tr>
      <w:tr w:rsidR="00AE4B03" w14:paraId="50E4DE4C" w14:textId="77777777" w:rsidTr="001B688F">
        <w:tc>
          <w:tcPr>
            <w:tcW w:w="1247" w:type="pct"/>
          </w:tcPr>
          <w:p w14:paraId="23712E20" w14:textId="77777777" w:rsidR="00AE4B03" w:rsidRDefault="00AE4B03" w:rsidP="001B688F">
            <w:pPr>
              <w:rPr>
                <w:rFonts w:ascii="Times New Roman" w:hAnsi="Times New Roman" w:cs="Times New Roman"/>
              </w:rPr>
            </w:pPr>
            <w:r>
              <w:rPr>
                <w:rFonts w:ascii="Times New Roman" w:hAnsi="Times New Roman" w:cs="Times New Roman"/>
              </w:rPr>
              <w:t>Meta-analysis</w:t>
            </w:r>
          </w:p>
        </w:tc>
        <w:tc>
          <w:tcPr>
            <w:tcW w:w="890" w:type="pct"/>
          </w:tcPr>
          <w:p w14:paraId="48034356" w14:textId="77777777" w:rsidR="00AE4B03" w:rsidRPr="006F5B82" w:rsidRDefault="00AE4B03" w:rsidP="001B688F">
            <w:pPr>
              <w:rPr>
                <w:rFonts w:ascii="Times New Roman" w:hAnsi="Times New Roman" w:cs="Times New Roman"/>
              </w:rPr>
            </w:pPr>
            <w:r w:rsidRPr="006F5B82">
              <w:rPr>
                <w:rFonts w:ascii="Times New Roman" w:hAnsi="Times New Roman" w:cs="Times New Roman"/>
              </w:rPr>
              <w:t>13 ± 108 (2)</w:t>
            </w:r>
          </w:p>
        </w:tc>
        <w:tc>
          <w:tcPr>
            <w:tcW w:w="809" w:type="pct"/>
          </w:tcPr>
          <w:p w14:paraId="403B1F8C" w14:textId="77777777" w:rsidR="00AE4B03" w:rsidRPr="006F5B82" w:rsidRDefault="00AE4B03" w:rsidP="001B688F">
            <w:pPr>
              <w:rPr>
                <w:rFonts w:ascii="Times New Roman" w:hAnsi="Times New Roman" w:cs="Times New Roman"/>
              </w:rPr>
            </w:pPr>
            <w:r w:rsidRPr="006F5B82">
              <w:rPr>
                <w:rFonts w:ascii="Times New Roman" w:hAnsi="Times New Roman" w:cs="Times New Roman"/>
              </w:rPr>
              <w:t>24 ± 33 (17)</w:t>
            </w:r>
          </w:p>
        </w:tc>
        <w:tc>
          <w:tcPr>
            <w:tcW w:w="868" w:type="pct"/>
          </w:tcPr>
          <w:p w14:paraId="37360784" w14:textId="77777777" w:rsidR="00AE4B03" w:rsidRPr="006F5B82" w:rsidRDefault="00AE4B03" w:rsidP="001B688F">
            <w:pPr>
              <w:rPr>
                <w:rFonts w:ascii="Times New Roman" w:hAnsi="Times New Roman" w:cs="Times New Roman"/>
              </w:rPr>
            </w:pPr>
            <w:r w:rsidRPr="006F5B82">
              <w:rPr>
                <w:rFonts w:ascii="Times New Roman" w:hAnsi="Times New Roman" w:cs="Times New Roman"/>
              </w:rPr>
              <w:t>11 ± 112 (12)</w:t>
            </w:r>
          </w:p>
        </w:tc>
        <w:tc>
          <w:tcPr>
            <w:tcW w:w="821" w:type="pct"/>
          </w:tcPr>
          <w:p w14:paraId="2ECB1BA3" w14:textId="77777777" w:rsidR="00AE4B03" w:rsidRPr="006F5B82" w:rsidRDefault="00AE4B03" w:rsidP="001B688F">
            <w:pPr>
              <w:rPr>
                <w:rFonts w:ascii="Times New Roman" w:hAnsi="Times New Roman" w:cs="Times New Roman"/>
              </w:rPr>
            </w:pPr>
            <w:r w:rsidRPr="006F5B82">
              <w:rPr>
                <w:rFonts w:ascii="Times New Roman" w:hAnsi="Times New Roman" w:cs="Times New Roman"/>
              </w:rPr>
              <w:t>0.91 ± 0.87</w:t>
            </w:r>
          </w:p>
        </w:tc>
        <w:tc>
          <w:tcPr>
            <w:tcW w:w="366" w:type="pct"/>
          </w:tcPr>
          <w:p w14:paraId="40EFF709" w14:textId="77777777" w:rsidR="00AE4B03" w:rsidRPr="006F5B82" w:rsidRDefault="00AE4B03" w:rsidP="001B688F">
            <w:pPr>
              <w:rPr>
                <w:rFonts w:ascii="Times New Roman" w:hAnsi="Times New Roman" w:cs="Times New Roman"/>
              </w:rPr>
            </w:pPr>
            <w:r w:rsidRPr="006F5B82">
              <w:rPr>
                <w:rFonts w:ascii="Times New Roman" w:hAnsi="Times New Roman" w:cs="Times New Roman"/>
              </w:rPr>
              <w:t>0.86</w:t>
            </w:r>
          </w:p>
        </w:tc>
      </w:tr>
      <w:tr w:rsidR="00AE4B03" w14:paraId="2C38E5EE" w14:textId="77777777" w:rsidTr="001B688F">
        <w:tc>
          <w:tcPr>
            <w:tcW w:w="5000" w:type="pct"/>
            <w:gridSpan w:val="6"/>
          </w:tcPr>
          <w:p w14:paraId="7730F521" w14:textId="77777777" w:rsidR="00AE4B03" w:rsidRDefault="00AE4B03" w:rsidP="001B688F">
            <w:pPr>
              <w:rPr>
                <w:rFonts w:ascii="Times New Roman" w:hAnsi="Times New Roman" w:cs="Times New Roman"/>
              </w:rPr>
            </w:pPr>
            <w:r w:rsidRPr="005B2C6D">
              <w:rPr>
                <w:rFonts w:ascii="Times New Roman" w:hAnsi="Times New Roman" w:cs="Times New Roman"/>
                <w:b/>
                <w:bCs/>
              </w:rPr>
              <w:t>Seagrass</w:t>
            </w:r>
          </w:p>
        </w:tc>
      </w:tr>
      <w:tr w:rsidR="00AE4B03" w14:paraId="0F7B3059" w14:textId="77777777" w:rsidTr="001B688F">
        <w:tc>
          <w:tcPr>
            <w:tcW w:w="1247" w:type="pct"/>
            <w:tcBorders>
              <w:bottom w:val="single" w:sz="4" w:space="0" w:color="auto"/>
            </w:tcBorders>
          </w:tcPr>
          <w:p w14:paraId="1DD9A784" w14:textId="77777777" w:rsidR="00AE4B03" w:rsidRPr="005B2C6D" w:rsidRDefault="00AE4B03" w:rsidP="001B688F">
            <w:pPr>
              <w:rPr>
                <w:rFonts w:ascii="Times New Roman" w:hAnsi="Times New Roman" w:cs="Times New Roman"/>
                <w:i/>
                <w:iCs/>
              </w:rPr>
            </w:pPr>
            <w:r w:rsidRPr="005B2C6D">
              <w:rPr>
                <w:rFonts w:ascii="Times New Roman" w:hAnsi="Times New Roman" w:cs="Times New Roman"/>
                <w:i/>
                <w:iCs/>
              </w:rPr>
              <w:t>Amphibolis griffithii</w:t>
            </w:r>
          </w:p>
        </w:tc>
        <w:tc>
          <w:tcPr>
            <w:tcW w:w="890" w:type="pct"/>
            <w:tcBorders>
              <w:bottom w:val="single" w:sz="4" w:space="0" w:color="auto"/>
            </w:tcBorders>
          </w:tcPr>
          <w:p w14:paraId="41FC3471"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0.98 ± 0.082</w:t>
            </w:r>
          </w:p>
        </w:tc>
        <w:tc>
          <w:tcPr>
            <w:tcW w:w="809" w:type="pct"/>
            <w:tcBorders>
              <w:bottom w:val="single" w:sz="4" w:space="0" w:color="auto"/>
            </w:tcBorders>
          </w:tcPr>
          <w:p w14:paraId="0374A374"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1.5 ± 0.14</w:t>
            </w:r>
          </w:p>
        </w:tc>
        <w:tc>
          <w:tcPr>
            <w:tcW w:w="868" w:type="pct"/>
            <w:tcBorders>
              <w:bottom w:val="single" w:sz="4" w:space="0" w:color="auto"/>
            </w:tcBorders>
          </w:tcPr>
          <w:p w14:paraId="2CAF48CC"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0.52 ± 0.16</w:t>
            </w:r>
          </w:p>
        </w:tc>
        <w:tc>
          <w:tcPr>
            <w:tcW w:w="821" w:type="pct"/>
            <w:tcBorders>
              <w:bottom w:val="single" w:sz="4" w:space="0" w:color="auto"/>
            </w:tcBorders>
          </w:tcPr>
          <w:p w14:paraId="5B8881AA"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0.19 ± 0.054</w:t>
            </w:r>
          </w:p>
        </w:tc>
        <w:tc>
          <w:tcPr>
            <w:tcW w:w="366" w:type="pct"/>
            <w:tcBorders>
              <w:bottom w:val="single" w:sz="4" w:space="0" w:color="auto"/>
            </w:tcBorders>
          </w:tcPr>
          <w:p w14:paraId="1EE34282" w14:textId="77777777" w:rsidR="00AE4B03" w:rsidRPr="008C5F6D" w:rsidRDefault="00AE4B03" w:rsidP="001B688F">
            <w:pPr>
              <w:rPr>
                <w:rFonts w:ascii="Times New Roman" w:hAnsi="Times New Roman" w:cs="Times New Roman"/>
              </w:rPr>
            </w:pPr>
            <w:r w:rsidRPr="008C5F6D">
              <w:rPr>
                <w:rFonts w:ascii="Times New Roman" w:hAnsi="Times New Roman" w:cs="Times New Roman"/>
              </w:rPr>
              <w:t>1</w:t>
            </w:r>
          </w:p>
        </w:tc>
      </w:tr>
    </w:tbl>
    <w:p w14:paraId="03FA85E0" w14:textId="77777777" w:rsidR="00AE4B03" w:rsidRDefault="00AE4B03" w:rsidP="00AE4B03">
      <w:pPr>
        <w:rPr>
          <w:rFonts w:ascii="Times New Roman" w:hAnsi="Times New Roman" w:cs="Times New Roman"/>
        </w:rPr>
      </w:pPr>
    </w:p>
    <w:p w14:paraId="3CEE970D" w14:textId="77777777" w:rsidR="00AE4B03" w:rsidRDefault="00AE4B03" w:rsidP="00AE4B03">
      <w:pPr>
        <w:rPr>
          <w:rFonts w:ascii="Times New Roman" w:hAnsi="Times New Roman" w:cs="Times New Roman"/>
        </w:rPr>
      </w:pPr>
      <w:r>
        <w:rPr>
          <w:rFonts w:ascii="Times New Roman" w:hAnsi="Times New Roman" w:cs="Times New Roman"/>
        </w:rPr>
        <w:t xml:space="preserve">We found that physiology determines the decomposition trajectory of kelps. According to the macroalgal decomposition model (Equation 2), live detritus of </w:t>
      </w:r>
      <w:r w:rsidRPr="00923D9A">
        <w:rPr>
          <w:rFonts w:ascii="Times New Roman" w:hAnsi="Times New Roman" w:cs="Times New Roman"/>
          <w:i/>
          <w:iCs/>
        </w:rPr>
        <w:t>L. digitata</w:t>
      </w:r>
      <w:r>
        <w:rPr>
          <w:rFonts w:ascii="Times New Roman" w:hAnsi="Times New Roman" w:cs="Times New Roman"/>
        </w:rPr>
        <w:t xml:space="preserve"> initially grew </w:t>
      </w:r>
      <w:r w:rsidRPr="004209C9">
        <w:rPr>
          <w:rFonts w:ascii="Times New Roman" w:hAnsi="Times New Roman" w:cs="Times New Roman"/>
        </w:rPr>
        <w:t xml:space="preserve">at </w:t>
      </w:r>
      <w:r>
        <w:rPr>
          <w:rFonts w:ascii="Times New Roman" w:hAnsi="Times New Roman" w:cs="Times New Roman"/>
        </w:rPr>
        <w:t xml:space="preserve">an exponential rate of </w:t>
      </w:r>
      <w:r w:rsidRPr="004209C9">
        <w:rPr>
          <w:rFonts w:ascii="Times New Roman" w:hAnsi="Times New Roman" w:cs="Times New Roman"/>
        </w:rPr>
        <w:t xml:space="preserve">0.38 ± 0.17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w:t>
      </w:r>
      <w:r w:rsidRPr="002F5882">
        <w:rPr>
          <w:rFonts w:ascii="Times New Roman" w:hAnsi="Times New Roman" w:cs="Times New Roman"/>
          <w:vertAlign w:val="subscript"/>
        </w:rPr>
        <w:t>&gt;</w:t>
      </w:r>
      <w:r>
        <w:rPr>
          <w:rFonts w:ascii="Times New Roman" w:hAnsi="Times New Roman" w:cs="Times New Roman"/>
          <w:vertAlign w:val="subscript"/>
        </w:rPr>
        <w:t xml:space="preserve"> </w:t>
      </w:r>
      <w:r w:rsidRPr="002F5882">
        <w:rPr>
          <w:rFonts w:ascii="Times New Roman" w:hAnsi="Times New Roman" w:cs="Times New Roman"/>
          <w:vertAlign w:val="subscript"/>
        </w:rPr>
        <w:t>0</w:t>
      </w:r>
      <w:r>
        <w:rPr>
          <w:rFonts w:ascii="Times New Roman" w:hAnsi="Times New Roman" w:cs="Times New Roman"/>
        </w:rPr>
        <w:t xml:space="preserve"> = 0.99) with the effect of detrital photosynthesis lasting </w:t>
      </w:r>
      <w:r w:rsidRPr="002C06D3">
        <w:rPr>
          <w:rFonts w:ascii="Times New Roman" w:hAnsi="Times New Roman" w:cs="Times New Roman"/>
        </w:rPr>
        <w:t xml:space="preserve">for </w:t>
      </w:r>
      <w:r>
        <w:rPr>
          <w:rFonts w:ascii="Times New Roman" w:hAnsi="Times New Roman" w:cs="Times New Roman"/>
        </w:rPr>
        <w:t xml:space="preserve">a predicted </w:t>
      </w:r>
      <w:r w:rsidRPr="002C06D3">
        <w:rPr>
          <w:rFonts w:ascii="Times New Roman" w:hAnsi="Times New Roman" w:cs="Times New Roman"/>
        </w:rPr>
        <w:t>96 ± 45 days</w:t>
      </w:r>
      <w:r>
        <w:rPr>
          <w:rFonts w:ascii="Times New Roman" w:hAnsi="Times New Roman" w:cs="Times New Roman"/>
        </w:rPr>
        <w:t xml:space="preserve">, beyond the 63-day duration of the experiment (Figure 2, Table S2). Untreated </w:t>
      </w:r>
      <w:r w:rsidRPr="001B600F">
        <w:rPr>
          <w:rFonts w:ascii="Times New Roman" w:hAnsi="Times New Roman" w:cs="Times New Roman"/>
          <w:i/>
          <w:iCs/>
        </w:rPr>
        <w:t>L. digitata</w:t>
      </w:r>
      <w:r>
        <w:rPr>
          <w:rFonts w:ascii="Times New Roman" w:hAnsi="Times New Roman" w:cs="Times New Roman"/>
        </w:rPr>
        <w:t xml:space="preserve"> therefore showed no sign of decomposition within the timeframe of the experiment. Live </w:t>
      </w:r>
      <w:r w:rsidRPr="001B600F">
        <w:rPr>
          <w:rFonts w:ascii="Times New Roman" w:hAnsi="Times New Roman" w:cs="Times New Roman"/>
          <w:i/>
          <w:iCs/>
        </w:rPr>
        <w:t>E. radiata</w:t>
      </w:r>
      <w:r>
        <w:rPr>
          <w:rFonts w:ascii="Times New Roman" w:hAnsi="Times New Roman" w:cs="Times New Roman"/>
        </w:rPr>
        <w:t xml:space="preserve"> detritus decayed from the start of the experiment (</w:t>
      </w:r>
      <w:r w:rsidRPr="000B4031">
        <w:rPr>
          <w:rFonts w:ascii="Times New Roman" w:hAnsi="Times New Roman" w:cs="Times New Roman"/>
          <w:i/>
          <w:iCs/>
        </w:rPr>
        <w:t>α</w:t>
      </w:r>
      <w:r>
        <w:rPr>
          <w:rFonts w:ascii="Times New Roman" w:hAnsi="Times New Roman" w:cs="Times New Roman"/>
        </w:rPr>
        <w:t xml:space="preserve"> = </w:t>
      </w:r>
      <w:r w:rsidRPr="000B4031">
        <w:rPr>
          <w:rFonts w:ascii="Times New Roman" w:hAnsi="Times New Roman" w:cs="Times New Roman"/>
          <w:color w:val="000000"/>
          <w:kern w:val="0"/>
        </w:rPr>
        <w:t>−</w:t>
      </w:r>
      <w:r w:rsidRPr="000B4031">
        <w:rPr>
          <w:rFonts w:ascii="Times New Roman" w:hAnsi="Times New Roman" w:cs="Times New Roman"/>
        </w:rPr>
        <w:t>1.9 ± 0.58</w:t>
      </w:r>
      <w:r w:rsidRPr="004209C9">
        <w:rPr>
          <w:rFonts w:ascii="Times New Roman" w:hAnsi="Times New Roman" w:cs="Times New Roman"/>
        </w:rPr>
        <w:t xml:space="preserve">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&lt; </w:t>
      </w:r>
      <w:r w:rsidRPr="002F5882">
        <w:rPr>
          <w:rFonts w:ascii="Times New Roman" w:hAnsi="Times New Roman" w:cs="Times New Roman"/>
          <w:vertAlign w:val="subscript"/>
        </w:rPr>
        <w:t>0</w:t>
      </w:r>
      <w:r>
        <w:rPr>
          <w:rFonts w:ascii="Times New Roman" w:hAnsi="Times New Roman" w:cs="Times New Roman"/>
        </w:rPr>
        <w:t xml:space="preserve"> = 1) — potentially due to elevated ambient temperature (Figure S2) — but showed clear influence of detrital photosynthesis with retarded decomposition until</w:t>
      </w:r>
      <w:r w:rsidRPr="000B4031">
        <w:rPr>
          <w:rFonts w:ascii="Times New Roman" w:hAnsi="Times New Roman" w:cs="Times New Roman"/>
        </w:rPr>
        <w:t xml:space="preserve"> 80 ± 49 days</w:t>
      </w:r>
      <w:r>
        <w:rPr>
          <w:rFonts w:ascii="Times New Roman" w:hAnsi="Times New Roman" w:cs="Times New Roman"/>
        </w:rPr>
        <w:t xml:space="preserve"> (Figure 2, Table S2)</w:t>
      </w:r>
      <w:r w:rsidRPr="000B4031">
        <w:rPr>
          <w:rFonts w:ascii="Times New Roman" w:hAnsi="Times New Roman" w:cs="Times New Roman"/>
        </w:rPr>
        <w:t>.</w:t>
      </w:r>
      <w:r>
        <w:rPr>
          <w:rFonts w:ascii="Times New Roman" w:hAnsi="Times New Roman" w:cs="Times New Roman"/>
        </w:rPr>
        <w:t xml:space="preserve"> In contrast, dead detritus of both kelps converged on fairly constant exponential decay throughout the experiment (Figure 2, Table S2). The contrast becomes clearest when comparing exponential decay constants of the naïve </w:t>
      </w:r>
      <w:r w:rsidRPr="00EE7AA9">
        <w:rPr>
          <w:rFonts w:ascii="Times New Roman" w:hAnsi="Times New Roman" w:cs="Times New Roman"/>
          <w:lang w:bidi="he-IL"/>
        </w:rPr>
        <w:t>model</w:t>
      </w:r>
      <w:r>
        <w:t>{Olson, 1963, #2327}</w:t>
      </w:r>
      <w:r>
        <w:rPr>
          <w:rFonts w:ascii="Times New Roman" w:hAnsi="Times New Roman" w:cs="Times New Roman"/>
        </w:rPr>
        <w:t xml:space="preserve"> (</w:t>
      </w:r>
      <w:r w:rsidRPr="00006FDE">
        <w:rPr>
          <w:rFonts w:ascii="Times New Roman" w:hAnsi="Times New Roman" w:cs="Times New Roman"/>
          <w:i/>
          <w:iCs/>
        </w:rPr>
        <w:t>k</w:t>
      </w:r>
      <w:r>
        <w:rPr>
          <w:rFonts w:ascii="Times New Roman" w:hAnsi="Times New Roman" w:cs="Times New Roman"/>
        </w:rPr>
        <w:t xml:space="preserve"> in Equation 3): </w:t>
      </w:r>
      <w:r w:rsidRPr="008F0EA2">
        <w:rPr>
          <w:rFonts w:ascii="Times New Roman" w:hAnsi="Times New Roman" w:cs="Times New Roman"/>
          <w:i/>
          <w:iCs/>
        </w:rPr>
        <w:t>k</w:t>
      </w:r>
      <w:r>
        <w:rPr>
          <w:rFonts w:ascii="Times New Roman" w:hAnsi="Times New Roman" w:cs="Times New Roman"/>
        </w:rPr>
        <w:t xml:space="preserve"> is over two orders of magnitude greater for dead than live </w:t>
      </w:r>
      <w:r w:rsidRPr="008E6CB3">
        <w:rPr>
          <w:rFonts w:ascii="Times New Roman" w:hAnsi="Times New Roman" w:cs="Times New Roman"/>
          <w:i/>
          <w:iCs/>
        </w:rPr>
        <w:t>L. digitata</w:t>
      </w:r>
      <w:r>
        <w:rPr>
          <w:rFonts w:ascii="Times New Roman" w:hAnsi="Times New Roman" w:cs="Times New Roman"/>
        </w:rPr>
        <w:t xml:space="preserve"> detritus and almost one order of magnitude greater for dead than live </w:t>
      </w:r>
      <w:r w:rsidRPr="008E6CB3">
        <w:rPr>
          <w:rFonts w:ascii="Times New Roman" w:hAnsi="Times New Roman" w:cs="Times New Roman"/>
          <w:i/>
          <w:iCs/>
        </w:rPr>
        <w:t>E. radiata</w:t>
      </w:r>
      <w:r>
        <w:rPr>
          <w:rFonts w:ascii="Times New Roman" w:hAnsi="Times New Roman" w:cs="Times New Roman"/>
        </w:rPr>
        <w:t xml:space="preserve"> detritus (Figure 2, Table 1). The effect is similar for </w:t>
      </w:r>
      <w:r w:rsidRPr="00271906">
        <w:rPr>
          <w:rFonts w:ascii="Times New Roman" w:hAnsi="Times New Roman" w:cs="Times New Roman"/>
          <w:i/>
          <w:iCs/>
        </w:rPr>
        <w:t xml:space="preserve">E. </w:t>
      </w:r>
      <w:r>
        <w:rPr>
          <w:rFonts w:ascii="Times New Roman" w:hAnsi="Times New Roman" w:cs="Times New Roman"/>
          <w:i/>
          <w:iCs/>
        </w:rPr>
        <w:t>radiata</w:t>
      </w:r>
      <w:r>
        <w:rPr>
          <w:rFonts w:ascii="Times New Roman" w:hAnsi="Times New Roman" w:cs="Times New Roman"/>
        </w:rPr>
        <w:t xml:space="preserve"> estimates based on fresh mass (Figure S3, Table S2, S3), providing justification for comparability in the meta-analysis. No such marked effect is apparent for the seagrass </w:t>
      </w:r>
      <w:r w:rsidRPr="00305350">
        <w:rPr>
          <w:rFonts w:ascii="Times New Roman" w:hAnsi="Times New Roman" w:cs="Times New Roman"/>
          <w:i/>
          <w:iCs/>
        </w:rPr>
        <w:t>A. griffithii</w:t>
      </w:r>
      <w:r>
        <w:rPr>
          <w:rFonts w:ascii="Times New Roman" w:hAnsi="Times New Roman" w:cs="Times New Roman"/>
        </w:rPr>
        <w:t xml:space="preserve"> (Figure 2, Table 1) and the effect is hardly detectable for estimates based on fresh </w:t>
      </w:r>
      <w:r>
        <w:rPr>
          <w:rFonts w:ascii="Times New Roman" w:hAnsi="Times New Roman" w:cs="Times New Roman"/>
        </w:rPr>
        <w:lastRenderedPageBreak/>
        <w:t>mass (Figure S3, Table S2, S3). Since seagrasses display detrital photosynthesis to a lesser extent, this suggests that the observed effect is indeed due to detrital photosynthesis and not some other unintended consequence of the treatment procedure.</w:t>
      </w:r>
    </w:p>
    <w:p w14:paraId="28259BCD" w14:textId="77777777" w:rsidR="00AE4B03" w:rsidRDefault="00AE4B03" w:rsidP="00AE4B03">
      <w:pPr>
        <w:rPr>
          <w:rFonts w:ascii="Times New Roman" w:hAnsi="Times New Roman" w:cs="Times New Roman"/>
        </w:rPr>
      </w:pPr>
    </w:p>
    <w:p w14:paraId="45D6C54A" w14:textId="4EAC7FB9" w:rsidR="00AE4B03" w:rsidRPr="00C72330" w:rsidRDefault="00AE4B03" w:rsidP="00AE4B03">
      <w:pPr>
        <w:rPr>
          <w:rFonts w:ascii="Times New Roman" w:hAnsi="Times New Roman" w:cs="Times New Roman"/>
        </w:rPr>
      </w:pPr>
      <w:r w:rsidRPr="00046576">
        <w:rPr>
          <w:rFonts w:ascii="Times New Roman" w:hAnsi="Times New Roman" w:cs="Times New Roman"/>
          <w:noProof/>
        </w:rPr>
        <w:drawing>
          <wp:inline distT="0" distB="0" distL="0" distR="0" wp14:anchorId="7635F565" wp14:editId="1CFA7022">
            <wp:extent cx="5681980" cy="4264660"/>
            <wp:effectExtent l="0" t="0" r="0" b="2540"/>
            <wp:docPr id="1508909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1980" cy="4264660"/>
                    </a:xfrm>
                    <a:prstGeom prst="rect">
                      <a:avLst/>
                    </a:prstGeom>
                    <a:noFill/>
                    <a:ln>
                      <a:noFill/>
                    </a:ln>
                  </pic:spPr>
                </pic:pic>
              </a:graphicData>
            </a:graphic>
          </wp:inline>
        </w:drawing>
      </w:r>
    </w:p>
    <w:p w14:paraId="5B5B7C1A" w14:textId="77777777" w:rsidR="00AE4B03" w:rsidRPr="008A7897" w:rsidRDefault="00AE4B03" w:rsidP="00AE4B03">
      <w:pPr>
        <w:rPr>
          <w:rFonts w:ascii="Times New Roman" w:hAnsi="Times New Roman" w:cs="Times New Roman"/>
        </w:rPr>
      </w:pPr>
      <w:r w:rsidRPr="00C72330">
        <w:rPr>
          <w:rFonts w:ascii="Times New Roman" w:hAnsi="Times New Roman" w:cs="Times New Roman"/>
          <w:b/>
          <w:bCs/>
        </w:rPr>
        <w:t>Figure 2</w:t>
      </w:r>
      <w:r>
        <w:rPr>
          <w:rFonts w:ascii="Times New Roman" w:hAnsi="Times New Roman" w:cs="Times New Roman"/>
        </w:rPr>
        <w:t>. Decomposition of kelp (</w:t>
      </w:r>
      <w:r w:rsidRPr="00A92C2C">
        <w:rPr>
          <w:rFonts w:ascii="Times New Roman" w:hAnsi="Times New Roman" w:cs="Times New Roman"/>
          <w:i/>
          <w:iCs/>
        </w:rPr>
        <w:t>Laminaria digitata</w:t>
      </w:r>
      <w:r>
        <w:rPr>
          <w:rFonts w:ascii="Times New Roman" w:hAnsi="Times New Roman" w:cs="Times New Roman"/>
        </w:rPr>
        <w:t xml:space="preserve"> and </w:t>
      </w:r>
      <w:r w:rsidRPr="00A92C2C">
        <w:rPr>
          <w:rFonts w:ascii="Times New Roman" w:hAnsi="Times New Roman" w:cs="Times New Roman"/>
          <w:i/>
          <w:iCs/>
        </w:rPr>
        <w:t>Ecklonia radiata</w:t>
      </w:r>
      <w:r>
        <w:rPr>
          <w:rFonts w:ascii="Times New Roman" w:hAnsi="Times New Roman" w:cs="Times New Roman"/>
        </w:rPr>
        <w:t>) is determined by physiology, unlike decomposition of seagrass (</w:t>
      </w:r>
      <w:r w:rsidRPr="00A92C2C">
        <w:rPr>
          <w:rFonts w:ascii="Times New Roman" w:hAnsi="Times New Roman" w:cs="Times New Roman"/>
          <w:i/>
          <w:iCs/>
        </w:rPr>
        <w:t>Amphibolis griffithii</w:t>
      </w:r>
      <w:r>
        <w:rPr>
          <w:rFonts w:ascii="Times New Roman" w:hAnsi="Times New Roman" w:cs="Times New Roman"/>
        </w:rPr>
        <w:t xml:space="preserve">). Detrital mass is given as fresh mass for </w:t>
      </w:r>
      <w:r w:rsidRPr="00A92C2C">
        <w:rPr>
          <w:rFonts w:ascii="Times New Roman" w:hAnsi="Times New Roman" w:cs="Times New Roman"/>
          <w:i/>
          <w:iCs/>
        </w:rPr>
        <w:t>L. digitata</w:t>
      </w:r>
      <w:r>
        <w:rPr>
          <w:rFonts w:ascii="Times New Roman" w:hAnsi="Times New Roman" w:cs="Times New Roman"/>
        </w:rPr>
        <w:t xml:space="preserve"> and dry mass for the other species (cf. Figure S3). Each data point is a destructively sampled litterbag (n = 86 for </w:t>
      </w:r>
      <w:r w:rsidRPr="00693FFF">
        <w:rPr>
          <w:rFonts w:ascii="Times New Roman" w:hAnsi="Times New Roman" w:cs="Times New Roman"/>
          <w:i/>
          <w:iCs/>
        </w:rPr>
        <w:t>L. digitata</w:t>
      </w:r>
      <w:r>
        <w:rPr>
          <w:rFonts w:ascii="Times New Roman" w:hAnsi="Times New Roman" w:cs="Times New Roman"/>
        </w:rPr>
        <w:t xml:space="preserve">, n = 54 for </w:t>
      </w:r>
      <w:r w:rsidRPr="00693FFF">
        <w:rPr>
          <w:rFonts w:ascii="Times New Roman" w:hAnsi="Times New Roman" w:cs="Times New Roman"/>
          <w:i/>
          <w:iCs/>
        </w:rPr>
        <w:t>E. radiata</w:t>
      </w:r>
      <w:r>
        <w:rPr>
          <w:rFonts w:ascii="Times New Roman" w:hAnsi="Times New Roman" w:cs="Times New Roman"/>
        </w:rPr>
        <w:t xml:space="preserve">, n = 27 for </w:t>
      </w:r>
      <w:r w:rsidRPr="00693FFF">
        <w:rPr>
          <w:rFonts w:ascii="Times New Roman" w:hAnsi="Times New Roman" w:cs="Times New Roman"/>
          <w:i/>
          <w:iCs/>
        </w:rPr>
        <w:t>A. griffithii</w:t>
      </w:r>
      <w:r>
        <w:rPr>
          <w:rFonts w:ascii="Times New Roman" w:hAnsi="Times New Roman" w:cs="Times New Roman"/>
        </w:rPr>
        <w:t>). Error bars show the measurement error introduced by converting fresh to dry mass as 99% posterior probability intervals, which was incorporated into the modelled uncertainty. Lines and ribbons are the median and 50%, 80% and 90% posterior probability intervals for the likelihood mean or expected value of the optimal model (</w:t>
      </w:r>
      <w:r w:rsidRPr="00F05794">
        <w:rPr>
          <w:rFonts w:ascii="Times New Roman" w:hAnsi="Times New Roman" w:cs="Times New Roman"/>
          <w:i/>
          <w:iCs/>
        </w:rPr>
        <w:t>μ</w:t>
      </w:r>
      <w:r w:rsidRPr="00F05794">
        <w:rPr>
          <w:rFonts w:ascii="Times New Roman" w:hAnsi="Times New Roman" w:cs="Times New Roman"/>
          <w:i/>
          <w:iCs/>
          <w:vertAlign w:val="subscript"/>
        </w:rPr>
        <w:t>m</w:t>
      </w:r>
      <w:r>
        <w:rPr>
          <w:rFonts w:ascii="Times New Roman" w:hAnsi="Times New Roman" w:cs="Times New Roman"/>
        </w:rPr>
        <w:t xml:space="preserve"> in Equation 2). The widest ribbon in the 90%</w:t>
      </w:r>
      <w:r w:rsidRPr="00FF139C">
        <w:rPr>
          <w:rFonts w:ascii="Times New Roman" w:hAnsi="Times New Roman" w:cs="Times New Roman"/>
        </w:rPr>
        <w:t xml:space="preserve"> </w:t>
      </w:r>
      <w:r>
        <w:rPr>
          <w:rFonts w:ascii="Times New Roman" w:hAnsi="Times New Roman" w:cs="Times New Roman"/>
        </w:rPr>
        <w:t>probability interval for predicted observations (</w:t>
      </w:r>
      <w:r>
        <w:rPr>
          <w:rFonts w:ascii="Times New Roman" w:hAnsi="Times New Roman" w:cs="Times New Roman"/>
          <w:i/>
          <w:iCs/>
        </w:rPr>
        <w:t xml:space="preserve">m </w:t>
      </w:r>
      <w:r>
        <w:rPr>
          <w:rFonts w:ascii="Times New Roman" w:hAnsi="Times New Roman" w:cs="Times New Roman"/>
        </w:rPr>
        <w:t>in Equation 2). Distributions are posterior probabilities for the naïve exponential decay constant (</w:t>
      </w:r>
      <w:r w:rsidRPr="009965F7">
        <w:rPr>
          <w:rFonts w:ascii="Times New Roman" w:hAnsi="Times New Roman" w:cs="Times New Roman"/>
          <w:i/>
          <w:iCs/>
        </w:rPr>
        <w:t>k</w:t>
      </w:r>
      <w:r>
        <w:rPr>
          <w:rFonts w:ascii="Times New Roman" w:hAnsi="Times New Roman" w:cs="Times New Roman"/>
        </w:rPr>
        <w:t xml:space="preserve"> in Equation 3) and their ratios (ratio = 1 means estimates are the same). Summary statistics for these distributions are given in Table 1.</w:t>
      </w:r>
    </w:p>
    <w:p w14:paraId="5FB4D194" w14:textId="77777777" w:rsidR="00AE4B03" w:rsidRDefault="00AE4B03" w:rsidP="00AE4B03">
      <w:pPr>
        <w:rPr>
          <w:rFonts w:ascii="Times New Roman" w:hAnsi="Times New Roman" w:cs="Times New Roman"/>
          <w:b/>
          <w:bCs/>
        </w:rPr>
      </w:pPr>
    </w:p>
    <w:p w14:paraId="36D8F654" w14:textId="77777777" w:rsidR="00AE4B03" w:rsidRPr="00802AE9" w:rsidRDefault="00AE4B03" w:rsidP="00AE4B03">
      <w:pPr>
        <w:rPr>
          <w:rFonts w:ascii="Times New Roman" w:hAnsi="Times New Roman" w:cs="Times New Roman"/>
        </w:rPr>
      </w:pPr>
      <w:r>
        <w:rPr>
          <w:rFonts w:ascii="Times New Roman" w:hAnsi="Times New Roman" w:cs="Times New Roman"/>
        </w:rPr>
        <w:t>T</w:t>
      </w:r>
      <w:r w:rsidRPr="00934242">
        <w:rPr>
          <w:rFonts w:ascii="Times New Roman" w:hAnsi="Times New Roman" w:cs="Times New Roman"/>
        </w:rPr>
        <w:t xml:space="preserve">he </w:t>
      </w:r>
      <w:r>
        <w:rPr>
          <w:rFonts w:ascii="Times New Roman" w:hAnsi="Times New Roman" w:cs="Times New Roman"/>
        </w:rPr>
        <w:t xml:space="preserve">experimental </w:t>
      </w:r>
      <w:r w:rsidRPr="00934242">
        <w:rPr>
          <w:rFonts w:ascii="Times New Roman" w:hAnsi="Times New Roman" w:cs="Times New Roman"/>
        </w:rPr>
        <w:t xml:space="preserve">effect </w:t>
      </w:r>
      <w:r>
        <w:rPr>
          <w:rFonts w:ascii="Times New Roman" w:hAnsi="Times New Roman" w:cs="Times New Roman"/>
        </w:rPr>
        <w:t>of physiology is generally applicable</w:t>
      </w:r>
      <w:r w:rsidRPr="00934242">
        <w:rPr>
          <w:rFonts w:ascii="Times New Roman" w:hAnsi="Times New Roman" w:cs="Times New Roman"/>
        </w:rPr>
        <w:t xml:space="preserve"> </w:t>
      </w:r>
      <w:r>
        <w:rPr>
          <w:rFonts w:ascii="Times New Roman" w:hAnsi="Times New Roman" w:cs="Times New Roman"/>
        </w:rPr>
        <w:t>to</w:t>
      </w:r>
      <w:r w:rsidRPr="00934242">
        <w:rPr>
          <w:rFonts w:ascii="Times New Roman" w:hAnsi="Times New Roman" w:cs="Times New Roman"/>
        </w:rPr>
        <w:t xml:space="preserve"> </w:t>
      </w:r>
      <w:r>
        <w:rPr>
          <w:rFonts w:ascii="Times New Roman" w:hAnsi="Times New Roman" w:cs="Times New Roman"/>
        </w:rPr>
        <w:t>kelps. According to our meta-analysis, dead kelp detritus decomposes almost exactly an order of magnitude (log</w:t>
      </w:r>
      <w:r w:rsidRPr="00CD58DF">
        <w:rPr>
          <w:rFonts w:ascii="Times New Roman" w:hAnsi="Times New Roman" w:cs="Times New Roman"/>
          <w:vertAlign w:val="subscript"/>
        </w:rPr>
        <w:t>10</w:t>
      </w:r>
      <w:r>
        <w:rPr>
          <w:rFonts w:ascii="Times New Roman" w:hAnsi="Times New Roman" w:cs="Times New Roman"/>
        </w:rPr>
        <w:t xml:space="preserve"> ratio mode = 0.98) faster than live detritus (Figure 3, Table 1). We are reasonably certain about this effect since there is an 86% chance that a new experiment on any kelp species will find dead decomposition to be faster than live decomposition (Figure 3, Table 1). The grand medians of </w:t>
      </w:r>
      <w:r w:rsidRPr="002875F6">
        <w:rPr>
          <w:rFonts w:ascii="Times New Roman" w:hAnsi="Times New Roman" w:cs="Times New Roman"/>
          <w:i/>
          <w:iCs/>
        </w:rPr>
        <w:t>k</w:t>
      </w:r>
      <w:r>
        <w:rPr>
          <w:rFonts w:ascii="Times New Roman" w:hAnsi="Times New Roman" w:cs="Times New Roman"/>
        </w:rPr>
        <w:t xml:space="preserve"> are 2 % and 17 %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for live and dead kelp (Table 1). The former being very close to the 1.5 %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median prediction based on turnover (Figure 1) suggests that estimates based on turnover are more representative of live detritus. Perhaps more importantly, variation is considerably greater for live than dead decomposition trajectories </w:t>
      </w:r>
      <w:r>
        <w:rPr>
          <w:rFonts w:ascii="Times New Roman" w:hAnsi="Times New Roman" w:cs="Times New Roman"/>
        </w:rPr>
        <w:lastRenderedPageBreak/>
        <w:t>(Figure 3, Table S4, S5). Decomposition trajectories for individual experiments on live detritus ranged from rapid initial growth (</w:t>
      </w:r>
      <w:r w:rsidRPr="000B4031">
        <w:rPr>
          <w:rFonts w:ascii="Times New Roman" w:hAnsi="Times New Roman" w:cs="Times New Roman"/>
          <w:i/>
          <w:iCs/>
        </w:rPr>
        <w:t>α</w:t>
      </w:r>
      <w:r>
        <w:rPr>
          <w:rFonts w:ascii="Times New Roman" w:hAnsi="Times New Roman" w:cs="Times New Roman"/>
        </w:rPr>
        <w:t xml:space="preserve"> = 4.6 ± 1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w:t>
      </w:r>
      <w:r w:rsidRPr="002F5882">
        <w:rPr>
          <w:rFonts w:ascii="Times New Roman" w:hAnsi="Times New Roman" w:cs="Times New Roman"/>
          <w:vertAlign w:val="subscript"/>
        </w:rPr>
        <w:t>&gt;</w:t>
      </w:r>
      <w:r>
        <w:rPr>
          <w:rFonts w:ascii="Times New Roman" w:hAnsi="Times New Roman" w:cs="Times New Roman"/>
          <w:vertAlign w:val="subscript"/>
        </w:rPr>
        <w:t xml:space="preserve"> </w:t>
      </w:r>
      <w:r w:rsidRPr="002F5882">
        <w:rPr>
          <w:rFonts w:ascii="Times New Roman" w:hAnsi="Times New Roman" w:cs="Times New Roman"/>
          <w:vertAlign w:val="subscript"/>
        </w:rPr>
        <w:t>0</w:t>
      </w:r>
      <w:r>
        <w:rPr>
          <w:rFonts w:ascii="Times New Roman" w:hAnsi="Times New Roman" w:cs="Times New Roman"/>
        </w:rPr>
        <w:t xml:space="preserve"> = 1) for floating </w:t>
      </w:r>
      <w:r w:rsidRPr="00527BA6">
        <w:rPr>
          <w:rFonts w:ascii="Times New Roman" w:hAnsi="Times New Roman" w:cs="Times New Roman"/>
          <w:i/>
          <w:iCs/>
        </w:rPr>
        <w:t>M</w:t>
      </w:r>
      <w:r>
        <w:rPr>
          <w:rFonts w:ascii="Times New Roman" w:hAnsi="Times New Roman" w:cs="Times New Roman"/>
          <w:i/>
          <w:iCs/>
        </w:rPr>
        <w:t>.</w:t>
      </w:r>
      <w:r w:rsidRPr="00527BA6">
        <w:rPr>
          <w:rFonts w:ascii="Times New Roman" w:hAnsi="Times New Roman" w:cs="Times New Roman"/>
          <w:i/>
          <w:iCs/>
        </w:rPr>
        <w:t xml:space="preserve"> pyrifera</w:t>
      </w:r>
      <w:r>
        <w:rPr>
          <w:rFonts w:ascii="Times New Roman" w:hAnsi="Times New Roman" w:cs="Times New Roman"/>
        </w:rPr>
        <w:t xml:space="preserve"> detritus in Chile to rapid initial decay (</w:t>
      </w:r>
      <w:r w:rsidRPr="000B4031">
        <w:rPr>
          <w:rFonts w:ascii="Times New Roman" w:hAnsi="Times New Roman" w:cs="Times New Roman"/>
          <w:i/>
          <w:iCs/>
        </w:rPr>
        <w:t>α</w:t>
      </w:r>
      <w:r>
        <w:rPr>
          <w:rFonts w:ascii="Times New Roman" w:hAnsi="Times New Roman" w:cs="Times New Roman"/>
        </w:rPr>
        <w:t xml:space="preserve"> = </w:t>
      </w:r>
      <w:r w:rsidRPr="000B4031">
        <w:rPr>
          <w:rFonts w:ascii="Times New Roman" w:hAnsi="Times New Roman" w:cs="Times New Roman"/>
          <w:color w:val="000000"/>
          <w:kern w:val="0"/>
        </w:rPr>
        <w:t>−</w:t>
      </w:r>
      <w:r>
        <w:rPr>
          <w:rFonts w:ascii="Times New Roman" w:hAnsi="Times New Roman" w:cs="Times New Roman"/>
        </w:rPr>
        <w:t xml:space="preserve">11 ± 1.5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w:t>
      </w:r>
      <w:r w:rsidRPr="002F5882">
        <w:rPr>
          <w:rFonts w:ascii="Times New Roman" w:hAnsi="Times New Roman" w:cs="Times New Roman"/>
          <w:i/>
          <w:iCs/>
        </w:rPr>
        <w:t>P</w:t>
      </w:r>
      <w:r w:rsidRPr="002F5882">
        <w:rPr>
          <w:rFonts w:ascii="Times New Roman" w:hAnsi="Times New Roman" w:cs="Times New Roman"/>
          <w:i/>
          <w:iCs/>
          <w:vertAlign w:val="subscript"/>
        </w:rPr>
        <w:t>α</w:t>
      </w:r>
      <w:r>
        <w:rPr>
          <w:rFonts w:ascii="Times New Roman" w:hAnsi="Times New Roman" w:cs="Times New Roman"/>
          <w:vertAlign w:val="subscript"/>
        </w:rPr>
        <w:t xml:space="preserve"> &lt; </w:t>
      </w:r>
      <w:r w:rsidRPr="002F5882">
        <w:rPr>
          <w:rFonts w:ascii="Times New Roman" w:hAnsi="Times New Roman" w:cs="Times New Roman"/>
          <w:vertAlign w:val="subscript"/>
        </w:rPr>
        <w:t>0</w:t>
      </w:r>
      <w:r>
        <w:rPr>
          <w:rFonts w:ascii="Times New Roman" w:hAnsi="Times New Roman" w:cs="Times New Roman"/>
        </w:rPr>
        <w:t xml:space="preserve"> = 1) for benthic </w:t>
      </w:r>
      <w:r w:rsidRPr="00CF4767">
        <w:rPr>
          <w:rFonts w:ascii="Times New Roman" w:hAnsi="Times New Roman" w:cs="Times New Roman"/>
          <w:i/>
          <w:iCs/>
        </w:rPr>
        <w:t>Costaria costata</w:t>
      </w:r>
      <w:r>
        <w:rPr>
          <w:rFonts w:ascii="Times New Roman" w:hAnsi="Times New Roman" w:cs="Times New Roman"/>
        </w:rPr>
        <w:t xml:space="preserve"> in Canada. Species-specific predictions for new experiments similarly range </w:t>
      </w:r>
      <w:r w:rsidRPr="00802AE9">
        <w:rPr>
          <w:rFonts w:ascii="Times New Roman" w:hAnsi="Times New Roman" w:cs="Times New Roman"/>
        </w:rPr>
        <w:t xml:space="preserve">from 0.68 ± 3.3 </w:t>
      </w:r>
      <w:r>
        <w:rPr>
          <w:rFonts w:ascii="Times New Roman" w:hAnsi="Times New Roman" w:cs="Times New Roman"/>
        </w:rPr>
        <w:t xml:space="preserve">for </w:t>
      </w:r>
      <w:r w:rsidRPr="00527BA6">
        <w:rPr>
          <w:rFonts w:ascii="Times New Roman" w:hAnsi="Times New Roman" w:cs="Times New Roman"/>
          <w:i/>
          <w:iCs/>
        </w:rPr>
        <w:t>M</w:t>
      </w:r>
      <w:r>
        <w:rPr>
          <w:rFonts w:ascii="Times New Roman" w:hAnsi="Times New Roman" w:cs="Times New Roman"/>
          <w:i/>
          <w:iCs/>
        </w:rPr>
        <w:t>.</w:t>
      </w:r>
      <w:r w:rsidRPr="00527BA6">
        <w:rPr>
          <w:rFonts w:ascii="Times New Roman" w:hAnsi="Times New Roman" w:cs="Times New Roman"/>
          <w:i/>
          <w:iCs/>
        </w:rPr>
        <w:t xml:space="preserve"> pyrifera</w:t>
      </w:r>
      <w:r>
        <w:rPr>
          <w:rFonts w:ascii="Times New Roman" w:hAnsi="Times New Roman" w:cs="Times New Roman"/>
        </w:rPr>
        <w:t xml:space="preserve"> </w:t>
      </w:r>
      <w:r w:rsidRPr="00802AE9">
        <w:rPr>
          <w:rFonts w:ascii="Times New Roman" w:hAnsi="Times New Roman" w:cs="Times New Roman"/>
        </w:rPr>
        <w:t xml:space="preserve">to −7.9 ± 4.4 for </w:t>
      </w:r>
      <w:r w:rsidRPr="00CF4767">
        <w:rPr>
          <w:rFonts w:ascii="Times New Roman" w:hAnsi="Times New Roman" w:cs="Times New Roman"/>
          <w:i/>
          <w:iCs/>
        </w:rPr>
        <w:t>C</w:t>
      </w:r>
      <w:r>
        <w:rPr>
          <w:rFonts w:ascii="Times New Roman" w:hAnsi="Times New Roman" w:cs="Times New Roman"/>
          <w:i/>
          <w:iCs/>
        </w:rPr>
        <w:t>.</w:t>
      </w:r>
      <w:r w:rsidRPr="00CF4767">
        <w:rPr>
          <w:rFonts w:ascii="Times New Roman" w:hAnsi="Times New Roman" w:cs="Times New Roman"/>
          <w:i/>
          <w:iCs/>
        </w:rPr>
        <w:t xml:space="preserve"> costata</w:t>
      </w:r>
      <w:r w:rsidRPr="00802AE9">
        <w:rPr>
          <w:rFonts w:ascii="Times New Roman" w:hAnsi="Times New Roman" w:cs="Times New Roman"/>
        </w:rPr>
        <w:t xml:space="preserve"> </w:t>
      </w:r>
      <w:r>
        <w:rPr>
          <w:rFonts w:ascii="Times New Roman" w:hAnsi="Times New Roman" w:cs="Times New Roman"/>
        </w:rPr>
        <w:t xml:space="preserve">and the median time of photosynthetic death ranged from 39–42 </w:t>
      </w:r>
      <w:r w:rsidRPr="00E91381">
        <w:rPr>
          <w:rFonts w:ascii="Times New Roman" w:hAnsi="Times New Roman" w:cs="Times New Roman"/>
        </w:rPr>
        <w:t xml:space="preserve">days in </w:t>
      </w:r>
      <w:r w:rsidRPr="00E91381">
        <w:rPr>
          <w:rFonts w:ascii="Times New Roman" w:hAnsi="Times New Roman" w:cs="Times New Roman"/>
          <w:i/>
          <w:iCs/>
        </w:rPr>
        <w:t>Nereocystis luetkeana</w:t>
      </w:r>
      <w:r>
        <w:rPr>
          <w:rFonts w:ascii="Times New Roman" w:hAnsi="Times New Roman" w:cs="Times New Roman"/>
        </w:rPr>
        <w:t xml:space="preserve"> and </w:t>
      </w:r>
      <w:r w:rsidRPr="00E91381">
        <w:rPr>
          <w:rFonts w:ascii="Times New Roman" w:hAnsi="Times New Roman" w:cs="Times New Roman"/>
          <w:i/>
          <w:iCs/>
        </w:rPr>
        <w:t>Laminaria ochroleuca</w:t>
      </w:r>
      <w:r>
        <w:rPr>
          <w:rFonts w:ascii="Times New Roman" w:hAnsi="Times New Roman" w:cs="Times New Roman"/>
        </w:rPr>
        <w:t xml:space="preserve"> to 181 days in </w:t>
      </w:r>
      <w:r w:rsidRPr="00E91381">
        <w:rPr>
          <w:rFonts w:ascii="Times New Roman" w:hAnsi="Times New Roman" w:cs="Times New Roman"/>
          <w:i/>
          <w:iCs/>
        </w:rPr>
        <w:t>L. hyperborea</w:t>
      </w:r>
      <w:r>
        <w:rPr>
          <w:rFonts w:ascii="Times New Roman" w:hAnsi="Times New Roman" w:cs="Times New Roman"/>
        </w:rPr>
        <w:t xml:space="preserve"> (Table S4). Put in the simple terms of </w:t>
      </w:r>
      <w:r w:rsidRPr="002768B6">
        <w:rPr>
          <w:rFonts w:ascii="Times New Roman" w:hAnsi="Times New Roman" w:cs="Times New Roman"/>
          <w:i/>
          <w:iCs/>
        </w:rPr>
        <w:t>k</w:t>
      </w:r>
      <w:r>
        <w:rPr>
          <w:rFonts w:ascii="Times New Roman" w:hAnsi="Times New Roman" w:cs="Times New Roman"/>
        </w:rPr>
        <w:t xml:space="preserve">, median live decomposition ranged from 0.016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for </w:t>
      </w:r>
      <w:r w:rsidRPr="002768B6">
        <w:rPr>
          <w:rFonts w:ascii="Times New Roman" w:hAnsi="Times New Roman" w:cs="Times New Roman"/>
          <w:i/>
          <w:iCs/>
        </w:rPr>
        <w:t>L. hyperborea</w:t>
      </w:r>
      <w:r>
        <w:rPr>
          <w:rFonts w:ascii="Times New Roman" w:hAnsi="Times New Roman" w:cs="Times New Roman"/>
        </w:rPr>
        <w:t xml:space="preserve"> in Norway (0.4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at the species level</w:t>
      </w:r>
      <w:r>
        <w:rPr>
          <w:rFonts w:ascii="Times New Roman" w:hAnsi="Times New Roman" w:cs="Times New Roman"/>
        </w:rPr>
        <w:t xml:space="preserve">) to 15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rPr>
        <w:t xml:space="preserve"> for </w:t>
      </w:r>
      <w:r w:rsidRPr="00CF4767">
        <w:rPr>
          <w:rFonts w:ascii="Times New Roman" w:hAnsi="Times New Roman" w:cs="Times New Roman"/>
          <w:i/>
          <w:iCs/>
        </w:rPr>
        <w:t>C</w:t>
      </w:r>
      <w:r>
        <w:rPr>
          <w:rFonts w:ascii="Times New Roman" w:hAnsi="Times New Roman" w:cs="Times New Roman"/>
          <w:i/>
          <w:iCs/>
        </w:rPr>
        <w:t>.</w:t>
      </w:r>
      <w:r w:rsidRPr="00CF4767">
        <w:rPr>
          <w:rFonts w:ascii="Times New Roman" w:hAnsi="Times New Roman" w:cs="Times New Roman"/>
          <w:i/>
          <w:iCs/>
        </w:rPr>
        <w:t xml:space="preserve"> costata</w:t>
      </w:r>
      <w:r>
        <w:rPr>
          <w:rFonts w:ascii="Times New Roman" w:hAnsi="Times New Roman" w:cs="Times New Roman"/>
        </w:rPr>
        <w:t xml:space="preserve"> in Canada (7.8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w:t>
      </w:r>
      <w:r w:rsidRPr="00616AA5">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w:t>
      </w:r>
      <w:r w:rsidRPr="00616AA5">
        <w:rPr>
          <w:rFonts w:ascii="Times New Roman" w:hAnsi="Times New Roman" w:cs="Times New Roman"/>
        </w:rPr>
        <w:t>at</w:t>
      </w:r>
      <w:r>
        <w:rPr>
          <w:rFonts w:ascii="Times New Roman" w:hAnsi="Times New Roman" w:cs="Times New Roman"/>
        </w:rPr>
        <w:t xml:space="preserve"> the species level) (Table S4). This variation converges on a fairly precise range of estimates for dead detritus: 13–22 </w:t>
      </w:r>
      <w:r>
        <w:rPr>
          <w:rFonts w:ascii="Times New Roman" w:hAnsi="Times New Roman" w:cs="Times New Roman"/>
          <w:lang w:bidi="he-IL"/>
        </w:rPr>
        <w:t xml:space="preserve">% </w:t>
      </w:r>
      <w:r w:rsidRPr="003966C0">
        <w:rPr>
          <w:rFonts w:ascii="Times New Roman" w:hAnsi="Times New Roman" w:cs="Times New Roman"/>
        </w:rPr>
        <w:t>day</w:t>
      </w:r>
      <w:r w:rsidRPr="0031649F">
        <w:rPr>
          <w:rFonts w:ascii="Times New Roman" w:hAnsi="Times New Roman" w:cs="Times New Roman"/>
          <w:color w:val="000000"/>
          <w:kern w:val="0"/>
          <w:vertAlign w:val="superscript"/>
        </w:rPr>
        <w:t>−</w:t>
      </w:r>
      <w:r w:rsidRPr="00616AA5">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w:t>
      </w:r>
      <w:r w:rsidRPr="00616AA5">
        <w:rPr>
          <w:rFonts w:ascii="Times New Roman" w:hAnsi="Times New Roman" w:cs="Times New Roman"/>
        </w:rPr>
        <w:t>at</w:t>
      </w:r>
      <w:r>
        <w:rPr>
          <w:rFonts w:ascii="Times New Roman" w:hAnsi="Times New Roman" w:cs="Times New Roman"/>
        </w:rPr>
        <w:t xml:space="preserve"> the species level (Figure 3, Table S4). Accordingly, the interspecific and experimental variation in </w:t>
      </w:r>
      <w:r w:rsidRPr="00864BE0">
        <w:rPr>
          <w:rFonts w:ascii="Times New Roman" w:hAnsi="Times New Roman" w:cs="Times New Roman"/>
          <w:i/>
          <w:iCs/>
        </w:rPr>
        <w:t>k</w:t>
      </w:r>
      <w:r>
        <w:rPr>
          <w:rFonts w:ascii="Times New Roman" w:hAnsi="Times New Roman" w:cs="Times New Roman"/>
        </w:rPr>
        <w:t xml:space="preserve"> on the logarithmic scale is respectively 2.1 times (</w:t>
      </w:r>
      <w:r w:rsidRPr="002656D8">
        <w:rPr>
          <w:rFonts w:ascii="Times New Roman" w:hAnsi="Times New Roman" w:cs="Times New Roman"/>
          <w:i/>
          <w:iCs/>
        </w:rPr>
        <w:t>P</w:t>
      </w:r>
      <w:r>
        <w:rPr>
          <w:rFonts w:ascii="Times New Roman" w:hAnsi="Times New Roman" w:cs="Times New Roman"/>
        </w:rPr>
        <w:t xml:space="preserve"> = 0.96) and 1.4 times (</w:t>
      </w:r>
      <w:r w:rsidRPr="002656D8">
        <w:rPr>
          <w:rFonts w:ascii="Times New Roman" w:hAnsi="Times New Roman" w:cs="Times New Roman"/>
          <w:i/>
          <w:iCs/>
        </w:rPr>
        <w:t>P</w:t>
      </w:r>
      <w:r>
        <w:rPr>
          <w:rFonts w:ascii="Times New Roman" w:hAnsi="Times New Roman" w:cs="Times New Roman"/>
        </w:rPr>
        <w:t xml:space="preserve"> = 1) larger for live detritus (Figure 3, Table S5), although part of this effect may be due to imbalanced sample size.</w:t>
      </w:r>
    </w:p>
    <w:p w14:paraId="3C6ECD02" w14:textId="77777777" w:rsidR="00AE4B03" w:rsidRPr="00802AE9" w:rsidRDefault="00AE4B03" w:rsidP="00AE4B03">
      <w:pPr>
        <w:rPr>
          <w:rFonts w:ascii="Times New Roman" w:hAnsi="Times New Roman" w:cs="Times New Roman"/>
        </w:rPr>
      </w:pPr>
    </w:p>
    <w:p w14:paraId="01BB8D10" w14:textId="31A23D23" w:rsidR="00AE4B03" w:rsidRPr="00B12D66" w:rsidRDefault="00AE4B03" w:rsidP="00AE4B03">
      <w:pPr>
        <w:rPr>
          <w:rFonts w:ascii="Times New Roman" w:hAnsi="Times New Roman" w:cs="Times New Roman"/>
        </w:rPr>
      </w:pPr>
      <w:r w:rsidRPr="00046576">
        <w:rPr>
          <w:rFonts w:ascii="Times New Roman" w:hAnsi="Times New Roman" w:cs="Times New Roman"/>
          <w:noProof/>
        </w:rPr>
        <w:drawing>
          <wp:inline distT="0" distB="0" distL="0" distR="0" wp14:anchorId="0F140E05" wp14:editId="43B92A8D">
            <wp:extent cx="3573780" cy="5172075"/>
            <wp:effectExtent l="0" t="0" r="0" b="0"/>
            <wp:docPr id="86952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73780" cy="5172075"/>
                    </a:xfrm>
                    <a:prstGeom prst="rect">
                      <a:avLst/>
                    </a:prstGeom>
                    <a:noFill/>
                    <a:ln>
                      <a:noFill/>
                    </a:ln>
                  </pic:spPr>
                </pic:pic>
              </a:graphicData>
            </a:graphic>
          </wp:inline>
        </w:drawing>
      </w:r>
    </w:p>
    <w:p w14:paraId="131F4F4B" w14:textId="77777777" w:rsidR="00AE4B03" w:rsidRPr="000D7EB1" w:rsidRDefault="00AE4B03" w:rsidP="00AE4B03">
      <w:pPr>
        <w:rPr>
          <w:rFonts w:ascii="Times New Roman" w:hAnsi="Times New Roman" w:cs="Times New Roman"/>
        </w:rPr>
      </w:pPr>
      <w:r w:rsidRPr="00C72330">
        <w:rPr>
          <w:rFonts w:ascii="Times New Roman" w:hAnsi="Times New Roman" w:cs="Times New Roman"/>
          <w:b/>
          <w:bCs/>
        </w:rPr>
        <w:t>Figure 3</w:t>
      </w:r>
      <w:r>
        <w:rPr>
          <w:rFonts w:ascii="Times New Roman" w:hAnsi="Times New Roman" w:cs="Times New Roman"/>
        </w:rPr>
        <w:t xml:space="preserve">. Meta-analysis on kelp decomposition with and without physiology, spanning 185 experiments from 25 studies on 14 species including those presented in Figure 2. Each data point is a litterbag (n = 2093), albeit with repeated measurement in a few studies. Lines are median predictions or probability distributions for each species and experiment (coloured) or unobserved species and experiments (black). Parameters are given in Tables S2 and S4. Filled distributions show the dead–live ratio (percentages are probabilities either side of ratio = 1) </w:t>
      </w:r>
      <w:r>
        <w:rPr>
          <w:rFonts w:ascii="Times New Roman" w:hAnsi="Times New Roman" w:cs="Times New Roman"/>
        </w:rPr>
        <w:lastRenderedPageBreak/>
        <w:t>and interspecific and experimental variations on the logarithmic scale. Summary statistics for these distributions are given in Tables 1 and S5.</w:t>
      </w:r>
    </w:p>
    <w:p w14:paraId="3331B7BB" w14:textId="77777777" w:rsidR="00AE4B03" w:rsidRDefault="00AE4B03" w:rsidP="00AE4B03">
      <w:pPr>
        <w:rPr>
          <w:rFonts w:ascii="Times New Roman" w:hAnsi="Times New Roman" w:cs="Times New Roman"/>
          <w:b/>
          <w:bCs/>
        </w:rPr>
      </w:pPr>
    </w:p>
    <w:p w14:paraId="1562565B" w14:textId="77777777" w:rsidR="00AE4B03" w:rsidRPr="00C72330" w:rsidRDefault="00AE4B03" w:rsidP="00AE4B03">
      <w:pPr>
        <w:rPr>
          <w:rFonts w:ascii="Times New Roman" w:hAnsi="Times New Roman" w:cs="Times New Roman"/>
          <w:b/>
          <w:bCs/>
        </w:rPr>
      </w:pPr>
    </w:p>
    <w:p w14:paraId="7897973B" w14:textId="77777777" w:rsidR="00AE4B03" w:rsidRDefault="00AE4B03" w:rsidP="00AE4B03">
      <w:pPr>
        <w:rPr>
          <w:rFonts w:ascii="Times New Roman" w:hAnsi="Times New Roman" w:cs="Times New Roman"/>
          <w:b/>
          <w:bCs/>
        </w:rPr>
      </w:pPr>
      <w:r w:rsidRPr="0071222A">
        <w:rPr>
          <w:rFonts w:ascii="Times New Roman" w:hAnsi="Times New Roman" w:cs="Times New Roman"/>
          <w:b/>
          <w:bCs/>
        </w:rPr>
        <w:t xml:space="preserve">Kelp </w:t>
      </w:r>
      <w:r w:rsidRPr="0071222A">
        <w:rPr>
          <w:rFonts w:ascii="Times New Roman" w:hAnsi="Times New Roman" w:cs="Times New Roman"/>
          <w:b/>
          <w:bCs/>
          <w:lang w:bidi="he-IL"/>
        </w:rPr>
        <w:t>CO</w:t>
      </w:r>
      <w:r w:rsidRPr="0071222A">
        <w:rPr>
          <w:rFonts w:ascii="Times New Roman" w:hAnsi="Times New Roman" w:cs="Times New Roman"/>
          <w:b/>
          <w:bCs/>
          <w:vertAlign w:val="subscript"/>
          <w:lang w:bidi="he-IL"/>
        </w:rPr>
        <w:t>2</w:t>
      </w:r>
      <w:r w:rsidRPr="0071222A">
        <w:rPr>
          <w:rFonts w:ascii="Times New Roman" w:hAnsi="Times New Roman" w:cs="Times New Roman"/>
          <w:b/>
          <w:bCs/>
        </w:rPr>
        <w:t xml:space="preserve"> removal</w:t>
      </w:r>
      <w:r w:rsidRPr="00C72330">
        <w:rPr>
          <w:rFonts w:ascii="Times New Roman" w:hAnsi="Times New Roman" w:cs="Times New Roman"/>
          <w:b/>
          <w:bCs/>
        </w:rPr>
        <w:t xml:space="preserve"> </w:t>
      </w:r>
      <w:r>
        <w:rPr>
          <w:rFonts w:ascii="Times New Roman" w:hAnsi="Times New Roman" w:cs="Times New Roman"/>
          <w:b/>
          <w:bCs/>
        </w:rPr>
        <w:t>is</w:t>
      </w:r>
      <w:r w:rsidRPr="00C72330">
        <w:rPr>
          <w:rFonts w:ascii="Times New Roman" w:hAnsi="Times New Roman" w:cs="Times New Roman"/>
          <w:b/>
          <w:bCs/>
        </w:rPr>
        <w:t xml:space="preserve"> </w:t>
      </w:r>
      <w:r>
        <w:rPr>
          <w:rFonts w:ascii="Times New Roman" w:hAnsi="Times New Roman" w:cs="Times New Roman"/>
          <w:b/>
          <w:bCs/>
        </w:rPr>
        <w:t>probably overestimated</w:t>
      </w:r>
    </w:p>
    <w:p w14:paraId="6A9198C9" w14:textId="77777777" w:rsidR="00AE4B03" w:rsidRDefault="00AE4B03" w:rsidP="00AE4B03">
      <w:pPr>
        <w:rPr>
          <w:rFonts w:ascii="Times New Roman" w:hAnsi="Times New Roman" w:cs="Times New Roman"/>
        </w:rPr>
      </w:pPr>
      <w:r>
        <w:rPr>
          <w:rFonts w:ascii="Times New Roman" w:hAnsi="Times New Roman" w:cs="Times New Roman"/>
        </w:rPr>
        <w:t>From the results presented above it is evident that the primary source of the uncertainty around kelp decomposition is of physiological nature. Physiology is thus the principal predictor of kelp decomposition. Detrital photosynthesis acts as the mechanism behind kelp detrital recalcitrance by supporting growth or induced chemical defence against detritivores and saprotrophs, thereby retarding or even temporarily counteract decomposition. This is not the case for other marine macrophytes such as seagrasses whose decomposition trajectory is scarcely affected by physiology and must consequently be determined by biochemical and biophysical constants. Unlike seagrasses and other vascular macrophytes, kelps do not fit the classical model of constant decomposition</w:t>
      </w:r>
      <w:r>
        <w:t>{Olson, 1963, #2327}</w:t>
      </w:r>
      <w:r>
        <w:rPr>
          <w:rFonts w:ascii="Times New Roman" w:hAnsi="Times New Roman" w:cs="Times New Roman"/>
        </w:rPr>
        <w:t xml:space="preserve"> and attempts to measure kelp decomposition with traditional litterbag experiments are confounded by physiology, which explains why studies attempting to predict kelp decomposition with biochemical constants</w:t>
      </w:r>
      <w:r>
        <w:t>{Filbee-Dexter et al., 2022, #89942; Wright et al., 2022, #84779}</w:t>
      </w:r>
      <w:r>
        <w:rPr>
          <w:rFonts w:ascii="Times New Roman" w:hAnsi="Times New Roman" w:cs="Times New Roman"/>
        </w:rPr>
        <w:t xml:space="preserve"> have provided little insight. The implications of these findings for kelp decomposition and </w:t>
      </w:r>
      <w:r w:rsidRPr="00FA6663">
        <w:rPr>
          <w:rFonts w:ascii="Times New Roman" w:hAnsi="Times New Roman" w:cs="Times New Roman"/>
          <w:lang w:bidi="he-IL"/>
        </w:rPr>
        <w:t>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Pr>
          <w:rFonts w:ascii="Times New Roman" w:hAnsi="Times New Roman" w:cs="Times New Roman"/>
        </w:rPr>
        <w:t xml:space="preserve"> in nature depend on the physiological state of exported detritus and how carbon sequestration is defined.</w:t>
      </w:r>
    </w:p>
    <w:p w14:paraId="6E9F35A7" w14:textId="77777777" w:rsidR="00AE4B03" w:rsidRDefault="00AE4B03" w:rsidP="00AE4B03">
      <w:pPr>
        <w:rPr>
          <w:rFonts w:ascii="Times New Roman" w:hAnsi="Times New Roman" w:cs="Times New Roman"/>
        </w:rPr>
      </w:pPr>
    </w:p>
    <w:p w14:paraId="6CDA3151" w14:textId="77777777" w:rsidR="00AE4B03" w:rsidRDefault="00AE4B03" w:rsidP="00AE4B03">
      <w:pPr>
        <w:rPr>
          <w:rFonts w:ascii="Times New Roman" w:hAnsi="Times New Roman" w:cs="Times New Roman"/>
        </w:rPr>
      </w:pPr>
      <w:r>
        <w:rPr>
          <w:rFonts w:ascii="Times New Roman" w:hAnsi="Times New Roman" w:cs="Times New Roman"/>
        </w:rPr>
        <w:t xml:space="preserve">Most kelp detritus is more dead than alive. </w:t>
      </w:r>
      <w:r w:rsidRPr="00F16E2F">
        <w:rPr>
          <w:rFonts w:ascii="Times New Roman" w:hAnsi="Times New Roman" w:cs="Times New Roman"/>
        </w:rPr>
        <w:t xml:space="preserve">Erosion and abscission of senescent tissue almost always contribute more to </w:t>
      </w:r>
      <w:r>
        <w:rPr>
          <w:rFonts w:ascii="Times New Roman" w:hAnsi="Times New Roman" w:cs="Times New Roman"/>
        </w:rPr>
        <w:t xml:space="preserve">kelp </w:t>
      </w:r>
      <w:r w:rsidRPr="00F16E2F">
        <w:rPr>
          <w:rFonts w:ascii="Times New Roman" w:hAnsi="Times New Roman" w:cs="Times New Roman"/>
        </w:rPr>
        <w:t xml:space="preserve">detrital production than dislodgement of intact plants. The relative contribution is 1:1, 1.3:1 and 3.2:1 </w:t>
      </w:r>
      <w:r>
        <w:rPr>
          <w:rFonts w:ascii="Times New Roman" w:hAnsi="Times New Roman" w:cs="Times New Roman"/>
        </w:rPr>
        <w:t xml:space="preserve">respectively </w:t>
      </w:r>
      <w:r w:rsidRPr="00F16E2F">
        <w:rPr>
          <w:rFonts w:ascii="Times New Roman" w:hAnsi="Times New Roman" w:cs="Times New Roman"/>
        </w:rPr>
        <w:t>for warm and cold temperate</w:t>
      </w:r>
      <w:r>
        <w:t>{Pessarrodona et al., 2018, #96146}</w:t>
      </w:r>
      <w:r w:rsidRPr="00F16E2F">
        <w:rPr>
          <w:rFonts w:ascii="Times New Roman" w:hAnsi="Times New Roman" w:cs="Times New Roman"/>
        </w:rPr>
        <w:t xml:space="preserve"> and arctic</w:t>
      </w:r>
      <w:r>
        <w:t>{Pedersen et al., 2020, #74606}</w:t>
      </w:r>
      <w:r w:rsidRPr="00F16E2F">
        <w:rPr>
          <w:rFonts w:ascii="Times New Roman" w:hAnsi="Times New Roman" w:cs="Times New Roman"/>
        </w:rPr>
        <w:t xml:space="preserve"> </w:t>
      </w:r>
      <w:r w:rsidRPr="00F16E2F">
        <w:rPr>
          <w:rFonts w:ascii="Times New Roman" w:hAnsi="Times New Roman" w:cs="Times New Roman"/>
          <w:i/>
          <w:iCs/>
        </w:rPr>
        <w:t>L. hyperborea</w:t>
      </w:r>
      <w:r w:rsidRPr="00F16E2F">
        <w:rPr>
          <w:rFonts w:ascii="Times New Roman" w:hAnsi="Times New Roman" w:cs="Times New Roman"/>
        </w:rPr>
        <w:t xml:space="preserve">, 2.6:1 for </w:t>
      </w:r>
      <w:r w:rsidRPr="00F16E2F">
        <w:rPr>
          <w:rFonts w:ascii="Times New Roman" w:hAnsi="Times New Roman" w:cs="Times New Roman"/>
          <w:i/>
          <w:iCs/>
        </w:rPr>
        <w:t>L. digitata</w:t>
      </w:r>
      <w:r>
        <w:t>{Gilson et al., 2023, #95400}</w:t>
      </w:r>
      <w:r w:rsidRPr="00F16E2F">
        <w:rPr>
          <w:rFonts w:ascii="Times New Roman" w:hAnsi="Times New Roman" w:cs="Times New Roman"/>
        </w:rPr>
        <w:t xml:space="preserve">, 3.3:1 for </w:t>
      </w:r>
      <w:r w:rsidRPr="00F16E2F">
        <w:rPr>
          <w:rFonts w:ascii="Times New Roman" w:hAnsi="Times New Roman" w:cs="Times New Roman"/>
          <w:i/>
          <w:iCs/>
        </w:rPr>
        <w:t>S. latissima</w:t>
      </w:r>
      <w:r>
        <w:t>{Gilson et al., 2023, #95400}</w:t>
      </w:r>
      <w:r w:rsidRPr="00F16E2F">
        <w:rPr>
          <w:rFonts w:ascii="Times New Roman" w:hAnsi="Times New Roman" w:cs="Times New Roman"/>
        </w:rPr>
        <w:t xml:space="preserve">, 4:1 for </w:t>
      </w:r>
      <w:r w:rsidRPr="00F16E2F">
        <w:rPr>
          <w:rFonts w:ascii="Times New Roman" w:hAnsi="Times New Roman" w:cs="Times New Roman"/>
          <w:i/>
          <w:iCs/>
        </w:rPr>
        <w:t>E. radiata</w:t>
      </w:r>
      <w:r>
        <w:t>{de Bettignies et al., 2013, #60108}</w:t>
      </w:r>
      <w:r w:rsidRPr="00F16E2F">
        <w:rPr>
          <w:rFonts w:ascii="Times New Roman" w:hAnsi="Times New Roman" w:cs="Times New Roman"/>
        </w:rPr>
        <w:t xml:space="preserve">, and 17:1 for mixed </w:t>
      </w:r>
      <w:r w:rsidRPr="00F16E2F">
        <w:rPr>
          <w:rFonts w:ascii="Times New Roman" w:hAnsi="Times New Roman" w:cs="Times New Roman"/>
          <w:i/>
          <w:iCs/>
        </w:rPr>
        <w:t>E. maxima</w:t>
      </w:r>
      <w:r w:rsidRPr="00F16E2F">
        <w:rPr>
          <w:rFonts w:ascii="Times New Roman" w:hAnsi="Times New Roman" w:cs="Times New Roman"/>
        </w:rPr>
        <w:t xml:space="preserve"> and </w:t>
      </w:r>
      <w:r w:rsidRPr="00F16E2F">
        <w:rPr>
          <w:rFonts w:ascii="Times New Roman" w:hAnsi="Times New Roman" w:cs="Times New Roman"/>
          <w:i/>
          <w:iCs/>
        </w:rPr>
        <w:t>L. pallida</w:t>
      </w:r>
      <w:r w:rsidRPr="00F16E2F">
        <w:rPr>
          <w:rFonts w:ascii="Times New Roman" w:hAnsi="Times New Roman" w:cs="Times New Roman"/>
        </w:rPr>
        <w:t xml:space="preserve"> forests</w:t>
      </w:r>
      <w:r>
        <w:t>{Newell et al., 1982, #9358}</w:t>
      </w:r>
      <w:r w:rsidRPr="00F16E2F">
        <w:rPr>
          <w:rFonts w:ascii="Times New Roman" w:hAnsi="Times New Roman" w:cs="Times New Roman"/>
        </w:rPr>
        <w:t xml:space="preserve">. Only </w:t>
      </w:r>
      <w:r w:rsidRPr="00F16E2F">
        <w:rPr>
          <w:rFonts w:ascii="Times New Roman" w:hAnsi="Times New Roman" w:cs="Times New Roman"/>
          <w:i/>
          <w:iCs/>
        </w:rPr>
        <w:t>M. pyrifera</w:t>
      </w:r>
      <w:r>
        <w:t>{Gerard, 1976, #44467}</w:t>
      </w:r>
      <w:r w:rsidRPr="00F16E2F">
        <w:rPr>
          <w:rFonts w:ascii="Times New Roman" w:hAnsi="Times New Roman" w:cs="Times New Roman"/>
        </w:rPr>
        <w:t xml:space="preserve"> </w:t>
      </w:r>
      <w:r>
        <w:rPr>
          <w:rFonts w:ascii="Times New Roman" w:hAnsi="Times New Roman" w:cs="Times New Roman"/>
        </w:rPr>
        <w:t>exhibits</w:t>
      </w:r>
      <w:r w:rsidRPr="00F16E2F">
        <w:rPr>
          <w:rFonts w:ascii="Times New Roman" w:hAnsi="Times New Roman" w:cs="Times New Roman"/>
        </w:rPr>
        <w:t xml:space="preserve"> more dislodgement with a ratio of 1:2.8. </w:t>
      </w:r>
      <w:r>
        <w:rPr>
          <w:rFonts w:ascii="Times New Roman" w:hAnsi="Times New Roman" w:cs="Times New Roman"/>
        </w:rPr>
        <w:t>Furthermore, kelp photosynthesis tends to decline with lamina age but even tissue that is senescent</w:t>
      </w:r>
      <w:r w:rsidRPr="008E5A3A">
        <w:rPr>
          <w:rFonts w:ascii="Times New Roman" w:hAnsi="Times New Roman" w:cs="Times New Roman"/>
        </w:rPr>
        <w:t xml:space="preserve"> </w:t>
      </w:r>
      <w:r>
        <w:rPr>
          <w:rFonts w:ascii="Times New Roman" w:hAnsi="Times New Roman" w:cs="Times New Roman"/>
        </w:rPr>
        <w:t>or about to be abscised may still display some physiology</w:t>
      </w:r>
      <w:r>
        <w:t xml:space="preserve">{Rodriguez et al., 2016, #101442; Küppers and Kremer, 1978, #67857; Arnold and Manley, 1985, #57807; </w:t>
      </w:r>
      <w:r w:rsidRPr="00AA7EA9">
        <w:rPr>
          <w:rFonts w:ascii="Times New Roman" w:hAnsi="Times New Roman" w:cs="Times New Roman"/>
        </w:rPr>
        <w:t>Gómez et al., 1996, #37909}</w:t>
      </w:r>
      <w:r>
        <w:rPr>
          <w:rFonts w:ascii="Times New Roman" w:hAnsi="Times New Roman" w:cs="Times New Roman"/>
        </w:rPr>
        <w:t xml:space="preserve">. Hence most exported kelp detritus exhibits reduced physiology and therefore probably decomposes at a rate closer to 17 % than 2 % </w:t>
      </w:r>
      <w:r w:rsidRPr="003966C0">
        <w:rPr>
          <w:rFonts w:ascii="Times New Roman" w:hAnsi="Times New Roman" w:cs="Times New Roman"/>
        </w:rPr>
        <w:t>day</w:t>
      </w:r>
      <w:r w:rsidRPr="0031649F">
        <w:rPr>
          <w:rFonts w:ascii="Times New Roman" w:hAnsi="Times New Roman" w:cs="Times New Roman"/>
          <w:color w:val="000000"/>
          <w:kern w:val="0"/>
          <w:vertAlign w:val="superscript"/>
        </w:rPr>
        <w:t>−1</w:t>
      </w:r>
      <w:r>
        <w:rPr>
          <w:rFonts w:ascii="Times New Roman" w:hAnsi="Times New Roman" w:cs="Times New Roman"/>
          <w:color w:val="000000"/>
          <w:kern w:val="0"/>
        </w:rPr>
        <w:t xml:space="preserve"> (Table 1)</w:t>
      </w:r>
      <w:r>
        <w:rPr>
          <w:rFonts w:ascii="Times New Roman" w:hAnsi="Times New Roman" w:cs="Times New Roman"/>
        </w:rPr>
        <w:t>. Indeed there is direct evidence that s</w:t>
      </w:r>
      <w:r w:rsidRPr="00F16E2F">
        <w:rPr>
          <w:rFonts w:ascii="Times New Roman" w:hAnsi="Times New Roman" w:cs="Times New Roman"/>
        </w:rPr>
        <w:t xml:space="preserve">enescent </w:t>
      </w:r>
      <w:r>
        <w:rPr>
          <w:rFonts w:ascii="Times New Roman" w:hAnsi="Times New Roman" w:cs="Times New Roman"/>
        </w:rPr>
        <w:t xml:space="preserve">kelp </w:t>
      </w:r>
      <w:r w:rsidRPr="00F16E2F">
        <w:rPr>
          <w:rFonts w:ascii="Times New Roman" w:hAnsi="Times New Roman" w:cs="Times New Roman"/>
        </w:rPr>
        <w:t>tissue</w:t>
      </w:r>
      <w:r>
        <w:rPr>
          <w:rFonts w:ascii="Times New Roman" w:hAnsi="Times New Roman" w:cs="Times New Roman"/>
        </w:rPr>
        <w:t xml:space="preserve"> </w:t>
      </w:r>
      <w:r w:rsidRPr="00F16E2F">
        <w:rPr>
          <w:rFonts w:ascii="Times New Roman" w:hAnsi="Times New Roman" w:cs="Times New Roman"/>
        </w:rPr>
        <w:t>decomposes faster</w:t>
      </w:r>
      <w:r>
        <w:t>{Hamersley et al., 2015, #100187; de Bettignies et al., 2020, #27484}</w:t>
      </w:r>
      <w:r w:rsidRPr="00F16E2F">
        <w:rPr>
          <w:rFonts w:ascii="Times New Roman" w:hAnsi="Times New Roman" w:cs="Times New Roman"/>
        </w:rPr>
        <w:t xml:space="preserve">. </w:t>
      </w:r>
      <w:r>
        <w:rPr>
          <w:rFonts w:ascii="Times New Roman" w:hAnsi="Times New Roman" w:cs="Times New Roman"/>
        </w:rPr>
        <w:t>In addition to the viability of detritus upon export, we must consider subsequent factors that could impair physiology and thus accelerate decomposition. Kelp detritus that is stranded as wrack, even for short periods, and that which is buried or sinks to lightless depths must exhibit reduced physiology. In extreme cases kelps can survive over half a year in darkness</w:t>
      </w:r>
      <w:r>
        <w:t>{Henley and Dunton, 1997, #21575}</w:t>
      </w:r>
      <w:r>
        <w:rPr>
          <w:rFonts w:ascii="Times New Roman" w:hAnsi="Times New Roman" w:cs="Times New Roman"/>
        </w:rPr>
        <w:t xml:space="preserve"> and detritus may still be viable after a month in darkness</w:t>
      </w:r>
      <w:r>
        <w:t>{Wright et al., 2024, #11376}</w:t>
      </w:r>
      <w:r>
        <w:rPr>
          <w:rFonts w:ascii="Times New Roman" w:hAnsi="Times New Roman" w:cs="Times New Roman"/>
        </w:rPr>
        <w:t xml:space="preserve"> but there can be no photosynthesis and little growth</w:t>
      </w:r>
      <w:r>
        <w:t>{Henley and Dunton, 1997, #21575}</w:t>
      </w:r>
      <w:r>
        <w:rPr>
          <w:rFonts w:ascii="Times New Roman" w:hAnsi="Times New Roman" w:cs="Times New Roman"/>
        </w:rPr>
        <w:t xml:space="preserve"> so the physiological effect on decomposition is limited to induced defences. Even kelp detritus that is dislodged and perfectly viable upon export is thus unlikely to remain in an environment that is conducive to its physiology. Dead decomposition is therefore more representative of decomposition in nature and estimates based on traditional litterbag experiments or turnover are underestimates.</w:t>
      </w:r>
    </w:p>
    <w:p w14:paraId="09A2CEC4" w14:textId="77777777" w:rsidR="00AE4B03" w:rsidRPr="00F16E2F" w:rsidRDefault="00AE4B03" w:rsidP="00AE4B03">
      <w:pPr>
        <w:rPr>
          <w:rFonts w:ascii="Times New Roman" w:hAnsi="Times New Roman" w:cs="Times New Roman"/>
        </w:rPr>
      </w:pPr>
    </w:p>
    <w:p w14:paraId="45E2DCB1" w14:textId="77777777" w:rsidR="00AE4B03" w:rsidRPr="00F16E2F" w:rsidRDefault="00AE4B03" w:rsidP="00AE4B03">
      <w:pPr>
        <w:rPr>
          <w:rFonts w:ascii="Times New Roman" w:hAnsi="Times New Roman" w:cs="Times New Roman"/>
        </w:rPr>
      </w:pPr>
      <w:r>
        <w:rPr>
          <w:rFonts w:ascii="Times New Roman" w:hAnsi="Times New Roman" w:cs="Times New Roman"/>
        </w:rPr>
        <w:lastRenderedPageBreak/>
        <w:t>Since kelp decomposition is underestimated, k</w:t>
      </w:r>
      <w:r w:rsidRPr="00F16E2F">
        <w:rPr>
          <w:rFonts w:ascii="Times New Roman" w:hAnsi="Times New Roman" w:cs="Times New Roman"/>
        </w:rPr>
        <w:t xml:space="preserve">elp </w:t>
      </w:r>
      <w:r w:rsidRPr="00FA6663">
        <w:rPr>
          <w:rFonts w:ascii="Times New Roman" w:hAnsi="Times New Roman" w:cs="Times New Roman"/>
          <w:lang w:bidi="he-IL"/>
        </w:rPr>
        <w:t>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sidRPr="00F16E2F">
        <w:rPr>
          <w:rFonts w:ascii="Times New Roman" w:hAnsi="Times New Roman" w:cs="Times New Roman"/>
        </w:rPr>
        <w:t xml:space="preserve"> is probably overestimated.</w:t>
      </w:r>
      <w:r>
        <w:rPr>
          <w:rFonts w:ascii="Times New Roman" w:hAnsi="Times New Roman" w:cs="Times New Roman"/>
        </w:rPr>
        <w:t xml:space="preserve"> </w:t>
      </w:r>
      <w:r w:rsidRPr="00FA6663">
        <w:rPr>
          <w:rFonts w:ascii="Times New Roman" w:hAnsi="Times New Roman" w:cs="Times New Roman"/>
          <w:lang w:bidi="he-IL"/>
        </w:rPr>
        <w:t>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Pr>
          <w:rFonts w:ascii="Times New Roman" w:hAnsi="Times New Roman" w:cs="Times New Roman"/>
        </w:rPr>
        <w:t xml:space="preserve"> is typically considered complete when the carbon is sequestered in a carbon sink. However, in the context of kelp blue carbon, carbon sinks are variously defined. Traditionally recognised carbon sinks are sediments with the sequestration pathway being carbon burial, but retention in deep ocean currents has been suggested as an additional sink</w:t>
      </w:r>
      <w:r>
        <w:t>{Krause-Jensen and Duarte, 2016, #82158; Pessarrodona et al., 2023, #24779; Filbee-Dexter et al., 2024, #27977}</w:t>
      </w:r>
      <w:r>
        <w:rPr>
          <w:rFonts w:ascii="Times New Roman" w:hAnsi="Times New Roman" w:cs="Times New Roman"/>
        </w:rPr>
        <w:t>. As mentioned above, both pathways are dependent on decomposition, but to different extents. If we accept that recalcitrance of kelp carbon is largely dependent on physiology, organic carbon burial is essentially out of the question. Even if the detritus is viable upon burial, physiology is bound to cease due to darkness and anoxia in the short term and with it any resistance to remineralisation. Retention is somewhat more ambiguous since even remineralised carbon is often considered sequestered beyond a depth as shallow as 200 metres</w:t>
      </w:r>
      <w:r>
        <w:t xml:space="preserve">{Krause-Jensen and Duarte, 2016, #82158; Filbee-Dexter et al., 2024, #27977; </w:t>
      </w:r>
      <w:r w:rsidRPr="00236F1D">
        <w:rPr>
          <w:rFonts w:ascii="Times New Roman" w:hAnsi="Times New Roman" w:cs="Times New Roman"/>
        </w:rPr>
        <w:t>Simpkins et al., 2025, #59212}</w:t>
      </w:r>
      <w:r>
        <w:rPr>
          <w:rFonts w:ascii="Times New Roman" w:hAnsi="Times New Roman" w:cs="Times New Roman"/>
        </w:rPr>
        <w:t>. T</w:t>
      </w:r>
      <w:r w:rsidRPr="00F16E2F">
        <w:rPr>
          <w:rFonts w:ascii="Times New Roman" w:hAnsi="Times New Roman" w:cs="Times New Roman"/>
        </w:rPr>
        <w:t xml:space="preserve">he latest </w:t>
      </w:r>
      <w:r>
        <w:rPr>
          <w:rFonts w:ascii="Times New Roman" w:hAnsi="Times New Roman" w:cs="Times New Roman"/>
        </w:rPr>
        <w:t xml:space="preserve">blue carbon </w:t>
      </w:r>
      <w:r w:rsidRPr="00F16E2F">
        <w:rPr>
          <w:rFonts w:ascii="Times New Roman" w:hAnsi="Times New Roman" w:cs="Times New Roman"/>
        </w:rPr>
        <w:t>model</w:t>
      </w:r>
      <w:r>
        <w:rPr>
          <w:rFonts w:ascii="Times New Roman" w:hAnsi="Times New Roman" w:cs="Times New Roman"/>
        </w:rPr>
        <w:t xml:space="preserve"> based on retention</w:t>
      </w:r>
      <w:r>
        <w:t>{Filbee-Dexter et al., 2024, #27977}</w:t>
      </w:r>
      <w:r w:rsidRPr="00F16E2F">
        <w:rPr>
          <w:rFonts w:ascii="Times New Roman" w:hAnsi="Times New Roman" w:cs="Times New Roman"/>
        </w:rPr>
        <w:t xml:space="preserve"> </w:t>
      </w:r>
      <w:r>
        <w:rPr>
          <w:rFonts w:ascii="Times New Roman" w:hAnsi="Times New Roman" w:cs="Times New Roman"/>
        </w:rPr>
        <w:t xml:space="preserve">predicts that on average 15% of production is exported below 200 metres, but this value </w:t>
      </w:r>
      <w:r w:rsidRPr="00F16E2F">
        <w:rPr>
          <w:rFonts w:ascii="Times New Roman" w:hAnsi="Times New Roman" w:cs="Times New Roman"/>
        </w:rPr>
        <w:t>is highly sensitive to changes in decomposition</w:t>
      </w:r>
      <w:r>
        <w:t>{White and Norkko, 2025, #37662}</w:t>
      </w:r>
      <w:r>
        <w:rPr>
          <w:rFonts w:ascii="Times New Roman" w:hAnsi="Times New Roman" w:cs="Times New Roman"/>
        </w:rPr>
        <w:t>. Based on our estimates detrital physiology therefore fully determines kelp carbon sequestration via retention as well. For live detritus we predict a median of 23%, which is close to the cited value, but dead detritus is practically never (</w:t>
      </w:r>
      <w:r w:rsidRPr="00657D20">
        <w:rPr>
          <w:rFonts w:ascii="Times New Roman" w:hAnsi="Times New Roman" w:cs="Times New Roman"/>
        </w:rPr>
        <w:t>0.00058</w:t>
      </w:r>
      <w:r>
        <w:rPr>
          <w:rFonts w:ascii="Times New Roman" w:hAnsi="Times New Roman" w:cs="Times New Roman"/>
        </w:rPr>
        <w:t xml:space="preserve">%) exported below 200 metres (Figure S4). Despite enormous uncertainty around these estimates (standard deviation = 27–36%), there is an 86% chance that predictions based on live decomposition are overestimates relative to dead decomposition (Figure S4). If we accept that dead decomposition is more representative of decomposition in nature, kelp </w:t>
      </w:r>
      <w:r w:rsidRPr="00FA6663">
        <w:rPr>
          <w:rFonts w:ascii="Times New Roman" w:hAnsi="Times New Roman" w:cs="Times New Roman"/>
          <w:lang w:bidi="he-IL"/>
        </w:rPr>
        <w:t>CO</w:t>
      </w:r>
      <w:r w:rsidRPr="00FA6663">
        <w:rPr>
          <w:rFonts w:ascii="Times New Roman" w:hAnsi="Times New Roman" w:cs="Times New Roman"/>
          <w:vertAlign w:val="subscript"/>
          <w:lang w:bidi="he-IL"/>
        </w:rPr>
        <w:t>2</w:t>
      </w:r>
      <w:r w:rsidRPr="00FA6663">
        <w:rPr>
          <w:rFonts w:ascii="Times New Roman" w:hAnsi="Times New Roman" w:cs="Times New Roman"/>
        </w:rPr>
        <w:t xml:space="preserve"> removal</w:t>
      </w:r>
      <w:r>
        <w:rPr>
          <w:rFonts w:ascii="Times New Roman" w:hAnsi="Times New Roman" w:cs="Times New Roman"/>
        </w:rPr>
        <w:t xml:space="preserve"> via both pathways must be insignificant. </w:t>
      </w:r>
      <w:r w:rsidRPr="00F16E2F">
        <w:rPr>
          <w:rFonts w:ascii="Times New Roman" w:hAnsi="Times New Roman" w:cs="Times New Roman"/>
        </w:rPr>
        <w:t xml:space="preserve">We postulate that decomposition estimates </w:t>
      </w:r>
      <w:r>
        <w:rPr>
          <w:rFonts w:ascii="Times New Roman" w:hAnsi="Times New Roman" w:cs="Times New Roman"/>
        </w:rPr>
        <w:t xml:space="preserve">confounded by physiology </w:t>
      </w:r>
      <w:r w:rsidRPr="00F16E2F">
        <w:rPr>
          <w:rFonts w:ascii="Times New Roman" w:hAnsi="Times New Roman" w:cs="Times New Roman"/>
        </w:rPr>
        <w:t xml:space="preserve">are the main pitfall for attempts to estimate macroalgal blue carbon. </w:t>
      </w:r>
      <w:r>
        <w:rPr>
          <w:rFonts w:ascii="Times New Roman" w:hAnsi="Times New Roman" w:cs="Times New Roman"/>
        </w:rPr>
        <w:t xml:space="preserve">Future macroalgal decomposition experiments should control for physiology and </w:t>
      </w:r>
      <w:r w:rsidRPr="00F16E2F">
        <w:rPr>
          <w:rFonts w:ascii="Times New Roman" w:hAnsi="Times New Roman" w:cs="Times New Roman"/>
        </w:rPr>
        <w:t xml:space="preserve">blue carbon models </w:t>
      </w:r>
      <w:r>
        <w:rPr>
          <w:rFonts w:ascii="Times New Roman" w:hAnsi="Times New Roman" w:cs="Times New Roman"/>
        </w:rPr>
        <w:t xml:space="preserve">should account for </w:t>
      </w:r>
      <w:r w:rsidRPr="00F16E2F">
        <w:rPr>
          <w:rFonts w:ascii="Times New Roman" w:hAnsi="Times New Roman" w:cs="Times New Roman"/>
        </w:rPr>
        <w:t>the</w:t>
      </w:r>
      <w:r>
        <w:rPr>
          <w:rFonts w:ascii="Times New Roman" w:hAnsi="Times New Roman" w:cs="Times New Roman"/>
        </w:rPr>
        <w:t xml:space="preserve"> substantial </w:t>
      </w:r>
      <w:r w:rsidRPr="00F16E2F">
        <w:rPr>
          <w:rFonts w:ascii="Times New Roman" w:hAnsi="Times New Roman" w:cs="Times New Roman"/>
        </w:rPr>
        <w:t>effect of detrital photosynthesis</w:t>
      </w:r>
      <w:r>
        <w:rPr>
          <w:rFonts w:ascii="Times New Roman" w:hAnsi="Times New Roman" w:cs="Times New Roman"/>
        </w:rPr>
        <w:t xml:space="preserve"> on decomposition</w:t>
      </w:r>
      <w:r w:rsidRPr="00F16E2F">
        <w:rPr>
          <w:rFonts w:ascii="Times New Roman" w:hAnsi="Times New Roman" w:cs="Times New Roman"/>
        </w:rPr>
        <w:t>.</w:t>
      </w:r>
    </w:p>
    <w:p w14:paraId="2B394194" w14:textId="77777777" w:rsidR="00AE4B03" w:rsidRPr="00F16E2F" w:rsidRDefault="00AE4B03" w:rsidP="00AE4B03">
      <w:pPr>
        <w:rPr>
          <w:rFonts w:ascii="Times New Roman" w:hAnsi="Times New Roman" w:cs="Times New Roman"/>
        </w:rPr>
      </w:pPr>
    </w:p>
    <w:p w14:paraId="4E9584FC" w14:textId="77777777" w:rsidR="00AE4B03" w:rsidRPr="006B16AA" w:rsidRDefault="00AE4B03" w:rsidP="00AE4B03">
      <w:pPr>
        <w:rPr>
          <w:rFonts w:ascii="Times New Roman" w:hAnsi="Times New Roman" w:cs="Times New Roman"/>
          <w:b/>
          <w:bCs/>
        </w:rPr>
      </w:pPr>
      <w:r w:rsidRPr="00C659E4">
        <w:rPr>
          <w:rFonts w:ascii="Times New Roman" w:hAnsi="Times New Roman" w:cs="Times New Roman"/>
          <w:b/>
          <w:bCs/>
        </w:rPr>
        <w:t>References</w:t>
      </w:r>
    </w:p>
    <w:p w14:paraId="591B968E" w14:textId="77777777" w:rsidR="00AE4B03" w:rsidRPr="00F8207B" w:rsidRDefault="00AE4B03" w:rsidP="00AE4B03"/>
    <w:p w14:paraId="6BD4E906" w14:textId="54BB3B0F" w:rsidR="002C37ED" w:rsidRPr="00AE4B03" w:rsidRDefault="002C37ED" w:rsidP="00AE4B03"/>
    <w:sectPr w:rsidR="002C37ED" w:rsidRPr="00AE4B03" w:rsidSect="003D2FC3">
      <w:footerReference w:type="even" r:id="rId16"/>
      <w:footerReference w:type="default" r:id="rId17"/>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Seamus Wright" w:date="2025-12-12T12:39:00Z" w:initials="LSW">
    <w:p w14:paraId="126BABB7" w14:textId="77777777" w:rsidR="00AE4B03" w:rsidRDefault="00AE4B03" w:rsidP="00AE4B03">
      <w:r>
        <w:rPr>
          <w:rStyle w:val="CommentReference"/>
        </w:rPr>
        <w:annotationRef/>
      </w:r>
      <w:r>
        <w:rPr>
          <w:sz w:val="20"/>
          <w:szCs w:val="20"/>
        </w:rPr>
        <w:t>Please vote for your favourite title below.</w:t>
      </w:r>
    </w:p>
  </w:comment>
  <w:comment w:id="1" w:author="Luka Seamus Wright" w:date="2025-12-12T13:21:00Z" w:initials="LSW">
    <w:p w14:paraId="47A7550F" w14:textId="77777777" w:rsidR="00AE4B03" w:rsidRDefault="00AE4B03" w:rsidP="00AE4B03">
      <w:r>
        <w:rPr>
          <w:rStyle w:val="CommentReference"/>
        </w:rPr>
        <w:annotationRef/>
      </w:r>
      <w:r>
        <w:rPr>
          <w:sz w:val="20"/>
          <w:szCs w:val="20"/>
        </w:rPr>
        <w:t>Please provide your ORCiD</w:t>
      </w:r>
    </w:p>
  </w:comment>
  <w:comment w:id="2" w:author="Luka Seamus Wright" w:date="2025-12-12T13:22:00Z" w:initials="LSW">
    <w:p w14:paraId="79770885" w14:textId="77777777" w:rsidR="00AE4B03" w:rsidRDefault="00AE4B03" w:rsidP="00AE4B03">
      <w:r>
        <w:rPr>
          <w:rStyle w:val="CommentReference"/>
        </w:rPr>
        <w:annotationRef/>
      </w:r>
      <w:r>
        <w:rPr>
          <w:sz w:val="20"/>
          <w:szCs w:val="20"/>
        </w:rPr>
        <w:t>This article is written in free format (not IMRaD) with the methods in a separate document. The abstract is in bold.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6BABB7" w15:done="0"/>
  <w15:commentEx w15:paraId="47A7550F" w15:done="0"/>
  <w15:commentEx w15:paraId="7977088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6BABB7" w16cid:durableId="515EEA5E"/>
  <w16cid:commentId w16cid:paraId="47A7550F" w16cid:durableId="6FEC84BA"/>
  <w16cid:commentId w16cid:paraId="79770885" w16cid:durableId="780575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9278D" w14:textId="77777777" w:rsidR="009D3AB8" w:rsidRDefault="009D3AB8" w:rsidP="00112DE2">
      <w:r>
        <w:separator/>
      </w:r>
    </w:p>
  </w:endnote>
  <w:endnote w:type="continuationSeparator" w:id="0">
    <w:p w14:paraId="509C9AB1" w14:textId="77777777" w:rsidR="009D3AB8" w:rsidRDefault="009D3AB8" w:rsidP="00112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7063834"/>
      <w:docPartObj>
        <w:docPartGallery w:val="Page Numbers (Bottom of Page)"/>
        <w:docPartUnique/>
      </w:docPartObj>
    </w:sdtPr>
    <w:sdtContent>
      <w:p w14:paraId="163E9DCE" w14:textId="4812420F" w:rsidR="00112DE2" w:rsidRDefault="00112DE2" w:rsidP="00813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D285A6" w14:textId="77777777" w:rsidR="00112DE2" w:rsidRDefault="00112DE2" w:rsidP="00112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40815544"/>
      <w:docPartObj>
        <w:docPartGallery w:val="Page Numbers (Bottom of Page)"/>
        <w:docPartUnique/>
      </w:docPartObj>
    </w:sdtPr>
    <w:sdtContent>
      <w:p w14:paraId="2591CD9E" w14:textId="5578AE54" w:rsidR="00112DE2" w:rsidRPr="00112DE2" w:rsidRDefault="00112DE2" w:rsidP="00813F77">
        <w:pPr>
          <w:pStyle w:val="Footer"/>
          <w:framePr w:wrap="none" w:vAnchor="text" w:hAnchor="margin" w:xAlign="right" w:y="1"/>
          <w:rPr>
            <w:rStyle w:val="PageNumber"/>
            <w:rFonts w:ascii="Times New Roman" w:hAnsi="Times New Roman" w:cs="Times New Roman"/>
          </w:rPr>
        </w:pPr>
        <w:r w:rsidRPr="00112DE2">
          <w:rPr>
            <w:rStyle w:val="PageNumber"/>
            <w:rFonts w:ascii="Times New Roman" w:hAnsi="Times New Roman" w:cs="Times New Roman"/>
          </w:rPr>
          <w:fldChar w:fldCharType="begin"/>
        </w:r>
        <w:r w:rsidRPr="00112DE2">
          <w:rPr>
            <w:rStyle w:val="PageNumber"/>
            <w:rFonts w:ascii="Times New Roman" w:hAnsi="Times New Roman" w:cs="Times New Roman"/>
          </w:rPr>
          <w:instrText xml:space="preserve"> PAGE </w:instrText>
        </w:r>
        <w:r w:rsidRPr="00112DE2">
          <w:rPr>
            <w:rStyle w:val="PageNumber"/>
            <w:rFonts w:ascii="Times New Roman" w:hAnsi="Times New Roman" w:cs="Times New Roman"/>
          </w:rPr>
          <w:fldChar w:fldCharType="separate"/>
        </w:r>
        <w:r w:rsidRPr="00112DE2">
          <w:rPr>
            <w:rStyle w:val="PageNumber"/>
            <w:rFonts w:ascii="Times New Roman" w:hAnsi="Times New Roman" w:cs="Times New Roman"/>
            <w:noProof/>
          </w:rPr>
          <w:t>1</w:t>
        </w:r>
        <w:r w:rsidRPr="00112DE2">
          <w:rPr>
            <w:rStyle w:val="PageNumber"/>
            <w:rFonts w:ascii="Times New Roman" w:hAnsi="Times New Roman" w:cs="Times New Roman"/>
          </w:rPr>
          <w:fldChar w:fldCharType="end"/>
        </w:r>
      </w:p>
    </w:sdtContent>
  </w:sdt>
  <w:p w14:paraId="777B9B86" w14:textId="77777777" w:rsidR="00112DE2" w:rsidRDefault="00112DE2" w:rsidP="00112D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E8DC6" w14:textId="77777777" w:rsidR="009D3AB8" w:rsidRDefault="009D3AB8" w:rsidP="00112DE2">
      <w:r>
        <w:separator/>
      </w:r>
    </w:p>
  </w:footnote>
  <w:footnote w:type="continuationSeparator" w:id="0">
    <w:p w14:paraId="1B8F83B1" w14:textId="77777777" w:rsidR="009D3AB8" w:rsidRDefault="009D3AB8" w:rsidP="00112DE2">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4"/>
    <w:rsid w:val="000004EA"/>
    <w:rsid w:val="00000F88"/>
    <w:rsid w:val="00004598"/>
    <w:rsid w:val="00006FDE"/>
    <w:rsid w:val="00007703"/>
    <w:rsid w:val="00010151"/>
    <w:rsid w:val="000106CD"/>
    <w:rsid w:val="0001133E"/>
    <w:rsid w:val="00016247"/>
    <w:rsid w:val="000168AA"/>
    <w:rsid w:val="00016ED3"/>
    <w:rsid w:val="00025A51"/>
    <w:rsid w:val="000274BA"/>
    <w:rsid w:val="0003094E"/>
    <w:rsid w:val="00031928"/>
    <w:rsid w:val="00034F81"/>
    <w:rsid w:val="00037882"/>
    <w:rsid w:val="00037B2C"/>
    <w:rsid w:val="00040C80"/>
    <w:rsid w:val="000415F2"/>
    <w:rsid w:val="00047B49"/>
    <w:rsid w:val="00053437"/>
    <w:rsid w:val="00055C7B"/>
    <w:rsid w:val="00055D6A"/>
    <w:rsid w:val="000605A0"/>
    <w:rsid w:val="000620EA"/>
    <w:rsid w:val="00063B39"/>
    <w:rsid w:val="0007144A"/>
    <w:rsid w:val="00075719"/>
    <w:rsid w:val="00075A14"/>
    <w:rsid w:val="00077AE8"/>
    <w:rsid w:val="0008268A"/>
    <w:rsid w:val="00090FC6"/>
    <w:rsid w:val="000915F7"/>
    <w:rsid w:val="00094488"/>
    <w:rsid w:val="000945D4"/>
    <w:rsid w:val="00096A35"/>
    <w:rsid w:val="000A0B4C"/>
    <w:rsid w:val="000A2461"/>
    <w:rsid w:val="000A2EF5"/>
    <w:rsid w:val="000A308B"/>
    <w:rsid w:val="000A4F81"/>
    <w:rsid w:val="000B2947"/>
    <w:rsid w:val="000B4031"/>
    <w:rsid w:val="000B466D"/>
    <w:rsid w:val="000B5429"/>
    <w:rsid w:val="000B7E9E"/>
    <w:rsid w:val="000C45A5"/>
    <w:rsid w:val="000C5239"/>
    <w:rsid w:val="000C57AC"/>
    <w:rsid w:val="000C7AF9"/>
    <w:rsid w:val="000D5F90"/>
    <w:rsid w:val="000D7EB1"/>
    <w:rsid w:val="000E17CF"/>
    <w:rsid w:val="000E7D2A"/>
    <w:rsid w:val="000F3C6B"/>
    <w:rsid w:val="000F5893"/>
    <w:rsid w:val="00100DB5"/>
    <w:rsid w:val="00102C3D"/>
    <w:rsid w:val="001039BD"/>
    <w:rsid w:val="00105658"/>
    <w:rsid w:val="001075FD"/>
    <w:rsid w:val="00107C38"/>
    <w:rsid w:val="0011239F"/>
    <w:rsid w:val="00112DE2"/>
    <w:rsid w:val="00117B16"/>
    <w:rsid w:val="00117B38"/>
    <w:rsid w:val="001201D6"/>
    <w:rsid w:val="00121ABA"/>
    <w:rsid w:val="00126496"/>
    <w:rsid w:val="00131728"/>
    <w:rsid w:val="00133E12"/>
    <w:rsid w:val="001365C3"/>
    <w:rsid w:val="001425A3"/>
    <w:rsid w:val="00143F70"/>
    <w:rsid w:val="001450CB"/>
    <w:rsid w:val="0014645B"/>
    <w:rsid w:val="00146901"/>
    <w:rsid w:val="00147866"/>
    <w:rsid w:val="00147B41"/>
    <w:rsid w:val="00151E62"/>
    <w:rsid w:val="00151EF2"/>
    <w:rsid w:val="001546BB"/>
    <w:rsid w:val="001577E8"/>
    <w:rsid w:val="00157843"/>
    <w:rsid w:val="001609CF"/>
    <w:rsid w:val="00173CE3"/>
    <w:rsid w:val="001742E5"/>
    <w:rsid w:val="0017484F"/>
    <w:rsid w:val="001757CF"/>
    <w:rsid w:val="0018123E"/>
    <w:rsid w:val="0018158F"/>
    <w:rsid w:val="00181B85"/>
    <w:rsid w:val="001863CD"/>
    <w:rsid w:val="00187610"/>
    <w:rsid w:val="0019023D"/>
    <w:rsid w:val="00190AE4"/>
    <w:rsid w:val="00192382"/>
    <w:rsid w:val="00196B3D"/>
    <w:rsid w:val="001A0A29"/>
    <w:rsid w:val="001A44CA"/>
    <w:rsid w:val="001A658D"/>
    <w:rsid w:val="001A7476"/>
    <w:rsid w:val="001B0AA8"/>
    <w:rsid w:val="001B254F"/>
    <w:rsid w:val="001B2EB9"/>
    <w:rsid w:val="001B38E4"/>
    <w:rsid w:val="001B49A9"/>
    <w:rsid w:val="001B600F"/>
    <w:rsid w:val="001B7429"/>
    <w:rsid w:val="001C39D0"/>
    <w:rsid w:val="001C3C71"/>
    <w:rsid w:val="001C6181"/>
    <w:rsid w:val="001C67E4"/>
    <w:rsid w:val="001E07DC"/>
    <w:rsid w:val="001E1F4A"/>
    <w:rsid w:val="001E26AC"/>
    <w:rsid w:val="001F151E"/>
    <w:rsid w:val="001F6C67"/>
    <w:rsid w:val="001F7994"/>
    <w:rsid w:val="00206D01"/>
    <w:rsid w:val="00211868"/>
    <w:rsid w:val="00214AAF"/>
    <w:rsid w:val="00214F81"/>
    <w:rsid w:val="00217D12"/>
    <w:rsid w:val="002225DC"/>
    <w:rsid w:val="00222C7E"/>
    <w:rsid w:val="00223B5F"/>
    <w:rsid w:val="00226979"/>
    <w:rsid w:val="00227527"/>
    <w:rsid w:val="00227AC8"/>
    <w:rsid w:val="00233498"/>
    <w:rsid w:val="00233672"/>
    <w:rsid w:val="00234B7D"/>
    <w:rsid w:val="00236826"/>
    <w:rsid w:val="00236F1D"/>
    <w:rsid w:val="00237301"/>
    <w:rsid w:val="00237FD2"/>
    <w:rsid w:val="00243D60"/>
    <w:rsid w:val="002456F9"/>
    <w:rsid w:val="00247C82"/>
    <w:rsid w:val="00250FF8"/>
    <w:rsid w:val="00254593"/>
    <w:rsid w:val="002556F8"/>
    <w:rsid w:val="0026060B"/>
    <w:rsid w:val="00264617"/>
    <w:rsid w:val="002656D8"/>
    <w:rsid w:val="00267A32"/>
    <w:rsid w:val="002704A3"/>
    <w:rsid w:val="002707BD"/>
    <w:rsid w:val="002708DA"/>
    <w:rsid w:val="00271906"/>
    <w:rsid w:val="00272071"/>
    <w:rsid w:val="00272F41"/>
    <w:rsid w:val="002768B6"/>
    <w:rsid w:val="002829E3"/>
    <w:rsid w:val="00284E54"/>
    <w:rsid w:val="00285022"/>
    <w:rsid w:val="002875F6"/>
    <w:rsid w:val="002903C0"/>
    <w:rsid w:val="00291B14"/>
    <w:rsid w:val="00292FC4"/>
    <w:rsid w:val="002A0D1A"/>
    <w:rsid w:val="002A383C"/>
    <w:rsid w:val="002A64B5"/>
    <w:rsid w:val="002B08DA"/>
    <w:rsid w:val="002C06D3"/>
    <w:rsid w:val="002C37ED"/>
    <w:rsid w:val="002C3912"/>
    <w:rsid w:val="002C4834"/>
    <w:rsid w:val="002C644E"/>
    <w:rsid w:val="002C6F68"/>
    <w:rsid w:val="002D2E76"/>
    <w:rsid w:val="002D3662"/>
    <w:rsid w:val="002D429D"/>
    <w:rsid w:val="002D48AC"/>
    <w:rsid w:val="002D6505"/>
    <w:rsid w:val="002D6B1A"/>
    <w:rsid w:val="002E2C63"/>
    <w:rsid w:val="002E31E7"/>
    <w:rsid w:val="002E3FA8"/>
    <w:rsid w:val="002E409E"/>
    <w:rsid w:val="002E4220"/>
    <w:rsid w:val="002E539B"/>
    <w:rsid w:val="002E74ED"/>
    <w:rsid w:val="002F315D"/>
    <w:rsid w:val="002F4DC0"/>
    <w:rsid w:val="002F5882"/>
    <w:rsid w:val="002F7111"/>
    <w:rsid w:val="003025BD"/>
    <w:rsid w:val="0030433D"/>
    <w:rsid w:val="00305350"/>
    <w:rsid w:val="00305A1A"/>
    <w:rsid w:val="00315704"/>
    <w:rsid w:val="003157DB"/>
    <w:rsid w:val="00315C9E"/>
    <w:rsid w:val="0031642F"/>
    <w:rsid w:val="0031649F"/>
    <w:rsid w:val="0032058D"/>
    <w:rsid w:val="00324E47"/>
    <w:rsid w:val="0032644D"/>
    <w:rsid w:val="00327E4F"/>
    <w:rsid w:val="00335414"/>
    <w:rsid w:val="00335A2F"/>
    <w:rsid w:val="00336103"/>
    <w:rsid w:val="0033675D"/>
    <w:rsid w:val="0035067C"/>
    <w:rsid w:val="00350A9D"/>
    <w:rsid w:val="00353EE2"/>
    <w:rsid w:val="00361B1D"/>
    <w:rsid w:val="0036210A"/>
    <w:rsid w:val="0036405A"/>
    <w:rsid w:val="00364108"/>
    <w:rsid w:val="00370B18"/>
    <w:rsid w:val="00372EF7"/>
    <w:rsid w:val="003759AC"/>
    <w:rsid w:val="00375BE3"/>
    <w:rsid w:val="00375CEF"/>
    <w:rsid w:val="00376410"/>
    <w:rsid w:val="0037663D"/>
    <w:rsid w:val="00376FAF"/>
    <w:rsid w:val="00377ABB"/>
    <w:rsid w:val="00377D7E"/>
    <w:rsid w:val="00384F94"/>
    <w:rsid w:val="003866CB"/>
    <w:rsid w:val="00390006"/>
    <w:rsid w:val="00390439"/>
    <w:rsid w:val="003966C0"/>
    <w:rsid w:val="003A015A"/>
    <w:rsid w:val="003A03A0"/>
    <w:rsid w:val="003A5E19"/>
    <w:rsid w:val="003A6FB7"/>
    <w:rsid w:val="003A773A"/>
    <w:rsid w:val="003B18E0"/>
    <w:rsid w:val="003B3DDB"/>
    <w:rsid w:val="003B58A2"/>
    <w:rsid w:val="003B7347"/>
    <w:rsid w:val="003C00C1"/>
    <w:rsid w:val="003C0A49"/>
    <w:rsid w:val="003C36DF"/>
    <w:rsid w:val="003D0E31"/>
    <w:rsid w:val="003D1500"/>
    <w:rsid w:val="003D2FC3"/>
    <w:rsid w:val="003D4F2C"/>
    <w:rsid w:val="003E0C68"/>
    <w:rsid w:val="003E5218"/>
    <w:rsid w:val="003E7562"/>
    <w:rsid w:val="003F0E95"/>
    <w:rsid w:val="003F207C"/>
    <w:rsid w:val="003F209B"/>
    <w:rsid w:val="00400869"/>
    <w:rsid w:val="00400C70"/>
    <w:rsid w:val="00405987"/>
    <w:rsid w:val="00411DBF"/>
    <w:rsid w:val="00412810"/>
    <w:rsid w:val="004129E6"/>
    <w:rsid w:val="00414CCA"/>
    <w:rsid w:val="00416815"/>
    <w:rsid w:val="004209C9"/>
    <w:rsid w:val="00420EF5"/>
    <w:rsid w:val="00421ACD"/>
    <w:rsid w:val="004226B8"/>
    <w:rsid w:val="004253CB"/>
    <w:rsid w:val="00426750"/>
    <w:rsid w:val="00427690"/>
    <w:rsid w:val="00431658"/>
    <w:rsid w:val="004318CE"/>
    <w:rsid w:val="00431FA8"/>
    <w:rsid w:val="00432BDF"/>
    <w:rsid w:val="00434017"/>
    <w:rsid w:val="00434CFA"/>
    <w:rsid w:val="00434F9E"/>
    <w:rsid w:val="004378F3"/>
    <w:rsid w:val="00446E04"/>
    <w:rsid w:val="0044753A"/>
    <w:rsid w:val="004506B4"/>
    <w:rsid w:val="00450F76"/>
    <w:rsid w:val="00455BBA"/>
    <w:rsid w:val="00455D5A"/>
    <w:rsid w:val="00457698"/>
    <w:rsid w:val="004621C7"/>
    <w:rsid w:val="004636EC"/>
    <w:rsid w:val="004734A9"/>
    <w:rsid w:val="00474DB5"/>
    <w:rsid w:val="004865B3"/>
    <w:rsid w:val="00492ED4"/>
    <w:rsid w:val="00494CEA"/>
    <w:rsid w:val="00497264"/>
    <w:rsid w:val="004A0F3F"/>
    <w:rsid w:val="004A1D23"/>
    <w:rsid w:val="004A29FD"/>
    <w:rsid w:val="004A2E04"/>
    <w:rsid w:val="004A3CAC"/>
    <w:rsid w:val="004A67D4"/>
    <w:rsid w:val="004A7A39"/>
    <w:rsid w:val="004B2214"/>
    <w:rsid w:val="004B332B"/>
    <w:rsid w:val="004C36B2"/>
    <w:rsid w:val="004D0BA5"/>
    <w:rsid w:val="004D1071"/>
    <w:rsid w:val="004D1343"/>
    <w:rsid w:val="004D1382"/>
    <w:rsid w:val="004D16E2"/>
    <w:rsid w:val="004D609A"/>
    <w:rsid w:val="004D73C6"/>
    <w:rsid w:val="004D7775"/>
    <w:rsid w:val="004D7FC0"/>
    <w:rsid w:val="004E0739"/>
    <w:rsid w:val="004E49B9"/>
    <w:rsid w:val="004E6533"/>
    <w:rsid w:val="004F19D6"/>
    <w:rsid w:val="004F314B"/>
    <w:rsid w:val="004F4615"/>
    <w:rsid w:val="00500BE2"/>
    <w:rsid w:val="00502543"/>
    <w:rsid w:val="0051025D"/>
    <w:rsid w:val="005107FE"/>
    <w:rsid w:val="00516737"/>
    <w:rsid w:val="0052095A"/>
    <w:rsid w:val="005228F9"/>
    <w:rsid w:val="00522EE8"/>
    <w:rsid w:val="00527BA6"/>
    <w:rsid w:val="00527D9D"/>
    <w:rsid w:val="00532720"/>
    <w:rsid w:val="00532AD5"/>
    <w:rsid w:val="00532BAB"/>
    <w:rsid w:val="00532C5E"/>
    <w:rsid w:val="00532F7C"/>
    <w:rsid w:val="005335FB"/>
    <w:rsid w:val="00533E11"/>
    <w:rsid w:val="00536724"/>
    <w:rsid w:val="0054057A"/>
    <w:rsid w:val="00542028"/>
    <w:rsid w:val="005429B7"/>
    <w:rsid w:val="00543C3D"/>
    <w:rsid w:val="00546009"/>
    <w:rsid w:val="00546990"/>
    <w:rsid w:val="00552941"/>
    <w:rsid w:val="0055303B"/>
    <w:rsid w:val="00553500"/>
    <w:rsid w:val="005576D0"/>
    <w:rsid w:val="00560CB2"/>
    <w:rsid w:val="00562D0F"/>
    <w:rsid w:val="005633FF"/>
    <w:rsid w:val="0056347F"/>
    <w:rsid w:val="00567415"/>
    <w:rsid w:val="005675AF"/>
    <w:rsid w:val="0057402F"/>
    <w:rsid w:val="00575A45"/>
    <w:rsid w:val="00576D06"/>
    <w:rsid w:val="00576EF7"/>
    <w:rsid w:val="00581097"/>
    <w:rsid w:val="0058354A"/>
    <w:rsid w:val="00583618"/>
    <w:rsid w:val="005841B7"/>
    <w:rsid w:val="005852E3"/>
    <w:rsid w:val="00591F25"/>
    <w:rsid w:val="00593609"/>
    <w:rsid w:val="00595046"/>
    <w:rsid w:val="005A1089"/>
    <w:rsid w:val="005A1185"/>
    <w:rsid w:val="005A309C"/>
    <w:rsid w:val="005A42C9"/>
    <w:rsid w:val="005A484C"/>
    <w:rsid w:val="005B1D80"/>
    <w:rsid w:val="005B2C6D"/>
    <w:rsid w:val="005B2CD2"/>
    <w:rsid w:val="005B6249"/>
    <w:rsid w:val="005C3925"/>
    <w:rsid w:val="005C549A"/>
    <w:rsid w:val="005D25A5"/>
    <w:rsid w:val="005D4299"/>
    <w:rsid w:val="005D76CA"/>
    <w:rsid w:val="005E3108"/>
    <w:rsid w:val="005E5462"/>
    <w:rsid w:val="005F0061"/>
    <w:rsid w:val="005F1397"/>
    <w:rsid w:val="005F16E2"/>
    <w:rsid w:val="005F1BD5"/>
    <w:rsid w:val="005F721A"/>
    <w:rsid w:val="0060036A"/>
    <w:rsid w:val="006007C2"/>
    <w:rsid w:val="00602221"/>
    <w:rsid w:val="00603DC3"/>
    <w:rsid w:val="00604232"/>
    <w:rsid w:val="00610AC2"/>
    <w:rsid w:val="00613149"/>
    <w:rsid w:val="0061584D"/>
    <w:rsid w:val="00616393"/>
    <w:rsid w:val="00616AA5"/>
    <w:rsid w:val="006245DD"/>
    <w:rsid w:val="006257DF"/>
    <w:rsid w:val="006270D7"/>
    <w:rsid w:val="0063061E"/>
    <w:rsid w:val="00630DAB"/>
    <w:rsid w:val="00633A41"/>
    <w:rsid w:val="00633FEA"/>
    <w:rsid w:val="006349FD"/>
    <w:rsid w:val="006352DA"/>
    <w:rsid w:val="00635791"/>
    <w:rsid w:val="00636614"/>
    <w:rsid w:val="006366E0"/>
    <w:rsid w:val="006368DB"/>
    <w:rsid w:val="006450EC"/>
    <w:rsid w:val="0064710B"/>
    <w:rsid w:val="006474B9"/>
    <w:rsid w:val="006533FF"/>
    <w:rsid w:val="0065350F"/>
    <w:rsid w:val="0065654F"/>
    <w:rsid w:val="00657D20"/>
    <w:rsid w:val="00660434"/>
    <w:rsid w:val="00663E98"/>
    <w:rsid w:val="00664542"/>
    <w:rsid w:val="00664BF8"/>
    <w:rsid w:val="006661F1"/>
    <w:rsid w:val="0066699B"/>
    <w:rsid w:val="00677AB7"/>
    <w:rsid w:val="006849D6"/>
    <w:rsid w:val="00687CD0"/>
    <w:rsid w:val="006927C8"/>
    <w:rsid w:val="00693631"/>
    <w:rsid w:val="00693FFF"/>
    <w:rsid w:val="006A0925"/>
    <w:rsid w:val="006A174C"/>
    <w:rsid w:val="006A2C22"/>
    <w:rsid w:val="006A70DF"/>
    <w:rsid w:val="006B0E2E"/>
    <w:rsid w:val="006B16AA"/>
    <w:rsid w:val="006B1B0D"/>
    <w:rsid w:val="006B3D57"/>
    <w:rsid w:val="006C36E0"/>
    <w:rsid w:val="006C491A"/>
    <w:rsid w:val="006C7768"/>
    <w:rsid w:val="006D0027"/>
    <w:rsid w:val="006D0351"/>
    <w:rsid w:val="006D11AB"/>
    <w:rsid w:val="006D3D07"/>
    <w:rsid w:val="006D41EC"/>
    <w:rsid w:val="006D481B"/>
    <w:rsid w:val="006D6E57"/>
    <w:rsid w:val="006E1DE3"/>
    <w:rsid w:val="006E23A8"/>
    <w:rsid w:val="006E7E6D"/>
    <w:rsid w:val="006F1192"/>
    <w:rsid w:val="006F266C"/>
    <w:rsid w:val="006F3021"/>
    <w:rsid w:val="006F5B82"/>
    <w:rsid w:val="006F7046"/>
    <w:rsid w:val="006F78C4"/>
    <w:rsid w:val="00703389"/>
    <w:rsid w:val="00703B45"/>
    <w:rsid w:val="0071101F"/>
    <w:rsid w:val="007118A0"/>
    <w:rsid w:val="0071222A"/>
    <w:rsid w:val="007170A1"/>
    <w:rsid w:val="00720891"/>
    <w:rsid w:val="00721F3F"/>
    <w:rsid w:val="007224E7"/>
    <w:rsid w:val="00723A8E"/>
    <w:rsid w:val="0072535B"/>
    <w:rsid w:val="00732AAD"/>
    <w:rsid w:val="00734D5A"/>
    <w:rsid w:val="00736BDF"/>
    <w:rsid w:val="00743CC1"/>
    <w:rsid w:val="007468A2"/>
    <w:rsid w:val="007542E9"/>
    <w:rsid w:val="00755474"/>
    <w:rsid w:val="0076453C"/>
    <w:rsid w:val="00767143"/>
    <w:rsid w:val="00767228"/>
    <w:rsid w:val="007712C8"/>
    <w:rsid w:val="007715B5"/>
    <w:rsid w:val="00772BF9"/>
    <w:rsid w:val="007746DE"/>
    <w:rsid w:val="007749EE"/>
    <w:rsid w:val="007755EE"/>
    <w:rsid w:val="007808ED"/>
    <w:rsid w:val="00781BF2"/>
    <w:rsid w:val="00781DF3"/>
    <w:rsid w:val="007828BE"/>
    <w:rsid w:val="00783004"/>
    <w:rsid w:val="007831BD"/>
    <w:rsid w:val="007851D3"/>
    <w:rsid w:val="0078528B"/>
    <w:rsid w:val="00790A89"/>
    <w:rsid w:val="00793E64"/>
    <w:rsid w:val="007A48D2"/>
    <w:rsid w:val="007A4954"/>
    <w:rsid w:val="007A5D79"/>
    <w:rsid w:val="007B5EBE"/>
    <w:rsid w:val="007B652C"/>
    <w:rsid w:val="007B709B"/>
    <w:rsid w:val="007C0391"/>
    <w:rsid w:val="007C064B"/>
    <w:rsid w:val="007C430D"/>
    <w:rsid w:val="007C4377"/>
    <w:rsid w:val="007C5F77"/>
    <w:rsid w:val="007C65B0"/>
    <w:rsid w:val="007C6A94"/>
    <w:rsid w:val="007D0F94"/>
    <w:rsid w:val="007D2352"/>
    <w:rsid w:val="007D47B7"/>
    <w:rsid w:val="007D4F04"/>
    <w:rsid w:val="007D5954"/>
    <w:rsid w:val="007E347C"/>
    <w:rsid w:val="007E4A9F"/>
    <w:rsid w:val="007E5290"/>
    <w:rsid w:val="007F4568"/>
    <w:rsid w:val="007F4DB9"/>
    <w:rsid w:val="007F5BA5"/>
    <w:rsid w:val="007F604A"/>
    <w:rsid w:val="007F60E1"/>
    <w:rsid w:val="007F6FDE"/>
    <w:rsid w:val="00802AE9"/>
    <w:rsid w:val="00806487"/>
    <w:rsid w:val="008108AA"/>
    <w:rsid w:val="00815212"/>
    <w:rsid w:val="00815789"/>
    <w:rsid w:val="00816AE0"/>
    <w:rsid w:val="0081733D"/>
    <w:rsid w:val="00820E37"/>
    <w:rsid w:val="008213A1"/>
    <w:rsid w:val="00825296"/>
    <w:rsid w:val="00825F45"/>
    <w:rsid w:val="00827120"/>
    <w:rsid w:val="00833BB7"/>
    <w:rsid w:val="00834145"/>
    <w:rsid w:val="00840338"/>
    <w:rsid w:val="008423A5"/>
    <w:rsid w:val="00843072"/>
    <w:rsid w:val="00845A30"/>
    <w:rsid w:val="00845CE8"/>
    <w:rsid w:val="00851CE4"/>
    <w:rsid w:val="00854616"/>
    <w:rsid w:val="008625C1"/>
    <w:rsid w:val="008636EF"/>
    <w:rsid w:val="00864BE0"/>
    <w:rsid w:val="00865EEE"/>
    <w:rsid w:val="00871613"/>
    <w:rsid w:val="00872D36"/>
    <w:rsid w:val="00873114"/>
    <w:rsid w:val="0087523B"/>
    <w:rsid w:val="00875BA4"/>
    <w:rsid w:val="00880139"/>
    <w:rsid w:val="00882990"/>
    <w:rsid w:val="0088458E"/>
    <w:rsid w:val="00885F9A"/>
    <w:rsid w:val="00890C90"/>
    <w:rsid w:val="00892A30"/>
    <w:rsid w:val="00893746"/>
    <w:rsid w:val="00896CDD"/>
    <w:rsid w:val="008A34E2"/>
    <w:rsid w:val="008A5A20"/>
    <w:rsid w:val="008A7252"/>
    <w:rsid w:val="008A7897"/>
    <w:rsid w:val="008B025B"/>
    <w:rsid w:val="008B1537"/>
    <w:rsid w:val="008B1D32"/>
    <w:rsid w:val="008B4582"/>
    <w:rsid w:val="008C2F99"/>
    <w:rsid w:val="008C3952"/>
    <w:rsid w:val="008C5E16"/>
    <w:rsid w:val="008C5F6D"/>
    <w:rsid w:val="008C7B0F"/>
    <w:rsid w:val="008D0BEE"/>
    <w:rsid w:val="008D1828"/>
    <w:rsid w:val="008D5444"/>
    <w:rsid w:val="008D7021"/>
    <w:rsid w:val="008D7685"/>
    <w:rsid w:val="008E10A0"/>
    <w:rsid w:val="008E252E"/>
    <w:rsid w:val="008E5A3A"/>
    <w:rsid w:val="008E6CB3"/>
    <w:rsid w:val="008F0EA2"/>
    <w:rsid w:val="008F50C6"/>
    <w:rsid w:val="008F57D0"/>
    <w:rsid w:val="008F5857"/>
    <w:rsid w:val="008F7556"/>
    <w:rsid w:val="008F7F2F"/>
    <w:rsid w:val="00901729"/>
    <w:rsid w:val="00901F4E"/>
    <w:rsid w:val="009039AE"/>
    <w:rsid w:val="009120A6"/>
    <w:rsid w:val="009129E8"/>
    <w:rsid w:val="00913DE8"/>
    <w:rsid w:val="0091523D"/>
    <w:rsid w:val="00915643"/>
    <w:rsid w:val="0091671C"/>
    <w:rsid w:val="0091732A"/>
    <w:rsid w:val="00920AE0"/>
    <w:rsid w:val="00920AF1"/>
    <w:rsid w:val="00922395"/>
    <w:rsid w:val="00923D9A"/>
    <w:rsid w:val="00925968"/>
    <w:rsid w:val="009277AB"/>
    <w:rsid w:val="00934242"/>
    <w:rsid w:val="00934B4E"/>
    <w:rsid w:val="00936974"/>
    <w:rsid w:val="00941908"/>
    <w:rsid w:val="00942AE4"/>
    <w:rsid w:val="00942C9E"/>
    <w:rsid w:val="00942F25"/>
    <w:rsid w:val="00943ACE"/>
    <w:rsid w:val="009443F9"/>
    <w:rsid w:val="00950550"/>
    <w:rsid w:val="00956370"/>
    <w:rsid w:val="00957C39"/>
    <w:rsid w:val="00960B80"/>
    <w:rsid w:val="009614F3"/>
    <w:rsid w:val="00961852"/>
    <w:rsid w:val="00962449"/>
    <w:rsid w:val="009663CE"/>
    <w:rsid w:val="009674E9"/>
    <w:rsid w:val="00967CB3"/>
    <w:rsid w:val="009717A2"/>
    <w:rsid w:val="00973C4D"/>
    <w:rsid w:val="009843B6"/>
    <w:rsid w:val="009848FF"/>
    <w:rsid w:val="009912E9"/>
    <w:rsid w:val="009924E7"/>
    <w:rsid w:val="009938A9"/>
    <w:rsid w:val="00993D19"/>
    <w:rsid w:val="0099414C"/>
    <w:rsid w:val="00996594"/>
    <w:rsid w:val="009965F7"/>
    <w:rsid w:val="00997F73"/>
    <w:rsid w:val="009A1F0D"/>
    <w:rsid w:val="009A325C"/>
    <w:rsid w:val="009A53D6"/>
    <w:rsid w:val="009A673E"/>
    <w:rsid w:val="009B0C1F"/>
    <w:rsid w:val="009B41D8"/>
    <w:rsid w:val="009B4478"/>
    <w:rsid w:val="009B5753"/>
    <w:rsid w:val="009B7529"/>
    <w:rsid w:val="009C0638"/>
    <w:rsid w:val="009C2498"/>
    <w:rsid w:val="009C4E19"/>
    <w:rsid w:val="009D17D3"/>
    <w:rsid w:val="009D3AB8"/>
    <w:rsid w:val="009D49DD"/>
    <w:rsid w:val="009D6426"/>
    <w:rsid w:val="009E0612"/>
    <w:rsid w:val="009E170C"/>
    <w:rsid w:val="009F39D5"/>
    <w:rsid w:val="009F7386"/>
    <w:rsid w:val="009F7ED2"/>
    <w:rsid w:val="00A0604C"/>
    <w:rsid w:val="00A10728"/>
    <w:rsid w:val="00A110BC"/>
    <w:rsid w:val="00A136FA"/>
    <w:rsid w:val="00A15FCD"/>
    <w:rsid w:val="00A16AFE"/>
    <w:rsid w:val="00A20D3C"/>
    <w:rsid w:val="00A22555"/>
    <w:rsid w:val="00A2269A"/>
    <w:rsid w:val="00A2405D"/>
    <w:rsid w:val="00A24209"/>
    <w:rsid w:val="00A2437B"/>
    <w:rsid w:val="00A243F3"/>
    <w:rsid w:val="00A258B4"/>
    <w:rsid w:val="00A30BEE"/>
    <w:rsid w:val="00A31B3A"/>
    <w:rsid w:val="00A325F1"/>
    <w:rsid w:val="00A33B8C"/>
    <w:rsid w:val="00A3483D"/>
    <w:rsid w:val="00A37C02"/>
    <w:rsid w:val="00A4148C"/>
    <w:rsid w:val="00A41F49"/>
    <w:rsid w:val="00A42D65"/>
    <w:rsid w:val="00A43C88"/>
    <w:rsid w:val="00A44138"/>
    <w:rsid w:val="00A447AB"/>
    <w:rsid w:val="00A4505B"/>
    <w:rsid w:val="00A464FB"/>
    <w:rsid w:val="00A46754"/>
    <w:rsid w:val="00A5172F"/>
    <w:rsid w:val="00A518E9"/>
    <w:rsid w:val="00A5381E"/>
    <w:rsid w:val="00A53FB3"/>
    <w:rsid w:val="00A55F11"/>
    <w:rsid w:val="00A5725F"/>
    <w:rsid w:val="00A631A8"/>
    <w:rsid w:val="00A636C5"/>
    <w:rsid w:val="00A70812"/>
    <w:rsid w:val="00A70A03"/>
    <w:rsid w:val="00A726E6"/>
    <w:rsid w:val="00A72A02"/>
    <w:rsid w:val="00A734A8"/>
    <w:rsid w:val="00A761EF"/>
    <w:rsid w:val="00A76C21"/>
    <w:rsid w:val="00A80A8F"/>
    <w:rsid w:val="00A81598"/>
    <w:rsid w:val="00A8194F"/>
    <w:rsid w:val="00A82F62"/>
    <w:rsid w:val="00A832AB"/>
    <w:rsid w:val="00A85AAE"/>
    <w:rsid w:val="00A87FFC"/>
    <w:rsid w:val="00A91C59"/>
    <w:rsid w:val="00A91D48"/>
    <w:rsid w:val="00A92C2C"/>
    <w:rsid w:val="00A9364D"/>
    <w:rsid w:val="00A9441C"/>
    <w:rsid w:val="00A94F0C"/>
    <w:rsid w:val="00AA4B82"/>
    <w:rsid w:val="00AA6779"/>
    <w:rsid w:val="00AA7EA9"/>
    <w:rsid w:val="00AB3174"/>
    <w:rsid w:val="00AB41DF"/>
    <w:rsid w:val="00AB5C40"/>
    <w:rsid w:val="00AC025B"/>
    <w:rsid w:val="00AC0439"/>
    <w:rsid w:val="00AC2A15"/>
    <w:rsid w:val="00AC71BA"/>
    <w:rsid w:val="00AC7737"/>
    <w:rsid w:val="00AC787E"/>
    <w:rsid w:val="00AC7B17"/>
    <w:rsid w:val="00AC7FA2"/>
    <w:rsid w:val="00AD0D6B"/>
    <w:rsid w:val="00AD2A66"/>
    <w:rsid w:val="00AE4B03"/>
    <w:rsid w:val="00AE7721"/>
    <w:rsid w:val="00AF1E0C"/>
    <w:rsid w:val="00AF6590"/>
    <w:rsid w:val="00B003A1"/>
    <w:rsid w:val="00B037AA"/>
    <w:rsid w:val="00B038DF"/>
    <w:rsid w:val="00B03C15"/>
    <w:rsid w:val="00B04454"/>
    <w:rsid w:val="00B06577"/>
    <w:rsid w:val="00B108A0"/>
    <w:rsid w:val="00B10A92"/>
    <w:rsid w:val="00B10ECC"/>
    <w:rsid w:val="00B125EC"/>
    <w:rsid w:val="00B12D66"/>
    <w:rsid w:val="00B13995"/>
    <w:rsid w:val="00B14A0B"/>
    <w:rsid w:val="00B23EBA"/>
    <w:rsid w:val="00B266FE"/>
    <w:rsid w:val="00B26C75"/>
    <w:rsid w:val="00B27C7E"/>
    <w:rsid w:val="00B32F7E"/>
    <w:rsid w:val="00B33888"/>
    <w:rsid w:val="00B46DC8"/>
    <w:rsid w:val="00B4795C"/>
    <w:rsid w:val="00B51ACD"/>
    <w:rsid w:val="00B52E2E"/>
    <w:rsid w:val="00B53AF2"/>
    <w:rsid w:val="00B55081"/>
    <w:rsid w:val="00B56A50"/>
    <w:rsid w:val="00B56D1A"/>
    <w:rsid w:val="00B64DBA"/>
    <w:rsid w:val="00B67385"/>
    <w:rsid w:val="00B70CA9"/>
    <w:rsid w:val="00B76750"/>
    <w:rsid w:val="00B819C7"/>
    <w:rsid w:val="00B81ECD"/>
    <w:rsid w:val="00B82B5E"/>
    <w:rsid w:val="00B8428C"/>
    <w:rsid w:val="00B85BD3"/>
    <w:rsid w:val="00B86792"/>
    <w:rsid w:val="00B9022C"/>
    <w:rsid w:val="00B93A4D"/>
    <w:rsid w:val="00B93B38"/>
    <w:rsid w:val="00B96376"/>
    <w:rsid w:val="00B96A12"/>
    <w:rsid w:val="00B96A84"/>
    <w:rsid w:val="00B97E0A"/>
    <w:rsid w:val="00BA4371"/>
    <w:rsid w:val="00BA5FBB"/>
    <w:rsid w:val="00BA68EE"/>
    <w:rsid w:val="00BA69B1"/>
    <w:rsid w:val="00BA79D2"/>
    <w:rsid w:val="00BB30D6"/>
    <w:rsid w:val="00BB5139"/>
    <w:rsid w:val="00BB6A92"/>
    <w:rsid w:val="00BC0AEA"/>
    <w:rsid w:val="00BC214B"/>
    <w:rsid w:val="00BC251C"/>
    <w:rsid w:val="00BC4D9D"/>
    <w:rsid w:val="00BC5F43"/>
    <w:rsid w:val="00BC6828"/>
    <w:rsid w:val="00BD3794"/>
    <w:rsid w:val="00BD3DBA"/>
    <w:rsid w:val="00BD623A"/>
    <w:rsid w:val="00BE4971"/>
    <w:rsid w:val="00BE650E"/>
    <w:rsid w:val="00BF21B2"/>
    <w:rsid w:val="00BF3980"/>
    <w:rsid w:val="00BF44B3"/>
    <w:rsid w:val="00BF5833"/>
    <w:rsid w:val="00BF5B12"/>
    <w:rsid w:val="00C06017"/>
    <w:rsid w:val="00C07715"/>
    <w:rsid w:val="00C14D2D"/>
    <w:rsid w:val="00C17E9E"/>
    <w:rsid w:val="00C217F2"/>
    <w:rsid w:val="00C2229F"/>
    <w:rsid w:val="00C23E17"/>
    <w:rsid w:val="00C2416E"/>
    <w:rsid w:val="00C25452"/>
    <w:rsid w:val="00C30048"/>
    <w:rsid w:val="00C32367"/>
    <w:rsid w:val="00C356E6"/>
    <w:rsid w:val="00C360F9"/>
    <w:rsid w:val="00C3768A"/>
    <w:rsid w:val="00C4009D"/>
    <w:rsid w:val="00C41771"/>
    <w:rsid w:val="00C46C27"/>
    <w:rsid w:val="00C50D03"/>
    <w:rsid w:val="00C52DDF"/>
    <w:rsid w:val="00C52F26"/>
    <w:rsid w:val="00C54538"/>
    <w:rsid w:val="00C56707"/>
    <w:rsid w:val="00C57278"/>
    <w:rsid w:val="00C57B5E"/>
    <w:rsid w:val="00C641DB"/>
    <w:rsid w:val="00C659E4"/>
    <w:rsid w:val="00C6641F"/>
    <w:rsid w:val="00C67360"/>
    <w:rsid w:val="00C718F0"/>
    <w:rsid w:val="00C72330"/>
    <w:rsid w:val="00C75E99"/>
    <w:rsid w:val="00C765EB"/>
    <w:rsid w:val="00C7671B"/>
    <w:rsid w:val="00C76D9D"/>
    <w:rsid w:val="00C85AAB"/>
    <w:rsid w:val="00C8703D"/>
    <w:rsid w:val="00C8714F"/>
    <w:rsid w:val="00C871D7"/>
    <w:rsid w:val="00C92FE2"/>
    <w:rsid w:val="00C93990"/>
    <w:rsid w:val="00C94D57"/>
    <w:rsid w:val="00CA3B52"/>
    <w:rsid w:val="00CA416A"/>
    <w:rsid w:val="00CA5229"/>
    <w:rsid w:val="00CB082D"/>
    <w:rsid w:val="00CB1A8E"/>
    <w:rsid w:val="00CB2D12"/>
    <w:rsid w:val="00CB3E96"/>
    <w:rsid w:val="00CB478A"/>
    <w:rsid w:val="00CB7E6B"/>
    <w:rsid w:val="00CC289F"/>
    <w:rsid w:val="00CC34F5"/>
    <w:rsid w:val="00CD58DF"/>
    <w:rsid w:val="00CD6F50"/>
    <w:rsid w:val="00CD74F9"/>
    <w:rsid w:val="00CE05FD"/>
    <w:rsid w:val="00CE0844"/>
    <w:rsid w:val="00CE0D3A"/>
    <w:rsid w:val="00CE314D"/>
    <w:rsid w:val="00CE6B56"/>
    <w:rsid w:val="00CE77D2"/>
    <w:rsid w:val="00CE79BF"/>
    <w:rsid w:val="00CE7B31"/>
    <w:rsid w:val="00CF00D8"/>
    <w:rsid w:val="00CF0A30"/>
    <w:rsid w:val="00CF1E7F"/>
    <w:rsid w:val="00CF2C1E"/>
    <w:rsid w:val="00CF4767"/>
    <w:rsid w:val="00CF5987"/>
    <w:rsid w:val="00CF7138"/>
    <w:rsid w:val="00D00727"/>
    <w:rsid w:val="00D02B8C"/>
    <w:rsid w:val="00D04973"/>
    <w:rsid w:val="00D15766"/>
    <w:rsid w:val="00D15BEB"/>
    <w:rsid w:val="00D16083"/>
    <w:rsid w:val="00D205BC"/>
    <w:rsid w:val="00D20EFB"/>
    <w:rsid w:val="00D314FB"/>
    <w:rsid w:val="00D3493A"/>
    <w:rsid w:val="00D349E3"/>
    <w:rsid w:val="00D355AE"/>
    <w:rsid w:val="00D35E71"/>
    <w:rsid w:val="00D40381"/>
    <w:rsid w:val="00D41F1A"/>
    <w:rsid w:val="00D45118"/>
    <w:rsid w:val="00D472E9"/>
    <w:rsid w:val="00D507E4"/>
    <w:rsid w:val="00D531AF"/>
    <w:rsid w:val="00D6648E"/>
    <w:rsid w:val="00D66D28"/>
    <w:rsid w:val="00D676E9"/>
    <w:rsid w:val="00D70EE6"/>
    <w:rsid w:val="00D731A3"/>
    <w:rsid w:val="00D84206"/>
    <w:rsid w:val="00D85E14"/>
    <w:rsid w:val="00D92209"/>
    <w:rsid w:val="00D938DA"/>
    <w:rsid w:val="00D93E94"/>
    <w:rsid w:val="00D96756"/>
    <w:rsid w:val="00D97001"/>
    <w:rsid w:val="00D97DB3"/>
    <w:rsid w:val="00DA324F"/>
    <w:rsid w:val="00DA3754"/>
    <w:rsid w:val="00DA5492"/>
    <w:rsid w:val="00DA63C9"/>
    <w:rsid w:val="00DB1F17"/>
    <w:rsid w:val="00DB2F36"/>
    <w:rsid w:val="00DB368C"/>
    <w:rsid w:val="00DB409E"/>
    <w:rsid w:val="00DB4CDD"/>
    <w:rsid w:val="00DB4F15"/>
    <w:rsid w:val="00DB70DF"/>
    <w:rsid w:val="00DC0CBD"/>
    <w:rsid w:val="00DC0FB8"/>
    <w:rsid w:val="00DC13DA"/>
    <w:rsid w:val="00DC359A"/>
    <w:rsid w:val="00DC4EA2"/>
    <w:rsid w:val="00DD2897"/>
    <w:rsid w:val="00DD30A1"/>
    <w:rsid w:val="00DE008C"/>
    <w:rsid w:val="00DE0BA3"/>
    <w:rsid w:val="00DE62E9"/>
    <w:rsid w:val="00DF1D2E"/>
    <w:rsid w:val="00DF27B7"/>
    <w:rsid w:val="00DF43E5"/>
    <w:rsid w:val="00DF7FC6"/>
    <w:rsid w:val="00E04404"/>
    <w:rsid w:val="00E050B3"/>
    <w:rsid w:val="00E0657D"/>
    <w:rsid w:val="00E068D5"/>
    <w:rsid w:val="00E06A5E"/>
    <w:rsid w:val="00E13418"/>
    <w:rsid w:val="00E1648E"/>
    <w:rsid w:val="00E175AB"/>
    <w:rsid w:val="00E17CBB"/>
    <w:rsid w:val="00E23B3C"/>
    <w:rsid w:val="00E40074"/>
    <w:rsid w:val="00E51333"/>
    <w:rsid w:val="00E5160C"/>
    <w:rsid w:val="00E53C48"/>
    <w:rsid w:val="00E5598C"/>
    <w:rsid w:val="00E565B1"/>
    <w:rsid w:val="00E56A29"/>
    <w:rsid w:val="00E61D13"/>
    <w:rsid w:val="00E6203F"/>
    <w:rsid w:val="00E62E77"/>
    <w:rsid w:val="00E640EE"/>
    <w:rsid w:val="00E66E4B"/>
    <w:rsid w:val="00E67234"/>
    <w:rsid w:val="00E72AA5"/>
    <w:rsid w:val="00E77A66"/>
    <w:rsid w:val="00E8089B"/>
    <w:rsid w:val="00E809AF"/>
    <w:rsid w:val="00E82214"/>
    <w:rsid w:val="00E8472D"/>
    <w:rsid w:val="00E86D5D"/>
    <w:rsid w:val="00E87BF6"/>
    <w:rsid w:val="00E91381"/>
    <w:rsid w:val="00E949A7"/>
    <w:rsid w:val="00E957D2"/>
    <w:rsid w:val="00E9586F"/>
    <w:rsid w:val="00E9628B"/>
    <w:rsid w:val="00E97750"/>
    <w:rsid w:val="00E97D88"/>
    <w:rsid w:val="00EA0181"/>
    <w:rsid w:val="00EA0A36"/>
    <w:rsid w:val="00EA1D97"/>
    <w:rsid w:val="00EA212A"/>
    <w:rsid w:val="00EA340E"/>
    <w:rsid w:val="00EA4C0E"/>
    <w:rsid w:val="00EB3AF8"/>
    <w:rsid w:val="00EB401B"/>
    <w:rsid w:val="00EC0DF4"/>
    <w:rsid w:val="00ED176B"/>
    <w:rsid w:val="00ED2610"/>
    <w:rsid w:val="00EE0243"/>
    <w:rsid w:val="00EE04E1"/>
    <w:rsid w:val="00EE3F41"/>
    <w:rsid w:val="00EE7A50"/>
    <w:rsid w:val="00EE7AA9"/>
    <w:rsid w:val="00EF3CFB"/>
    <w:rsid w:val="00EF6105"/>
    <w:rsid w:val="00EF7F16"/>
    <w:rsid w:val="00F01264"/>
    <w:rsid w:val="00F0392A"/>
    <w:rsid w:val="00F040F4"/>
    <w:rsid w:val="00F05794"/>
    <w:rsid w:val="00F06FF9"/>
    <w:rsid w:val="00F1106A"/>
    <w:rsid w:val="00F1362D"/>
    <w:rsid w:val="00F16E2F"/>
    <w:rsid w:val="00F17FD7"/>
    <w:rsid w:val="00F207E0"/>
    <w:rsid w:val="00F22C4F"/>
    <w:rsid w:val="00F23DC8"/>
    <w:rsid w:val="00F242B8"/>
    <w:rsid w:val="00F27926"/>
    <w:rsid w:val="00F27FE4"/>
    <w:rsid w:val="00F315B8"/>
    <w:rsid w:val="00F316CD"/>
    <w:rsid w:val="00F3373D"/>
    <w:rsid w:val="00F33A8C"/>
    <w:rsid w:val="00F348A6"/>
    <w:rsid w:val="00F363C4"/>
    <w:rsid w:val="00F36E45"/>
    <w:rsid w:val="00F37449"/>
    <w:rsid w:val="00F37CB4"/>
    <w:rsid w:val="00F37CD8"/>
    <w:rsid w:val="00F4018F"/>
    <w:rsid w:val="00F41830"/>
    <w:rsid w:val="00F4441F"/>
    <w:rsid w:val="00F45031"/>
    <w:rsid w:val="00F45078"/>
    <w:rsid w:val="00F47E8E"/>
    <w:rsid w:val="00F51311"/>
    <w:rsid w:val="00F513BF"/>
    <w:rsid w:val="00F54101"/>
    <w:rsid w:val="00F56901"/>
    <w:rsid w:val="00F60AD4"/>
    <w:rsid w:val="00F61DF7"/>
    <w:rsid w:val="00F65AFB"/>
    <w:rsid w:val="00F721BC"/>
    <w:rsid w:val="00F742B7"/>
    <w:rsid w:val="00F748D2"/>
    <w:rsid w:val="00F762BB"/>
    <w:rsid w:val="00F81529"/>
    <w:rsid w:val="00F8207B"/>
    <w:rsid w:val="00F85534"/>
    <w:rsid w:val="00F86A98"/>
    <w:rsid w:val="00F86CB7"/>
    <w:rsid w:val="00F87793"/>
    <w:rsid w:val="00F87BD2"/>
    <w:rsid w:val="00F91187"/>
    <w:rsid w:val="00F96959"/>
    <w:rsid w:val="00FA01BB"/>
    <w:rsid w:val="00FA02FD"/>
    <w:rsid w:val="00FA1B57"/>
    <w:rsid w:val="00FA1FB3"/>
    <w:rsid w:val="00FA6663"/>
    <w:rsid w:val="00FB1029"/>
    <w:rsid w:val="00FB4B0D"/>
    <w:rsid w:val="00FB5B66"/>
    <w:rsid w:val="00FB6654"/>
    <w:rsid w:val="00FC05F0"/>
    <w:rsid w:val="00FC2F6E"/>
    <w:rsid w:val="00FC3492"/>
    <w:rsid w:val="00FC367E"/>
    <w:rsid w:val="00FC4867"/>
    <w:rsid w:val="00FC5DBB"/>
    <w:rsid w:val="00FD0ECD"/>
    <w:rsid w:val="00FD1D5E"/>
    <w:rsid w:val="00FD33F6"/>
    <w:rsid w:val="00FD3756"/>
    <w:rsid w:val="00FD4DCE"/>
    <w:rsid w:val="00FD5436"/>
    <w:rsid w:val="00FD562E"/>
    <w:rsid w:val="00FD5E94"/>
    <w:rsid w:val="00FD79FF"/>
    <w:rsid w:val="00FE035B"/>
    <w:rsid w:val="00FE311E"/>
    <w:rsid w:val="00FE352D"/>
    <w:rsid w:val="00FE6DEA"/>
    <w:rsid w:val="00FE7750"/>
    <w:rsid w:val="00FE7863"/>
    <w:rsid w:val="00FF0719"/>
    <w:rsid w:val="00FF139C"/>
    <w:rsid w:val="00FF3193"/>
    <w:rsid w:val="00FF6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E38B"/>
  <w15:chartTrackingRefBased/>
  <w15:docId w15:val="{FDFB947A-6D31-954A-AE46-23F66D97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11E"/>
  </w:style>
  <w:style w:type="paragraph" w:styleId="Heading1">
    <w:name w:val="heading 1"/>
    <w:basedOn w:val="Normal"/>
    <w:next w:val="Normal"/>
    <w:link w:val="Heading1Char"/>
    <w:uiPriority w:val="9"/>
    <w:qFormat/>
    <w:rsid w:val="00D85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5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5E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5E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5E1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5E1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5E1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5E1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5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5E1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5E1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5E1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5E1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5E1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5E1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5E1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5E1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E1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85E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5E14"/>
    <w:rPr>
      <w:i/>
      <w:iCs/>
      <w:color w:val="404040" w:themeColor="text1" w:themeTint="BF"/>
    </w:rPr>
  </w:style>
  <w:style w:type="paragraph" w:styleId="ListParagraph">
    <w:name w:val="List Paragraph"/>
    <w:basedOn w:val="Normal"/>
    <w:uiPriority w:val="34"/>
    <w:qFormat/>
    <w:rsid w:val="00D85E14"/>
    <w:pPr>
      <w:ind w:left="720"/>
      <w:contextualSpacing/>
    </w:pPr>
  </w:style>
  <w:style w:type="character" w:styleId="IntenseEmphasis">
    <w:name w:val="Intense Emphasis"/>
    <w:basedOn w:val="DefaultParagraphFont"/>
    <w:uiPriority w:val="21"/>
    <w:qFormat/>
    <w:rsid w:val="00D85E14"/>
    <w:rPr>
      <w:i/>
      <w:iCs/>
      <w:color w:val="0F4761" w:themeColor="accent1" w:themeShade="BF"/>
    </w:rPr>
  </w:style>
  <w:style w:type="paragraph" w:styleId="IntenseQuote">
    <w:name w:val="Intense Quote"/>
    <w:basedOn w:val="Normal"/>
    <w:next w:val="Normal"/>
    <w:link w:val="IntenseQuoteChar"/>
    <w:uiPriority w:val="30"/>
    <w:qFormat/>
    <w:rsid w:val="00D85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4"/>
    <w:rPr>
      <w:i/>
      <w:iCs/>
      <w:color w:val="0F4761" w:themeColor="accent1" w:themeShade="BF"/>
    </w:rPr>
  </w:style>
  <w:style w:type="character" w:styleId="IntenseReference">
    <w:name w:val="Intense Reference"/>
    <w:basedOn w:val="DefaultParagraphFont"/>
    <w:uiPriority w:val="32"/>
    <w:qFormat/>
    <w:rsid w:val="00D85E14"/>
    <w:rPr>
      <w:b/>
      <w:bCs/>
      <w:smallCaps/>
      <w:color w:val="0F4761" w:themeColor="accent1" w:themeShade="BF"/>
      <w:spacing w:val="5"/>
    </w:rPr>
  </w:style>
  <w:style w:type="character" w:styleId="Hyperlink">
    <w:name w:val="Hyperlink"/>
    <w:basedOn w:val="DefaultParagraphFont"/>
    <w:uiPriority w:val="99"/>
    <w:unhideWhenUsed/>
    <w:rsid w:val="008F5857"/>
    <w:rPr>
      <w:color w:val="467886" w:themeColor="hyperlink"/>
      <w:u w:val="single"/>
    </w:rPr>
  </w:style>
  <w:style w:type="character" w:styleId="UnresolvedMention">
    <w:name w:val="Unresolved Mention"/>
    <w:basedOn w:val="DefaultParagraphFont"/>
    <w:uiPriority w:val="99"/>
    <w:semiHidden/>
    <w:unhideWhenUsed/>
    <w:rsid w:val="000A308B"/>
    <w:rPr>
      <w:color w:val="605E5C"/>
      <w:shd w:val="clear" w:color="auto" w:fill="E1DFDD"/>
    </w:rPr>
  </w:style>
  <w:style w:type="paragraph" w:styleId="Header">
    <w:name w:val="header"/>
    <w:basedOn w:val="Normal"/>
    <w:link w:val="HeaderChar"/>
    <w:uiPriority w:val="99"/>
    <w:unhideWhenUsed/>
    <w:rsid w:val="00112DE2"/>
    <w:pPr>
      <w:tabs>
        <w:tab w:val="center" w:pos="4513"/>
        <w:tab w:val="right" w:pos="9026"/>
      </w:tabs>
    </w:pPr>
  </w:style>
  <w:style w:type="character" w:customStyle="1" w:styleId="HeaderChar">
    <w:name w:val="Header Char"/>
    <w:basedOn w:val="DefaultParagraphFont"/>
    <w:link w:val="Header"/>
    <w:uiPriority w:val="99"/>
    <w:rsid w:val="00112DE2"/>
  </w:style>
  <w:style w:type="paragraph" w:styleId="Footer">
    <w:name w:val="footer"/>
    <w:basedOn w:val="Normal"/>
    <w:link w:val="FooterChar"/>
    <w:uiPriority w:val="99"/>
    <w:unhideWhenUsed/>
    <w:rsid w:val="00112DE2"/>
    <w:pPr>
      <w:tabs>
        <w:tab w:val="center" w:pos="4513"/>
        <w:tab w:val="right" w:pos="9026"/>
      </w:tabs>
    </w:pPr>
  </w:style>
  <w:style w:type="character" w:customStyle="1" w:styleId="FooterChar">
    <w:name w:val="Footer Char"/>
    <w:basedOn w:val="DefaultParagraphFont"/>
    <w:link w:val="Footer"/>
    <w:uiPriority w:val="99"/>
    <w:rsid w:val="00112DE2"/>
  </w:style>
  <w:style w:type="character" w:styleId="PageNumber">
    <w:name w:val="page number"/>
    <w:basedOn w:val="DefaultParagraphFont"/>
    <w:uiPriority w:val="99"/>
    <w:semiHidden/>
    <w:unhideWhenUsed/>
    <w:rsid w:val="00112DE2"/>
  </w:style>
  <w:style w:type="character" w:styleId="LineNumber">
    <w:name w:val="line number"/>
    <w:basedOn w:val="DefaultParagraphFont"/>
    <w:uiPriority w:val="99"/>
    <w:unhideWhenUsed/>
    <w:rsid w:val="003D2FC3"/>
    <w:rPr>
      <w:rFonts w:ascii="Times New Roman" w:hAnsi="Times New Roman"/>
    </w:rPr>
  </w:style>
  <w:style w:type="paragraph" w:styleId="FootnoteText">
    <w:name w:val="footnote text"/>
    <w:basedOn w:val="Normal"/>
    <w:link w:val="FootnoteTextChar"/>
    <w:uiPriority w:val="99"/>
    <w:unhideWhenUsed/>
    <w:rsid w:val="002A64B5"/>
    <w:rPr>
      <w:rFonts w:ascii="Times New Roman" w:hAnsi="Times New Roman"/>
      <w:sz w:val="20"/>
      <w:szCs w:val="20"/>
    </w:rPr>
  </w:style>
  <w:style w:type="character" w:customStyle="1" w:styleId="FootnoteTextChar">
    <w:name w:val="Footnote Text Char"/>
    <w:basedOn w:val="DefaultParagraphFont"/>
    <w:link w:val="FootnoteText"/>
    <w:uiPriority w:val="99"/>
    <w:rsid w:val="002A64B5"/>
    <w:rPr>
      <w:rFonts w:ascii="Times New Roman" w:hAnsi="Times New Roman"/>
      <w:sz w:val="20"/>
      <w:szCs w:val="20"/>
    </w:rPr>
  </w:style>
  <w:style w:type="character" w:styleId="FootnoteReference">
    <w:name w:val="footnote reference"/>
    <w:basedOn w:val="DefaultParagraphFont"/>
    <w:uiPriority w:val="99"/>
    <w:semiHidden/>
    <w:unhideWhenUsed/>
    <w:rsid w:val="002A64B5"/>
    <w:rPr>
      <w:vertAlign w:val="superscript"/>
    </w:rPr>
  </w:style>
  <w:style w:type="table" w:styleId="TableGrid">
    <w:name w:val="Table Grid"/>
    <w:basedOn w:val="TableNormal"/>
    <w:uiPriority w:val="39"/>
    <w:rsid w:val="005674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0FB8"/>
    <w:rPr>
      <w:sz w:val="16"/>
      <w:szCs w:val="16"/>
    </w:rPr>
  </w:style>
  <w:style w:type="paragraph" w:styleId="CommentText">
    <w:name w:val="annotation text"/>
    <w:basedOn w:val="Normal"/>
    <w:link w:val="CommentTextChar"/>
    <w:uiPriority w:val="99"/>
    <w:semiHidden/>
    <w:unhideWhenUsed/>
    <w:rsid w:val="00DC0FB8"/>
    <w:rPr>
      <w:sz w:val="20"/>
      <w:szCs w:val="20"/>
    </w:rPr>
  </w:style>
  <w:style w:type="character" w:customStyle="1" w:styleId="CommentTextChar">
    <w:name w:val="Comment Text Char"/>
    <w:basedOn w:val="DefaultParagraphFont"/>
    <w:link w:val="CommentText"/>
    <w:uiPriority w:val="99"/>
    <w:semiHidden/>
    <w:rsid w:val="00DC0FB8"/>
    <w:rPr>
      <w:sz w:val="20"/>
      <w:szCs w:val="20"/>
    </w:rPr>
  </w:style>
  <w:style w:type="paragraph" w:styleId="CommentSubject">
    <w:name w:val="annotation subject"/>
    <w:basedOn w:val="CommentText"/>
    <w:next w:val="CommentText"/>
    <w:link w:val="CommentSubjectChar"/>
    <w:uiPriority w:val="99"/>
    <w:semiHidden/>
    <w:unhideWhenUsed/>
    <w:rsid w:val="00DC0FB8"/>
    <w:rPr>
      <w:b/>
      <w:bCs/>
    </w:rPr>
  </w:style>
  <w:style w:type="character" w:customStyle="1" w:styleId="CommentSubjectChar">
    <w:name w:val="Comment Subject Char"/>
    <w:basedOn w:val="CommentTextChar"/>
    <w:link w:val="CommentSubject"/>
    <w:uiPriority w:val="99"/>
    <w:semiHidden/>
    <w:rsid w:val="00DC0FB8"/>
    <w:rPr>
      <w:b/>
      <w:bCs/>
      <w:sz w:val="20"/>
      <w:szCs w:val="20"/>
    </w:rPr>
  </w:style>
  <w:style w:type="character" w:styleId="FollowedHyperlink">
    <w:name w:val="FollowedHyperlink"/>
    <w:basedOn w:val="DefaultParagraphFont"/>
    <w:uiPriority w:val="99"/>
    <w:semiHidden/>
    <w:unhideWhenUsed/>
    <w:rsid w:val="00CB08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1.emf"/><Relationship Id="rId1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hyperlink" Target="https://orcid.org/0000-0001-8413-6797" TargetMode="External"/><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orcid.org/0000-0003-1185-9745" TargetMode="External"/><Relationship Id="rId5" Type="http://schemas.openxmlformats.org/officeDocument/2006/relationships/endnotes" Target="endnotes.xml"/><Relationship Id="rId15" Type="http://schemas.openxmlformats.org/officeDocument/2006/relationships/image" Target="media/image3.emf"/><Relationship Id="rId10" Type="http://schemas.openxmlformats.org/officeDocument/2006/relationships/hyperlink" Target="https://orcid.org/0000-0002-0280-0824" TargetMode="External"/><Relationship Id="rId19" Type="http://schemas.microsoft.com/office/2011/relationships/people" Target="people.xml"/><Relationship Id="rId4" Type="http://schemas.openxmlformats.org/officeDocument/2006/relationships/footnotes" Target="footnotes.xml"/><Relationship Id="rId9" Type="http://schemas.openxmlformats.org/officeDocument/2006/relationships/hyperlink" Target="https://orcid.org/0000-0002-1273-6256" TargetMode="Externa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TotalTime>
  <Pages>10</Pages>
  <Words>4412</Words>
  <Characters>25152</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990</cp:revision>
  <dcterms:created xsi:type="dcterms:W3CDTF">2025-08-07T02:39:00Z</dcterms:created>
  <dcterms:modified xsi:type="dcterms:W3CDTF">2026-01-06T10:13:00Z</dcterms:modified>
</cp:coreProperties>
</file>