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C7AEE" w14:textId="77777777" w:rsidR="004B30BC" w:rsidRPr="00256DE8" w:rsidRDefault="004B30BC" w:rsidP="004B30BC">
      <w:pPr>
        <w:rPr>
          <w:b/>
          <w:bCs/>
          <w:sz w:val="30"/>
          <w:szCs w:val="30"/>
        </w:rPr>
      </w:pPr>
      <w:r w:rsidRPr="00256DE8">
        <w:rPr>
          <w:b/>
          <w:bCs/>
          <w:sz w:val="30"/>
          <w:szCs w:val="30"/>
        </w:rPr>
        <w:t>Kelp carbon burial across species, sediment types and carbon loads //</w:t>
      </w:r>
    </w:p>
    <w:p w14:paraId="5B94D447" w14:textId="77777777" w:rsidR="004B30BC" w:rsidRPr="00256DE8" w:rsidRDefault="004B30BC" w:rsidP="004B30BC">
      <w:pPr>
        <w:rPr>
          <w:sz w:val="30"/>
          <w:szCs w:val="30"/>
        </w:rPr>
      </w:pPr>
      <w:r w:rsidRPr="00256DE8">
        <w:rPr>
          <w:b/>
          <w:bCs/>
          <w:sz w:val="30"/>
          <w:szCs w:val="30"/>
        </w:rPr>
        <w:t>Kelp carbon may not be buried over relevant timescales</w:t>
      </w:r>
    </w:p>
    <w:p w14:paraId="77A07D22" w14:textId="77777777" w:rsidR="004B30BC" w:rsidRDefault="004B30BC" w:rsidP="004B30BC"/>
    <w:p w14:paraId="62ED7D48" w14:textId="1BB16817" w:rsidR="004B30BC" w:rsidRPr="00EB2AFA" w:rsidRDefault="004B30BC" w:rsidP="004B30BC">
      <w:r w:rsidRPr="00256DE8">
        <w:t>Luka Seamus Wright</w:t>
      </w:r>
      <w:r w:rsidRPr="00256DE8">
        <w:rPr>
          <w:vertAlign w:val="superscript"/>
        </w:rPr>
        <w:t>1,2,3</w:t>
      </w:r>
      <w:r w:rsidRPr="00256DE8">
        <w:t>*</w:t>
      </w:r>
      <w:r>
        <w:t xml:space="preserve"> </w:t>
      </w:r>
      <w:r w:rsidRPr="00A07297">
        <w:rPr>
          <w:noProof/>
        </w:rPr>
        <w:drawing>
          <wp:inline distT="0" distB="0" distL="0" distR="0" wp14:anchorId="120AB64B" wp14:editId="4BC33ABE">
            <wp:extent cx="122872" cy="122872"/>
            <wp:effectExtent l="0" t="0" r="4445" b="4445"/>
            <wp:docPr id="642929588" name="Picture 6">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51151" name="Graphic 1">
                      <a:hlinkClick r:id="rId6"/>
                    </pic:cNvPr>
                    <pic:cNvPicPr/>
                  </pic:nvPicPr>
                  <pic:blipFill>
                    <a:blip r:embed="rId7"/>
                    <a:stretch>
                      <a:fillRect/>
                    </a:stretch>
                  </pic:blipFill>
                  <pic:spPr>
                    <a:xfrm>
                      <a:off x="0" y="0"/>
                      <a:ext cx="122555" cy="122555"/>
                    </a:xfrm>
                    <a:prstGeom prst="rect">
                      <a:avLst/>
                    </a:prstGeom>
                  </pic:spPr>
                </pic:pic>
              </a:graphicData>
            </a:graphic>
          </wp:inline>
        </w:drawing>
      </w:r>
      <w:r w:rsidRPr="00256DE8">
        <w:t>, Grzegorz Skrzypek</w:t>
      </w:r>
      <w:r w:rsidRPr="00256DE8">
        <w:rPr>
          <w:vertAlign w:val="superscript"/>
        </w:rPr>
        <w:t>2,4</w:t>
      </w:r>
      <w:r>
        <w:t xml:space="preserve"> </w:t>
      </w:r>
      <w:r w:rsidRPr="00D14958">
        <w:rPr>
          <w:noProof/>
        </w:rPr>
        <w:drawing>
          <wp:inline distT="0" distB="0" distL="0" distR="0" wp14:anchorId="40002859" wp14:editId="4A9BEA7A">
            <wp:extent cx="122872" cy="122872"/>
            <wp:effectExtent l="0" t="0" r="4445" b="4445"/>
            <wp:docPr id="359126345" name="Picture 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88724" name="Graphic 1">
                      <a:hlinkClick r:id="rId8"/>
                    </pic:cNvPr>
                    <pic:cNvPicPr/>
                  </pic:nvPicPr>
                  <pic:blipFill>
                    <a:blip r:embed="rId7"/>
                    <a:stretch>
                      <a:fillRect/>
                    </a:stretch>
                  </pic:blipFill>
                  <pic:spPr>
                    <a:xfrm>
                      <a:off x="0" y="0"/>
                      <a:ext cx="122555" cy="122555"/>
                    </a:xfrm>
                    <a:prstGeom prst="rect">
                      <a:avLst/>
                    </a:prstGeom>
                  </pic:spPr>
                </pic:pic>
              </a:graphicData>
            </a:graphic>
          </wp:inline>
        </w:drawing>
      </w:r>
      <w:r w:rsidRPr="00256DE8">
        <w:t xml:space="preserve">, Ana </w:t>
      </w:r>
      <w:r>
        <w:t xml:space="preserve">de Moura </w:t>
      </w:r>
      <w:r w:rsidRPr="00256DE8">
        <w:t>Queirós</w:t>
      </w:r>
      <w:r w:rsidRPr="00256DE8">
        <w:rPr>
          <w:vertAlign w:val="superscript"/>
        </w:rPr>
        <w:t>5</w:t>
      </w:r>
      <w:r>
        <w:t xml:space="preserve"> </w:t>
      </w:r>
      <w:r w:rsidRPr="007F1731">
        <w:rPr>
          <w:noProof/>
        </w:rPr>
        <w:drawing>
          <wp:inline distT="0" distB="0" distL="0" distR="0" wp14:anchorId="6118B4A6" wp14:editId="062DFC0E">
            <wp:extent cx="122872" cy="122872"/>
            <wp:effectExtent l="0" t="0" r="4445" b="4445"/>
            <wp:docPr id="1568383331" name="Picture 4">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04978" name="Graphic 1">
                      <a:hlinkClick r:id="rId9"/>
                    </pic:cNvPr>
                    <pic:cNvPicPr/>
                  </pic:nvPicPr>
                  <pic:blipFill>
                    <a:blip r:embed="rId7"/>
                    <a:stretch>
                      <a:fillRect/>
                    </a:stretch>
                  </pic:blipFill>
                  <pic:spPr>
                    <a:xfrm>
                      <a:off x="0" y="0"/>
                      <a:ext cx="122555" cy="122555"/>
                    </a:xfrm>
                    <a:prstGeom prst="rect">
                      <a:avLst/>
                    </a:prstGeom>
                  </pic:spPr>
                </pic:pic>
              </a:graphicData>
            </a:graphic>
          </wp:inline>
        </w:drawing>
      </w:r>
      <w:r w:rsidRPr="00256DE8">
        <w:t>, Thomas Wernberg</w:t>
      </w:r>
      <w:r w:rsidRPr="00256DE8">
        <w:rPr>
          <w:vertAlign w:val="superscript"/>
        </w:rPr>
        <w:t>1,2,6</w:t>
      </w:r>
      <w:r>
        <w:t xml:space="preserve"> </w:t>
      </w:r>
      <w:r w:rsidRPr="009654F2">
        <w:rPr>
          <w:noProof/>
        </w:rPr>
        <w:drawing>
          <wp:inline distT="0" distB="0" distL="0" distR="0" wp14:anchorId="0BD727BD" wp14:editId="484ABD68">
            <wp:extent cx="122872" cy="122872"/>
            <wp:effectExtent l="0" t="0" r="4445" b="4445"/>
            <wp:docPr id="462779236" name="Picture 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19918" name="Graphic 1">
                      <a:hlinkClick r:id="rId10"/>
                    </pic:cNvPr>
                    <pic:cNvPicPr/>
                  </pic:nvPicPr>
                  <pic:blipFill>
                    <a:blip r:embed="rId7"/>
                    <a:stretch>
                      <a:fillRect/>
                    </a:stretch>
                  </pic:blipFill>
                  <pic:spPr>
                    <a:xfrm>
                      <a:off x="0" y="0"/>
                      <a:ext cx="122555" cy="122555"/>
                    </a:xfrm>
                    <a:prstGeom prst="rect">
                      <a:avLst/>
                    </a:prstGeom>
                  </pic:spPr>
                </pic:pic>
              </a:graphicData>
            </a:graphic>
          </wp:inline>
        </w:drawing>
      </w:r>
      <w:r w:rsidRPr="00256DE8">
        <w:t>, Karen Filbee-Dexter</w:t>
      </w:r>
      <w:r w:rsidRPr="00256DE8">
        <w:rPr>
          <w:vertAlign w:val="superscript"/>
        </w:rPr>
        <w:t>1,2,6</w:t>
      </w:r>
      <w:r>
        <w:t xml:space="preserve"> </w:t>
      </w:r>
      <w:r w:rsidRPr="00E80505">
        <w:rPr>
          <w:noProof/>
        </w:rPr>
        <w:drawing>
          <wp:inline distT="0" distB="0" distL="0" distR="0" wp14:anchorId="581C328F" wp14:editId="000660D5">
            <wp:extent cx="122872" cy="122872"/>
            <wp:effectExtent l="0" t="0" r="4445" b="4445"/>
            <wp:docPr id="1189948514" name="Picture 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80826" name="Graphic 1">
                      <a:hlinkClick r:id="rId11"/>
                    </pic:cNvPr>
                    <pic:cNvPicPr/>
                  </pic:nvPicPr>
                  <pic:blipFill>
                    <a:blip r:embed="rId7"/>
                    <a:stretch>
                      <a:fillRect/>
                    </a:stretch>
                  </pic:blipFill>
                  <pic:spPr>
                    <a:xfrm>
                      <a:off x="0" y="0"/>
                      <a:ext cx="122555" cy="122555"/>
                    </a:xfrm>
                    <a:prstGeom prst="rect">
                      <a:avLst/>
                    </a:prstGeom>
                  </pic:spPr>
                </pic:pic>
              </a:graphicData>
            </a:graphic>
          </wp:inline>
        </w:drawing>
      </w:r>
    </w:p>
    <w:p w14:paraId="4BEC1DA1" w14:textId="77777777" w:rsidR="004B30BC" w:rsidRPr="00256DE8" w:rsidRDefault="004B30BC" w:rsidP="004B30BC"/>
    <w:p w14:paraId="3C398799" w14:textId="77777777" w:rsidR="004B30BC" w:rsidRPr="001E6D5A" w:rsidRDefault="004B30BC" w:rsidP="004B30BC">
      <w:pPr>
        <w:autoSpaceDE w:val="0"/>
        <w:autoSpaceDN w:val="0"/>
        <w:adjustRightInd w:val="0"/>
        <w:rPr>
          <w:color w:val="000000"/>
        </w:rPr>
      </w:pPr>
      <w:r w:rsidRPr="001E6D5A">
        <w:rPr>
          <w:color w:val="000000"/>
          <w:vertAlign w:val="superscript"/>
        </w:rPr>
        <w:t>1</w:t>
      </w:r>
      <w:r w:rsidRPr="001E6D5A">
        <w:rPr>
          <w:color w:val="000000"/>
        </w:rPr>
        <w:t>Oceans Institute, University of Western Australia, Perth, Australia</w:t>
      </w:r>
    </w:p>
    <w:p w14:paraId="0613D7D2" w14:textId="77777777" w:rsidR="004B30BC" w:rsidRPr="001E6D5A" w:rsidRDefault="004B30BC" w:rsidP="004B30BC">
      <w:pPr>
        <w:autoSpaceDE w:val="0"/>
        <w:autoSpaceDN w:val="0"/>
        <w:adjustRightInd w:val="0"/>
        <w:rPr>
          <w:color w:val="000000"/>
        </w:rPr>
      </w:pPr>
      <w:r w:rsidRPr="001E6D5A">
        <w:rPr>
          <w:color w:val="000000"/>
          <w:vertAlign w:val="superscript"/>
        </w:rPr>
        <w:t>2</w:t>
      </w:r>
      <w:r w:rsidRPr="001E6D5A">
        <w:rPr>
          <w:color w:val="000000"/>
        </w:rPr>
        <w:t>School of Biological Sciences, University of Western Australia, Perth, Australia</w:t>
      </w:r>
    </w:p>
    <w:p w14:paraId="424B4198" w14:textId="77777777" w:rsidR="004B30BC" w:rsidRPr="001E6D5A" w:rsidRDefault="004B30BC" w:rsidP="004B30BC">
      <w:pPr>
        <w:autoSpaceDE w:val="0"/>
        <w:autoSpaceDN w:val="0"/>
        <w:adjustRightInd w:val="0"/>
        <w:rPr>
          <w:color w:val="000000"/>
        </w:rPr>
      </w:pPr>
      <w:r w:rsidRPr="001E6D5A">
        <w:rPr>
          <w:color w:val="000000"/>
          <w:vertAlign w:val="superscript"/>
        </w:rPr>
        <w:t>3</w:t>
      </w:r>
      <w:r w:rsidRPr="001E6D5A">
        <w:rPr>
          <w:color w:val="000000"/>
        </w:rPr>
        <w:t>CSIRO Oceans and Atmosphere, Perth, Australia</w:t>
      </w:r>
    </w:p>
    <w:p w14:paraId="5C2047CC" w14:textId="77777777" w:rsidR="004B30BC" w:rsidRDefault="004B30BC" w:rsidP="004B30BC">
      <w:pPr>
        <w:autoSpaceDE w:val="0"/>
        <w:autoSpaceDN w:val="0"/>
        <w:adjustRightInd w:val="0"/>
        <w:rPr>
          <w:color w:val="000000"/>
        </w:rPr>
      </w:pPr>
      <w:r w:rsidRPr="001E6D5A">
        <w:rPr>
          <w:color w:val="000000"/>
          <w:vertAlign w:val="superscript"/>
        </w:rPr>
        <w:t>4</w:t>
      </w:r>
      <w:r>
        <w:rPr>
          <w:color w:val="000000"/>
        </w:rPr>
        <w:t xml:space="preserve">West Australian Biogeochemistry Centre, </w:t>
      </w:r>
      <w:r w:rsidRPr="001E6D5A">
        <w:rPr>
          <w:color w:val="000000"/>
        </w:rPr>
        <w:t>University of Western Australia</w:t>
      </w:r>
      <w:r>
        <w:rPr>
          <w:color w:val="000000"/>
        </w:rPr>
        <w:t>, Perth, Australia</w:t>
      </w:r>
    </w:p>
    <w:p w14:paraId="5D6F464F" w14:textId="77777777" w:rsidR="004B30BC" w:rsidRPr="001E6D5A" w:rsidRDefault="004B30BC" w:rsidP="004B30BC">
      <w:pPr>
        <w:autoSpaceDE w:val="0"/>
        <w:autoSpaceDN w:val="0"/>
        <w:adjustRightInd w:val="0"/>
        <w:rPr>
          <w:color w:val="000000"/>
        </w:rPr>
      </w:pPr>
      <w:r w:rsidRPr="00F721BC">
        <w:rPr>
          <w:color w:val="000000"/>
          <w:vertAlign w:val="superscript"/>
        </w:rPr>
        <w:t>5</w:t>
      </w:r>
      <w:r>
        <w:rPr>
          <w:color w:val="000000"/>
        </w:rPr>
        <w:t>Plymouth Marine Laboratory, Plymouth, United Kingdom</w:t>
      </w:r>
    </w:p>
    <w:p w14:paraId="10E91F71" w14:textId="77777777" w:rsidR="004B30BC" w:rsidRPr="001E6D5A" w:rsidRDefault="004B30BC" w:rsidP="004B30BC">
      <w:pPr>
        <w:autoSpaceDE w:val="0"/>
        <w:autoSpaceDN w:val="0"/>
        <w:adjustRightInd w:val="0"/>
        <w:rPr>
          <w:color w:val="000000"/>
        </w:rPr>
      </w:pPr>
      <w:r>
        <w:rPr>
          <w:color w:val="000000"/>
          <w:vertAlign w:val="superscript"/>
        </w:rPr>
        <w:t>6</w:t>
      </w:r>
      <w:r w:rsidRPr="001E6D5A">
        <w:rPr>
          <w:color w:val="000000"/>
        </w:rPr>
        <w:t>Institute of Marine Research, His, Norway</w:t>
      </w:r>
    </w:p>
    <w:p w14:paraId="5A67E440" w14:textId="77777777" w:rsidR="004B30BC" w:rsidRPr="001E6D5A" w:rsidRDefault="004B30BC" w:rsidP="004B30BC">
      <w:r w:rsidRPr="001E6D5A">
        <w:rPr>
          <w:color w:val="000000"/>
        </w:rPr>
        <w:t>*luka.wright@research.uwa.edu.au, luka@wright.it</w:t>
      </w:r>
    </w:p>
    <w:p w14:paraId="5EAC5FE9" w14:textId="77777777" w:rsidR="004B30BC" w:rsidRPr="001E6D5A" w:rsidRDefault="004B30BC" w:rsidP="004B30BC"/>
    <w:p w14:paraId="15E866BB" w14:textId="77777777" w:rsidR="004B30BC" w:rsidRPr="001E6D5A" w:rsidRDefault="004B30BC" w:rsidP="004B30BC">
      <w:pPr>
        <w:rPr>
          <w:b/>
          <w:bCs/>
        </w:rPr>
      </w:pPr>
      <w:commentRangeStart w:id="0"/>
      <w:r w:rsidRPr="001E6D5A">
        <w:rPr>
          <w:b/>
          <w:bCs/>
        </w:rPr>
        <w:t>ORCiD</w:t>
      </w:r>
      <w:commentRangeEnd w:id="0"/>
      <w:r w:rsidRPr="001E6D5A">
        <w:rPr>
          <w:rStyle w:val="CommentReference"/>
          <w:b/>
          <w:bCs/>
          <w:sz w:val="24"/>
          <w:szCs w:val="24"/>
        </w:rPr>
        <w:commentReference w:id="0"/>
      </w:r>
    </w:p>
    <w:p w14:paraId="0FB9DBCB" w14:textId="77777777" w:rsidR="004B30BC" w:rsidRPr="006B27F1" w:rsidRDefault="004B30BC" w:rsidP="004B30BC">
      <w:r w:rsidRPr="001E6D5A">
        <w:t xml:space="preserve">Luka </w:t>
      </w:r>
      <w:r w:rsidRPr="006B27F1">
        <w:t xml:space="preserve">Seamus Wright </w:t>
      </w:r>
      <w:hyperlink r:id="rId15" w:history="1">
        <w:r w:rsidRPr="006B27F1">
          <w:rPr>
            <w:rStyle w:val="Hyperlink"/>
            <w:color w:val="auto"/>
          </w:rPr>
          <w:t>https://orcid.org/0000-0002-1273-6256</w:t>
        </w:r>
      </w:hyperlink>
    </w:p>
    <w:p w14:paraId="6831B5A3" w14:textId="77777777" w:rsidR="004B30BC" w:rsidRPr="006B27F1" w:rsidRDefault="004B30BC" w:rsidP="004B30BC">
      <w:r w:rsidRPr="006B27F1">
        <w:t xml:space="preserve">Grzegorz Skrzypek </w:t>
      </w:r>
      <w:hyperlink r:id="rId16" w:history="1">
        <w:r w:rsidRPr="006B27F1">
          <w:rPr>
            <w:rStyle w:val="Hyperlink"/>
            <w:color w:val="auto"/>
          </w:rPr>
          <w:t>https://orcid.org/0000-0002-5686-2393</w:t>
        </w:r>
      </w:hyperlink>
      <w:r w:rsidRPr="006B27F1">
        <w:t xml:space="preserve"> </w:t>
      </w:r>
    </w:p>
    <w:p w14:paraId="56122593" w14:textId="77777777" w:rsidR="004B30BC" w:rsidRPr="006B27F1" w:rsidRDefault="004B30BC" w:rsidP="004B30BC">
      <w:r w:rsidRPr="006B27F1">
        <w:t xml:space="preserve">Ana de Moura Queirós </w:t>
      </w:r>
      <w:hyperlink r:id="rId17" w:history="1">
        <w:r w:rsidRPr="006B27F1">
          <w:rPr>
            <w:rStyle w:val="Hyperlink"/>
            <w:color w:val="auto"/>
          </w:rPr>
          <w:t>https://orcid.org/0000-0002-7067-3177</w:t>
        </w:r>
      </w:hyperlink>
      <w:r w:rsidRPr="006B27F1">
        <w:t xml:space="preserve"> </w:t>
      </w:r>
    </w:p>
    <w:p w14:paraId="11385FCE" w14:textId="77777777" w:rsidR="004B30BC" w:rsidRPr="006B27F1" w:rsidRDefault="004B30BC" w:rsidP="004B30BC">
      <w:pPr>
        <w:rPr>
          <w:lang w:val="de-DE"/>
        </w:rPr>
      </w:pPr>
      <w:r w:rsidRPr="006B27F1">
        <w:rPr>
          <w:lang w:val="de-DE"/>
        </w:rPr>
        <w:t xml:space="preserve">Thomas Wernberg </w:t>
      </w:r>
      <w:hyperlink r:id="rId18" w:history="1">
        <w:r w:rsidRPr="006B27F1">
          <w:rPr>
            <w:rStyle w:val="Hyperlink"/>
            <w:color w:val="auto"/>
            <w:lang w:val="de-DE"/>
          </w:rPr>
          <w:t>https://orcid.org/0000-0003-1185-9745</w:t>
        </w:r>
      </w:hyperlink>
      <w:r w:rsidRPr="006B27F1">
        <w:rPr>
          <w:lang w:val="de-DE"/>
        </w:rPr>
        <w:t xml:space="preserve"> </w:t>
      </w:r>
    </w:p>
    <w:p w14:paraId="3AC02ECA" w14:textId="77777777" w:rsidR="004B30BC" w:rsidRPr="006B27F1" w:rsidRDefault="004B30BC" w:rsidP="004B30BC">
      <w:pPr>
        <w:rPr>
          <w:lang w:val="de-DE"/>
        </w:rPr>
      </w:pPr>
      <w:r w:rsidRPr="006B27F1">
        <w:rPr>
          <w:lang w:val="de-DE"/>
        </w:rPr>
        <w:t xml:space="preserve">Karen Filbee-Dexter </w:t>
      </w:r>
      <w:hyperlink r:id="rId19" w:history="1">
        <w:r w:rsidRPr="006B27F1">
          <w:rPr>
            <w:rStyle w:val="Hyperlink"/>
            <w:color w:val="auto"/>
            <w:lang w:val="de-DE"/>
          </w:rPr>
          <w:t>https://orcid.org/0000-0001-8413-6797</w:t>
        </w:r>
      </w:hyperlink>
      <w:r w:rsidRPr="006B27F1">
        <w:rPr>
          <w:lang w:val="de-DE"/>
        </w:rPr>
        <w:t xml:space="preserve"> </w:t>
      </w:r>
    </w:p>
    <w:p w14:paraId="79CFC3C3" w14:textId="77777777" w:rsidR="004B30BC" w:rsidRPr="00256DE8" w:rsidRDefault="004B30BC" w:rsidP="004B30BC"/>
    <w:p w14:paraId="3295FB83" w14:textId="77777777" w:rsidR="004B30BC" w:rsidRPr="00256DE8" w:rsidRDefault="004B30BC" w:rsidP="004B30BC">
      <w:pPr>
        <w:rPr>
          <w:b/>
          <w:bCs/>
        </w:rPr>
      </w:pPr>
      <w:r w:rsidRPr="00256DE8">
        <w:rPr>
          <w:b/>
          <w:bCs/>
        </w:rPr>
        <w:t>Abstract</w:t>
      </w:r>
    </w:p>
    <w:p w14:paraId="3EDEAB2E" w14:textId="77777777" w:rsidR="004B30BC" w:rsidRPr="00256DE8" w:rsidRDefault="004B30BC" w:rsidP="004B30BC">
      <w:r>
        <w:t>Kelp forests are becoming established as ecosystems that sequester carbon. Yet few studies have assessed kelp carbon burial and existing data are inconclusive. Here we conducted an international series of pulse-chase experiments to estimate the burial of three kelps (</w:t>
      </w:r>
      <w:r w:rsidRPr="00CD7E97">
        <w:rPr>
          <w:i/>
          <w:iCs/>
        </w:rPr>
        <w:t>Ecklonia radiata</w:t>
      </w:r>
      <w:r>
        <w:t xml:space="preserve">, </w:t>
      </w:r>
      <w:r w:rsidRPr="00CD7E97">
        <w:rPr>
          <w:i/>
          <w:iCs/>
        </w:rPr>
        <w:t>Laminaria hyperborea</w:t>
      </w:r>
      <w:r>
        <w:t xml:space="preserve">, </w:t>
      </w:r>
      <w:r w:rsidRPr="00CD7E97">
        <w:rPr>
          <w:i/>
          <w:iCs/>
        </w:rPr>
        <w:t>Laminaria ochroleuca</w:t>
      </w:r>
      <w:r>
        <w:t xml:space="preserve">) in three sediment types of varying granulometry and carbon content (coarse sand, fine sand, silt). We labelled kelp with </w:t>
      </w:r>
      <w:r w:rsidRPr="001014AF">
        <w:rPr>
          <w:vertAlign w:val="superscript"/>
        </w:rPr>
        <w:t>13</w:t>
      </w:r>
      <w:r>
        <w:t>C (</w:t>
      </w:r>
      <w:r w:rsidRPr="00256DE8">
        <w:t>456 ± 42</w:t>
      </w:r>
      <w:r>
        <w:t xml:space="preserve"> to </w:t>
      </w:r>
      <w:r w:rsidRPr="00256DE8">
        <w:t>1377 ± 76</w:t>
      </w:r>
      <w:r>
        <w:t xml:space="preserve"> </w:t>
      </w:r>
      <w:r w:rsidRPr="001014AF">
        <w:t>‰</w:t>
      </w:r>
      <w:r>
        <w:t xml:space="preserve"> </w:t>
      </w:r>
      <w:r w:rsidRPr="00256DE8">
        <w:t>δ</w:t>
      </w:r>
      <w:r w:rsidRPr="00256DE8">
        <w:rPr>
          <w:vertAlign w:val="superscript"/>
        </w:rPr>
        <w:t>13</w:t>
      </w:r>
      <w:r w:rsidRPr="00256DE8">
        <w:t>C</w:t>
      </w:r>
      <w:r w:rsidRPr="001014AF">
        <w:rPr>
          <w:vertAlign w:val="subscript"/>
        </w:rPr>
        <w:t>VPDB</w:t>
      </w:r>
      <w:r>
        <w:t>) and added between 1 and 15 g dry mass to natural 10-cm diameter sediment cores (</w:t>
      </w:r>
      <w:r w:rsidRPr="00256DE8">
        <w:t>−26 ± 0.28</w:t>
      </w:r>
      <w:r>
        <w:t xml:space="preserve"> to </w:t>
      </w:r>
      <w:r w:rsidRPr="00256DE8">
        <w:t>−17 ± 0.83</w:t>
      </w:r>
      <w:r>
        <w:t xml:space="preserve"> </w:t>
      </w:r>
      <w:r w:rsidRPr="001014AF">
        <w:t>‰</w:t>
      </w:r>
      <w:r>
        <w:t xml:space="preserve">), corresponding to kelp carbon influx loads of </w:t>
      </w:r>
      <w:r w:rsidRPr="008E7915">
        <w:t>35 ± 1.1</w:t>
      </w:r>
      <w:r>
        <w:t xml:space="preserve"> to </w:t>
      </w:r>
      <w:r w:rsidRPr="00226E45">
        <w:t>692 ± 9.4</w:t>
      </w:r>
      <w:r w:rsidRPr="00256DE8">
        <w:t xml:space="preserve"> g C m</w:t>
      </w:r>
      <w:r w:rsidRPr="00256DE8">
        <w:rPr>
          <w:vertAlign w:val="superscript"/>
        </w:rPr>
        <w:t>−2</w:t>
      </w:r>
      <w:r>
        <w:t>. Cores were sampled at regular intervals up to a maximum experimental duration of 120 days, sliced into 1-cm horizons and processed for carbon isotope analysis. Initial kelp contribution to sediment organic carbon in the top layer was high (up to 97%) but decayed quickly and generally did not move into deeper horizons. There is no sign that consumption is overwhelmed by influx, even for the highest kelp loads. …</w:t>
      </w:r>
    </w:p>
    <w:p w14:paraId="7F59CE56" w14:textId="77777777" w:rsidR="004B30BC" w:rsidRDefault="004B30BC" w:rsidP="004B30BC"/>
    <w:p w14:paraId="334DB626" w14:textId="77777777" w:rsidR="004B30BC" w:rsidRPr="009E6711" w:rsidRDefault="004B30BC" w:rsidP="004B30BC">
      <w:pPr>
        <w:rPr>
          <w:b/>
          <w:bCs/>
        </w:rPr>
      </w:pPr>
      <w:r w:rsidRPr="009E6711">
        <w:rPr>
          <w:b/>
          <w:bCs/>
        </w:rPr>
        <w:t>Keywords</w:t>
      </w:r>
    </w:p>
    <w:p w14:paraId="4751A1DA" w14:textId="77777777" w:rsidR="004B30BC" w:rsidRDefault="004B30BC" w:rsidP="004B30BC">
      <w:r>
        <w:t>Blue carbon, biogeochemistry, isotope ecology, marine vegetated ecosystems, seaweed, macroalgae, bioirrigation, extracellular enzyme activity, alkalinity</w:t>
      </w:r>
    </w:p>
    <w:p w14:paraId="21BAFE11" w14:textId="77777777" w:rsidR="004B30BC" w:rsidRPr="00256DE8" w:rsidRDefault="004B30BC" w:rsidP="004B30BC"/>
    <w:p w14:paraId="1DB18BCC" w14:textId="77777777" w:rsidR="004B30BC" w:rsidRPr="00256DE8" w:rsidRDefault="004B30BC" w:rsidP="004B30BC">
      <w:pPr>
        <w:rPr>
          <w:b/>
          <w:bCs/>
        </w:rPr>
      </w:pPr>
      <w:commentRangeStart w:id="1"/>
      <w:r w:rsidRPr="00256DE8">
        <w:rPr>
          <w:b/>
          <w:bCs/>
        </w:rPr>
        <w:t>Introduction</w:t>
      </w:r>
      <w:commentRangeEnd w:id="1"/>
      <w:r w:rsidRPr="00256DE8">
        <w:rPr>
          <w:rStyle w:val="CommentReference"/>
          <w:b/>
          <w:bCs/>
          <w:sz w:val="24"/>
          <w:szCs w:val="24"/>
        </w:rPr>
        <w:commentReference w:id="1"/>
      </w:r>
    </w:p>
    <w:p w14:paraId="3F4CDEBC" w14:textId="77777777" w:rsidR="004B30BC" w:rsidRDefault="004B30BC" w:rsidP="004B30BC">
      <w:r w:rsidRPr="00AC1C30">
        <w:t>The largest and most significant knowledge gap in the macroalgal carbon cycle concerns the carbon sink and permanence of carbon sequestration. We have next to no knowledge on the quantities or processes involved in macroalgal sedimentary carbon burial. Current global estimates suggest that 14 Mt C are buried and permanently sequestered in shelf sediments per year</w:t>
      </w:r>
      <w:r>
        <w:t xml:space="preserve"> </w:t>
      </w:r>
      <w:r>
        <w:fldChar w:fldCharType="begin"/>
      </w:r>
      <w:r>
        <w:instrText>ADDIN BEC{Krause-Jensen and Duarte, 2016 #82158}</w:instrText>
      </w:r>
      <w:r>
        <w:fldChar w:fldCharType="separate"/>
      </w:r>
      <w:r>
        <w:t>(Krause-Jensen &amp; Duarte 2016)</w:t>
      </w:r>
      <w:r>
        <w:fldChar w:fldCharType="end"/>
      </w:r>
      <w:r w:rsidRPr="00AC1C30">
        <w:t xml:space="preserve">, but this estimate is based on a single empirical study conducted on the red macroalgal genus </w:t>
      </w:r>
      <w:r w:rsidRPr="00AC1C30">
        <w:rPr>
          <w:i/>
          <w:iCs/>
        </w:rPr>
        <w:t>Gracilaria</w:t>
      </w:r>
      <w:r w:rsidRPr="00AC1C30">
        <w:t xml:space="preserve"> over 14 days</w:t>
      </w:r>
      <w:r>
        <w:t xml:space="preserve"> </w:t>
      </w:r>
      <w:r>
        <w:fldChar w:fldCharType="begin"/>
      </w:r>
      <w:r>
        <w:instrText>ADDIN BEC{Hardison et al., 2010 #68553}</w:instrText>
      </w:r>
      <w:r>
        <w:fldChar w:fldCharType="separate"/>
      </w:r>
      <w:r>
        <w:t>(Hardison et al. 2010)</w:t>
      </w:r>
      <w:r>
        <w:fldChar w:fldCharType="end"/>
      </w:r>
      <w:r w:rsidRPr="00AC1C30">
        <w:t xml:space="preserve">. The only study comparable to the </w:t>
      </w:r>
      <w:r w:rsidRPr="00AC1C30">
        <w:rPr>
          <w:vertAlign w:val="superscript"/>
        </w:rPr>
        <w:t>13</w:t>
      </w:r>
      <w:r w:rsidRPr="00AC1C30">
        <w:t xml:space="preserve">C-labelled </w:t>
      </w:r>
      <w:r w:rsidRPr="00AC1C30">
        <w:rPr>
          <w:i/>
          <w:iCs/>
        </w:rPr>
        <w:t>Gracilaria</w:t>
      </w:r>
      <w:r w:rsidRPr="00AC1C30">
        <w:t xml:space="preserve"> research</w:t>
      </w:r>
      <w:r>
        <w:t xml:space="preserve"> </w:t>
      </w:r>
      <w:r w:rsidRPr="00AC1C30">
        <w:t xml:space="preserve">measured burial of the </w:t>
      </w:r>
      <w:r w:rsidRPr="00AC1C30">
        <w:rPr>
          <w:vertAlign w:val="superscript"/>
        </w:rPr>
        <w:t>13</w:t>
      </w:r>
      <w:r w:rsidRPr="00AC1C30">
        <w:t xml:space="preserve">C-labelled red alga </w:t>
      </w:r>
      <w:r w:rsidRPr="00AC1C30">
        <w:rPr>
          <w:i/>
          <w:iCs/>
        </w:rPr>
        <w:t>Palmaria decipiens</w:t>
      </w:r>
      <w:r w:rsidRPr="00AC1C30">
        <w:t xml:space="preserve"> and brown alga </w:t>
      </w:r>
      <w:r w:rsidRPr="00AC1C30">
        <w:rPr>
          <w:i/>
          <w:iCs/>
        </w:rPr>
        <w:t>Desmarestia anceps</w:t>
      </w:r>
      <w:r w:rsidRPr="00AC1C30">
        <w:t xml:space="preserve"> in Antarctic sediment over 26 days</w:t>
      </w:r>
      <w:r>
        <w:t xml:space="preserve"> </w:t>
      </w:r>
      <w:r>
        <w:fldChar w:fldCharType="begin"/>
      </w:r>
      <w:r>
        <w:instrText>ADDIN BEC{Braeckman et al., 2019 #39929}</w:instrText>
      </w:r>
      <w:r>
        <w:fldChar w:fldCharType="separate"/>
      </w:r>
      <w:r>
        <w:t>(Braeckman et al. 2019)</w:t>
      </w:r>
      <w:r>
        <w:fldChar w:fldCharType="end"/>
      </w:r>
      <w:r w:rsidRPr="00AC1C30">
        <w:t xml:space="preserve">. Both studies show a general increase in </w:t>
      </w:r>
      <w:r w:rsidRPr="00AC1C30">
        <w:lastRenderedPageBreak/>
        <w:t xml:space="preserve">sedimentary </w:t>
      </w:r>
      <w:r w:rsidRPr="00AC1C30">
        <w:rPr>
          <w:vertAlign w:val="superscript"/>
        </w:rPr>
        <w:t>13</w:t>
      </w:r>
      <w:r w:rsidRPr="00AC1C30">
        <w:t>C enrichment over their respective experimental periods. Kelp (</w:t>
      </w:r>
      <w:r w:rsidRPr="00AC1C30">
        <w:rPr>
          <w:i/>
          <w:iCs/>
        </w:rPr>
        <w:t>Laminaria</w:t>
      </w:r>
      <w:r w:rsidRPr="00AC1C30">
        <w:t xml:space="preserve"> </w:t>
      </w:r>
      <w:r w:rsidRPr="00AC1C30">
        <w:rPr>
          <w:i/>
          <w:iCs/>
        </w:rPr>
        <w:t>hyperborea</w:t>
      </w:r>
      <w:r w:rsidRPr="00AC1C30">
        <w:t xml:space="preserve"> and </w:t>
      </w:r>
      <w:r w:rsidRPr="00AC1C30">
        <w:rPr>
          <w:i/>
          <w:iCs/>
        </w:rPr>
        <w:t>Saccharina latissima</w:t>
      </w:r>
      <w:r w:rsidRPr="00AC1C30">
        <w:t xml:space="preserve"> among other macroalgae) carbon burial has only been indirectly determined in Northeast Atlantic surface sediment via in vitro bioirrigation and bioturbation rates paired with in situ macroalgal isotopic signatures in the macro- and meiofauna driving these processes</w:t>
      </w:r>
      <w:r>
        <w:t xml:space="preserve"> </w:t>
      </w:r>
      <w:r>
        <w:fldChar w:fldCharType="begin"/>
      </w:r>
      <w:r>
        <w:instrText>ADDIN BEC{Queirуs et al., 2019 #27335}</w:instrText>
      </w:r>
      <w:r>
        <w:fldChar w:fldCharType="separate"/>
      </w:r>
      <w:r>
        <w:t>(Queirós et al. 2019)</w:t>
      </w:r>
      <w:r>
        <w:fldChar w:fldCharType="end"/>
      </w:r>
      <w:r w:rsidRPr="00AC1C30">
        <w:t xml:space="preserve">. The only similar study on </w:t>
      </w:r>
      <w:r w:rsidRPr="00AC1C30">
        <w:rPr>
          <w:i/>
          <w:iCs/>
        </w:rPr>
        <w:t>Ecklonia radiata</w:t>
      </w:r>
      <w:r w:rsidRPr="00AC1C30">
        <w:t xml:space="preserve"> investigated bulk dissolved organic and inorganic carbon enrichment caused by wrack in sand porewater</w:t>
      </w:r>
      <w:r>
        <w:t xml:space="preserve"> </w:t>
      </w:r>
      <w:r>
        <w:fldChar w:fldCharType="begin"/>
      </w:r>
      <w:r>
        <w:instrText>ADDIN BEC{Perkins et al., 2022 #30056}</w:instrText>
      </w:r>
      <w:r>
        <w:fldChar w:fldCharType="separate"/>
      </w:r>
      <w:r>
        <w:t>(Perkins et al. 2022)</w:t>
      </w:r>
      <w:r>
        <w:fldChar w:fldCharType="end"/>
      </w:r>
      <w:r w:rsidRPr="00AC1C30">
        <w:t>. Hence, we have no direct quantification of kelp carbon burial in marine sediment for any species globally.</w:t>
      </w:r>
    </w:p>
    <w:p w14:paraId="0309B309" w14:textId="77777777" w:rsidR="004B30BC" w:rsidRDefault="004B30BC" w:rsidP="004B30BC"/>
    <w:p w14:paraId="2626007E" w14:textId="77777777" w:rsidR="004B30BC" w:rsidRPr="002C5337" w:rsidRDefault="004B30BC" w:rsidP="004B30BC">
      <w:r w:rsidRPr="00CD7E97">
        <w:rPr>
          <w:rFonts w:cs="Arial"/>
        </w:rPr>
        <w:t>There are only three published experiments that have attempted anything comparable (Hardison et al. 2010, Braeckman et al. 2019, Ravaglioli et al. 2019) and they have not been able to create robust mixing models to predict the potential contribution of kelp to carbon burial. The primary reason is a lack of sufficient replication across sediment depth and time. Previous studies have either looked across a few depth strata and timepoints but without replication per depth and timepoint (Braeckman et al. 2019) or looked only at the surface layer with replication but few timepoints (Hardison et al. 2010, Ravaglioli et al. 2019). The first method lacks confidence and the second method misses the question of burial over sufficient depths and timescales. Now I would like to push beyond these conventional methods and analyse samples across previously unexplored sediment depths and timescales to create a robust mixing model.</w:t>
      </w:r>
    </w:p>
    <w:p w14:paraId="1AED994D" w14:textId="77777777" w:rsidR="004B30BC" w:rsidRPr="00AC1C30" w:rsidRDefault="004B30BC" w:rsidP="004B30BC"/>
    <w:p w14:paraId="281ED9F1" w14:textId="77777777" w:rsidR="004B30BC" w:rsidRPr="00AC1C30" w:rsidRDefault="004B30BC" w:rsidP="004B30BC">
      <w:r w:rsidRPr="00AC1C30">
        <w:t xml:space="preserve">In this </w:t>
      </w:r>
      <w:r>
        <w:t>paper we</w:t>
      </w:r>
      <w:r w:rsidRPr="00AC1C30">
        <w:t xml:space="preserve"> aim to fill the outlined knowledge gap by (1) quantifying </w:t>
      </w:r>
      <w:r w:rsidRPr="00AC1C30">
        <w:rPr>
          <w:vertAlign w:val="superscript"/>
        </w:rPr>
        <w:t>13</w:t>
      </w:r>
      <w:r w:rsidRPr="00AC1C30">
        <w:t xml:space="preserve">C enrichment of sediment and overlying seawater with isotopically labelled </w:t>
      </w:r>
      <w:r w:rsidRPr="00AC1C30">
        <w:rPr>
          <w:i/>
          <w:iCs/>
        </w:rPr>
        <w:t>Ecklonia radiata</w:t>
      </w:r>
      <w:r w:rsidRPr="00AC1C30">
        <w:t xml:space="preserve">, (2) measuring how deep macroalgal </w:t>
      </w:r>
      <w:r w:rsidRPr="00AC1C30">
        <w:rPr>
          <w:vertAlign w:val="superscript"/>
        </w:rPr>
        <w:t>13</w:t>
      </w:r>
      <w:r w:rsidRPr="00AC1C30">
        <w:t xml:space="preserve">C penetrates the sediment (via bioturbation, diffusion or other processes), (3) measuring microbial response to carbon penetration, (4) tracking how long </w:t>
      </w:r>
      <w:r w:rsidRPr="00AC1C30">
        <w:rPr>
          <w:vertAlign w:val="superscript"/>
        </w:rPr>
        <w:t>13</w:t>
      </w:r>
      <w:r w:rsidRPr="00AC1C30">
        <w:t>C is retained in the sediment, (5) testing the effect of sediment origin and grain size on carbon burial and (6) using these data to estimate kelp carbon burial rates and resolve some uncertainty surrounding the potential for carbon sequestration.</w:t>
      </w:r>
    </w:p>
    <w:p w14:paraId="429BCA84" w14:textId="77777777" w:rsidR="004B30BC" w:rsidRDefault="004B30BC" w:rsidP="004B30BC"/>
    <w:p w14:paraId="6DB50D3B" w14:textId="77777777" w:rsidR="004B30BC" w:rsidRPr="00256DE8" w:rsidRDefault="004B30BC" w:rsidP="004B30BC">
      <w:r>
        <w:t>Key papers:</w:t>
      </w:r>
    </w:p>
    <w:p w14:paraId="55C9841F" w14:textId="77777777" w:rsidR="004B30BC" w:rsidRPr="00256DE8" w:rsidRDefault="004B30BC" w:rsidP="004B30BC">
      <w:r>
        <w:fldChar w:fldCharType="begin"/>
      </w:r>
      <w:r>
        <w:instrText>ADDIN BEC{Smith, 1981 #43308}</w:instrText>
      </w:r>
      <w:r>
        <w:fldChar w:fldCharType="separate"/>
      </w:r>
      <w:r>
        <w:t>(Smith 1981)</w:t>
      </w:r>
      <w:r>
        <w:fldChar w:fldCharType="end"/>
      </w:r>
    </w:p>
    <w:p w14:paraId="2EDE847C" w14:textId="77777777" w:rsidR="004B30BC" w:rsidRPr="00256DE8" w:rsidRDefault="004B30BC" w:rsidP="004B30BC">
      <w:r>
        <w:fldChar w:fldCharType="begin"/>
      </w:r>
      <w:r>
        <w:instrText>ADDIN BEC{Duarte et al., 2013 #53491}</w:instrText>
      </w:r>
      <w:r>
        <w:fldChar w:fldCharType="separate"/>
      </w:r>
      <w:r>
        <w:t>(Duarte et al. 2013)</w:t>
      </w:r>
      <w:r>
        <w:fldChar w:fldCharType="end"/>
      </w:r>
    </w:p>
    <w:p w14:paraId="298D601E" w14:textId="77777777" w:rsidR="004B30BC" w:rsidRPr="00256DE8" w:rsidRDefault="004B30BC" w:rsidP="004B30BC">
      <w:r>
        <w:fldChar w:fldCharType="begin"/>
      </w:r>
      <w:r>
        <w:instrText>ADDIN BEC{Krause-Jensen and Duarte, 2016 #82158}</w:instrText>
      </w:r>
      <w:r>
        <w:fldChar w:fldCharType="separate"/>
      </w:r>
      <w:r>
        <w:t>(Krause-Jensen &amp; Duarte 2016)</w:t>
      </w:r>
      <w:r>
        <w:fldChar w:fldCharType="end"/>
      </w:r>
    </w:p>
    <w:p w14:paraId="2FAD14EC" w14:textId="77777777" w:rsidR="004B30BC" w:rsidRPr="00256DE8" w:rsidRDefault="004B30BC" w:rsidP="004B30BC">
      <w:r>
        <w:fldChar w:fldCharType="begin"/>
      </w:r>
      <w:r>
        <w:instrText>ADDIN BEC{Ortega et al., 2019 #65111}</w:instrText>
      </w:r>
      <w:r>
        <w:fldChar w:fldCharType="separate"/>
      </w:r>
      <w:r>
        <w:t>(Ortega et al. 2019)</w:t>
      </w:r>
      <w:r>
        <w:fldChar w:fldCharType="end"/>
      </w:r>
    </w:p>
    <w:p w14:paraId="1E087A27" w14:textId="77777777" w:rsidR="004B30BC" w:rsidRPr="00256DE8" w:rsidRDefault="004B30BC" w:rsidP="004B30BC">
      <w:r>
        <w:fldChar w:fldCharType="begin"/>
      </w:r>
      <w:r>
        <w:instrText>ADDIN BEC{Geraldi et al., 2019 #83330}</w:instrText>
      </w:r>
      <w:r>
        <w:fldChar w:fldCharType="separate"/>
      </w:r>
      <w:r>
        <w:t>(Geraldi et al. 2019)</w:t>
      </w:r>
      <w:r>
        <w:fldChar w:fldCharType="end"/>
      </w:r>
    </w:p>
    <w:p w14:paraId="4642EA88" w14:textId="77777777" w:rsidR="004B30BC" w:rsidRPr="00256DE8" w:rsidRDefault="004B30BC" w:rsidP="004B30BC">
      <w:r>
        <w:fldChar w:fldCharType="begin"/>
      </w:r>
      <w:r>
        <w:instrText>ADDIN BEC{Ortega et al., 2020 #83267}</w:instrText>
      </w:r>
      <w:r>
        <w:fldChar w:fldCharType="separate"/>
      </w:r>
      <w:r>
        <w:t>(Ortega et al. 2020)</w:t>
      </w:r>
      <w:r>
        <w:fldChar w:fldCharType="end"/>
      </w:r>
    </w:p>
    <w:p w14:paraId="102C3E5F" w14:textId="77777777" w:rsidR="004B30BC" w:rsidRPr="00256DE8" w:rsidRDefault="004B30BC" w:rsidP="004B30BC">
      <w:r>
        <w:fldChar w:fldCharType="begin"/>
      </w:r>
      <w:r>
        <w:instrText>ADDIN BEC{Krause-Jensen et al., 2018 #98244}</w:instrText>
      </w:r>
      <w:r>
        <w:fldChar w:fldCharType="separate"/>
      </w:r>
      <w:r>
        <w:t>(Krause-Jensen et al. 2018)</w:t>
      </w:r>
      <w:r>
        <w:fldChar w:fldCharType="end"/>
      </w:r>
    </w:p>
    <w:p w14:paraId="0C61899F" w14:textId="77777777" w:rsidR="004B30BC" w:rsidRPr="00256DE8" w:rsidRDefault="004B30BC" w:rsidP="004B30BC">
      <w:r>
        <w:fldChar w:fldCharType="begin"/>
      </w:r>
      <w:r>
        <w:instrText>ADDIN BEC{Raven, 2018 #11719}</w:instrText>
      </w:r>
      <w:r>
        <w:fldChar w:fldCharType="separate"/>
      </w:r>
      <w:r>
        <w:t>(Raven 2018)</w:t>
      </w:r>
      <w:r>
        <w:fldChar w:fldCharType="end"/>
      </w:r>
    </w:p>
    <w:p w14:paraId="14E95AB4" w14:textId="77777777" w:rsidR="004B30BC" w:rsidRPr="00256DE8" w:rsidRDefault="004B30BC" w:rsidP="004B30BC">
      <w:r>
        <w:fldChar w:fldCharType="begin"/>
      </w:r>
      <w:r>
        <w:instrText>ADDIN BEC{Moreda et al., 2024 #33831}</w:instrText>
      </w:r>
      <w:r>
        <w:fldChar w:fldCharType="separate"/>
      </w:r>
      <w:r>
        <w:t>(Moreda et al. 2024)</w:t>
      </w:r>
      <w:r>
        <w:fldChar w:fldCharType="end"/>
      </w:r>
    </w:p>
    <w:p w14:paraId="574958DF" w14:textId="77777777" w:rsidR="004B30BC" w:rsidRPr="00256DE8" w:rsidRDefault="004B30BC" w:rsidP="004B30BC">
      <w:r>
        <w:fldChar w:fldCharType="begin"/>
      </w:r>
      <w:r>
        <w:instrText>ADDIN BEC{Smale et al., 2018 #60886}</w:instrText>
      </w:r>
      <w:r>
        <w:fldChar w:fldCharType="separate"/>
      </w:r>
      <w:r>
        <w:t>(Smale et al. 2018)</w:t>
      </w:r>
      <w:r>
        <w:fldChar w:fldCharType="end"/>
      </w:r>
    </w:p>
    <w:p w14:paraId="33E346AB" w14:textId="77777777" w:rsidR="004B30BC" w:rsidRPr="00256DE8" w:rsidRDefault="004B30BC" w:rsidP="004B30BC">
      <w:r>
        <w:fldChar w:fldCharType="begin"/>
      </w:r>
      <w:r>
        <w:instrText>ADDIN BEC{Queirуs et al., 2019 #27335}</w:instrText>
      </w:r>
      <w:r>
        <w:fldChar w:fldCharType="separate"/>
      </w:r>
      <w:r>
        <w:t>(Queirós et al. 2019)</w:t>
      </w:r>
      <w:r>
        <w:fldChar w:fldCharType="end"/>
      </w:r>
    </w:p>
    <w:p w14:paraId="311AD7ED" w14:textId="77777777" w:rsidR="004B30BC" w:rsidRPr="00256DE8" w:rsidRDefault="004B30BC" w:rsidP="004B30BC">
      <w:r>
        <w:fldChar w:fldCharType="begin"/>
      </w:r>
      <w:r>
        <w:instrText>ADDIN BEC{Queirуs et al., 2015 #90407}</w:instrText>
      </w:r>
      <w:r>
        <w:fldChar w:fldCharType="separate"/>
      </w:r>
      <w:r>
        <w:t>(Queirós et al. 2015)</w:t>
      </w:r>
      <w:r>
        <w:fldChar w:fldCharType="end"/>
      </w:r>
    </w:p>
    <w:p w14:paraId="6DDA75B6" w14:textId="77777777" w:rsidR="004B30BC" w:rsidRPr="00256DE8" w:rsidRDefault="004B30BC" w:rsidP="004B30BC">
      <w:r>
        <w:fldChar w:fldCharType="begin"/>
      </w:r>
      <w:r>
        <w:instrText>ADDIN BEC{Ravaglioli et al., 2019 #29931}</w:instrText>
      </w:r>
      <w:r>
        <w:fldChar w:fldCharType="separate"/>
      </w:r>
      <w:r>
        <w:t>(Ravaglioli et al. 2019)</w:t>
      </w:r>
      <w:r>
        <w:fldChar w:fldCharType="end"/>
      </w:r>
    </w:p>
    <w:p w14:paraId="70E2C66B" w14:textId="77777777" w:rsidR="004B30BC" w:rsidRPr="00256DE8" w:rsidRDefault="004B30BC" w:rsidP="004B30BC">
      <w:r>
        <w:fldChar w:fldCharType="begin"/>
      </w:r>
      <w:r>
        <w:instrText>ADDIN BEC{Queirуs et al., 2023 #11470}</w:instrText>
      </w:r>
      <w:r>
        <w:fldChar w:fldCharType="separate"/>
      </w:r>
      <w:r>
        <w:t>(Queirós et al. 2023)</w:t>
      </w:r>
      <w:r>
        <w:fldChar w:fldCharType="end"/>
      </w:r>
    </w:p>
    <w:p w14:paraId="46E2E816" w14:textId="77777777" w:rsidR="004B30BC" w:rsidRPr="00256DE8" w:rsidRDefault="004B30BC" w:rsidP="004B30BC">
      <w:r>
        <w:fldChar w:fldCharType="begin"/>
      </w:r>
      <w:r>
        <w:instrText>ADDIN BEC{Simpkins et al., 2025 #59214}</w:instrText>
      </w:r>
      <w:r>
        <w:fldChar w:fldCharType="separate"/>
      </w:r>
      <w:r>
        <w:t>(Simpkins et al. 2025)</w:t>
      </w:r>
      <w:r>
        <w:fldChar w:fldCharType="end"/>
      </w:r>
    </w:p>
    <w:p w14:paraId="09EE7F85" w14:textId="77777777" w:rsidR="004B30BC" w:rsidRPr="00256DE8" w:rsidRDefault="004B30BC" w:rsidP="004B30BC">
      <w:r>
        <w:fldChar w:fldCharType="begin"/>
      </w:r>
      <w:r>
        <w:instrText>ADDIN BEC{Filbee-Dexter et al., 2024 #27978}</w:instrText>
      </w:r>
      <w:r>
        <w:fldChar w:fldCharType="separate"/>
      </w:r>
      <w:r>
        <w:t>(Filbee-Dexter et al. 2024)</w:t>
      </w:r>
      <w:r>
        <w:fldChar w:fldCharType="end"/>
      </w:r>
    </w:p>
    <w:p w14:paraId="1D9EB788" w14:textId="77777777" w:rsidR="004B30BC" w:rsidRPr="00256DE8" w:rsidRDefault="004B30BC" w:rsidP="004B30BC">
      <w:r>
        <w:fldChar w:fldCharType="begin"/>
      </w:r>
      <w:r>
        <w:instrText>ADDIN BEC{Braeckman et al., 2019 #39929}</w:instrText>
      </w:r>
      <w:r>
        <w:fldChar w:fldCharType="separate"/>
      </w:r>
      <w:r>
        <w:t>(Braeckman et al. 2019)</w:t>
      </w:r>
      <w:r>
        <w:fldChar w:fldCharType="end"/>
      </w:r>
    </w:p>
    <w:p w14:paraId="6CF3A84E" w14:textId="77777777" w:rsidR="004B30BC" w:rsidRPr="00256DE8" w:rsidRDefault="004B30BC" w:rsidP="004B30BC">
      <w:r>
        <w:fldChar w:fldCharType="begin"/>
      </w:r>
      <w:r>
        <w:instrText>ADDIN BEC{Borger et al., 2020 #82789}</w:instrText>
      </w:r>
      <w:r>
        <w:fldChar w:fldCharType="separate"/>
      </w:r>
      <w:r>
        <w:t>(Borger et al. 2020)</w:t>
      </w:r>
      <w:r>
        <w:fldChar w:fldCharType="end"/>
      </w:r>
    </w:p>
    <w:p w14:paraId="5A8CB89D" w14:textId="77777777" w:rsidR="004B30BC" w:rsidRPr="00256DE8" w:rsidRDefault="004B30BC" w:rsidP="004B30BC">
      <w:r>
        <w:fldChar w:fldCharType="begin"/>
      </w:r>
      <w:r>
        <w:instrText>ADDIN BEC{Hardison et al., 2010 #68553}</w:instrText>
      </w:r>
      <w:r>
        <w:fldChar w:fldCharType="separate"/>
      </w:r>
      <w:r>
        <w:t>(Hardison et al. 2010)</w:t>
      </w:r>
      <w:r>
        <w:fldChar w:fldCharType="end"/>
      </w:r>
    </w:p>
    <w:p w14:paraId="639337AC" w14:textId="77777777" w:rsidR="004B30BC" w:rsidRPr="00256DE8" w:rsidRDefault="004B30BC" w:rsidP="004B30BC">
      <w:r>
        <w:fldChar w:fldCharType="begin"/>
      </w:r>
      <w:r>
        <w:instrText>ADDIN BEC{Hardison et al., 2013 #38666}</w:instrText>
      </w:r>
      <w:r>
        <w:fldChar w:fldCharType="separate"/>
      </w:r>
      <w:r>
        <w:t>(Hardison et al. 2013)</w:t>
      </w:r>
      <w:r>
        <w:fldChar w:fldCharType="end"/>
      </w:r>
    </w:p>
    <w:p w14:paraId="21CBBD1E" w14:textId="77777777" w:rsidR="004B30BC" w:rsidRPr="00256DE8" w:rsidRDefault="004B30BC" w:rsidP="004B30BC">
      <w:r>
        <w:lastRenderedPageBreak/>
        <w:fldChar w:fldCharType="begin"/>
      </w:r>
      <w:r>
        <w:instrText>ADDIN BEC{Hardison et al., 2011 #10581}</w:instrText>
      </w:r>
      <w:r>
        <w:fldChar w:fldCharType="separate"/>
      </w:r>
      <w:r>
        <w:t>(Hardison et al. 2011)</w:t>
      </w:r>
      <w:r>
        <w:fldChar w:fldCharType="end"/>
      </w:r>
    </w:p>
    <w:p w14:paraId="2022F680" w14:textId="77777777" w:rsidR="004B30BC" w:rsidRPr="00256DE8" w:rsidRDefault="004B30BC" w:rsidP="004B30BC">
      <w:r>
        <w:fldChar w:fldCharType="begin"/>
      </w:r>
      <w:r>
        <w:instrText>ADDIN BEC{Rossi, 2006 #57783}</w:instrText>
      </w:r>
      <w:r>
        <w:fldChar w:fldCharType="separate"/>
      </w:r>
      <w:r>
        <w:t>(Rossi 2006)</w:t>
      </w:r>
      <w:r>
        <w:fldChar w:fldCharType="end"/>
      </w:r>
    </w:p>
    <w:p w14:paraId="785754BA" w14:textId="77777777" w:rsidR="004B30BC" w:rsidRPr="00256DE8" w:rsidRDefault="004B30BC" w:rsidP="004B30BC">
      <w:r>
        <w:fldChar w:fldCharType="begin"/>
      </w:r>
      <w:r>
        <w:instrText>ADDIN BEC{Rossi, 2007 #14477}</w:instrText>
      </w:r>
      <w:r>
        <w:fldChar w:fldCharType="separate"/>
      </w:r>
      <w:r>
        <w:t>(Rossi 2007)</w:t>
      </w:r>
      <w:r>
        <w:fldChar w:fldCharType="end"/>
      </w:r>
    </w:p>
    <w:p w14:paraId="495A67AB" w14:textId="77777777" w:rsidR="004B30BC" w:rsidRPr="00256DE8" w:rsidRDefault="004B30BC" w:rsidP="004B30BC">
      <w:r>
        <w:fldChar w:fldCharType="begin"/>
      </w:r>
      <w:r>
        <w:instrText>ADDIN BEC{Rossi et al., 2013 #30594}</w:instrText>
      </w:r>
      <w:r>
        <w:fldChar w:fldCharType="separate"/>
      </w:r>
      <w:r>
        <w:t>(Rossi et al. 2013)</w:t>
      </w:r>
      <w:r>
        <w:fldChar w:fldCharType="end"/>
      </w:r>
    </w:p>
    <w:p w14:paraId="2C47EDF4" w14:textId="77777777" w:rsidR="004B30BC" w:rsidRPr="00256DE8" w:rsidRDefault="004B30BC" w:rsidP="004B30BC">
      <w:r>
        <w:fldChar w:fldCharType="begin"/>
      </w:r>
      <w:r>
        <w:instrText>ADDIN BEC{Frigstad et al., 2021 #24898}</w:instrText>
      </w:r>
      <w:r>
        <w:fldChar w:fldCharType="separate"/>
      </w:r>
      <w:r>
        <w:t>(Frigstad et al. 2021)</w:t>
      </w:r>
      <w:r>
        <w:fldChar w:fldCharType="end"/>
      </w:r>
    </w:p>
    <w:p w14:paraId="5E807385" w14:textId="77777777" w:rsidR="004B30BC" w:rsidRPr="00256DE8" w:rsidRDefault="004B30BC" w:rsidP="004B30BC">
      <w:r>
        <w:fldChar w:fldCharType="begin"/>
      </w:r>
      <w:r>
        <w:instrText>ADDIN BEC{Abdullah et al., 2017 #97015}</w:instrText>
      </w:r>
      <w:r>
        <w:fldChar w:fldCharType="separate"/>
      </w:r>
      <w:r>
        <w:t>(Abdullah et al. 2017)</w:t>
      </w:r>
      <w:r>
        <w:fldChar w:fldCharType="end"/>
      </w:r>
    </w:p>
    <w:p w14:paraId="00DC92E8" w14:textId="77777777" w:rsidR="004B30BC" w:rsidRPr="00256DE8" w:rsidRDefault="004B30BC" w:rsidP="004B30BC">
      <w:r>
        <w:fldChar w:fldCharType="begin"/>
      </w:r>
      <w:r>
        <w:instrText>ADDIN BEC{Pedersen et al., 2021 #86831}</w:instrText>
      </w:r>
      <w:r>
        <w:fldChar w:fldCharType="separate"/>
      </w:r>
      <w:r>
        <w:t>(Pedersen et al. 2021)</w:t>
      </w:r>
      <w:r>
        <w:fldChar w:fldCharType="end"/>
      </w:r>
    </w:p>
    <w:p w14:paraId="28FC7CBD" w14:textId="77777777" w:rsidR="004B30BC" w:rsidRPr="00256DE8" w:rsidRDefault="004B30BC" w:rsidP="004B30BC">
      <w:r>
        <w:fldChar w:fldCharType="begin"/>
      </w:r>
      <w:r>
        <w:instrText>ADDIN BEC{Banta et al., 2004 #54287}</w:instrText>
      </w:r>
      <w:r>
        <w:fldChar w:fldCharType="separate"/>
      </w:r>
      <w:r>
        <w:t>(Banta et al. 2004)</w:t>
      </w:r>
      <w:r>
        <w:fldChar w:fldCharType="end"/>
      </w:r>
    </w:p>
    <w:p w14:paraId="794A29D0" w14:textId="77777777" w:rsidR="004B30BC" w:rsidRPr="00256DE8" w:rsidRDefault="004B30BC" w:rsidP="004B30BC">
      <w:r>
        <w:fldChar w:fldCharType="begin"/>
      </w:r>
      <w:r>
        <w:instrText>ADDIN BEC{Pedersen and Johnsen, 2017 #53114}</w:instrText>
      </w:r>
      <w:r>
        <w:fldChar w:fldCharType="separate"/>
      </w:r>
      <w:r>
        <w:t>(Pedersen &amp; Johnsen 2017)</w:t>
      </w:r>
      <w:r>
        <w:fldChar w:fldCharType="end"/>
      </w:r>
    </w:p>
    <w:p w14:paraId="2D32FD06" w14:textId="77777777" w:rsidR="004B30BC" w:rsidRPr="00256DE8" w:rsidRDefault="004B30BC" w:rsidP="004B30BC">
      <w:r>
        <w:fldChar w:fldCharType="begin"/>
      </w:r>
      <w:r>
        <w:instrText>ADDIN BEC{Zaborska et al., 2018 #63626}</w:instrText>
      </w:r>
      <w:r>
        <w:fldChar w:fldCharType="separate"/>
      </w:r>
      <w:r>
        <w:t>(Zaborska et al. 2018)</w:t>
      </w:r>
      <w:r>
        <w:fldChar w:fldCharType="end"/>
      </w:r>
    </w:p>
    <w:p w14:paraId="182192FE" w14:textId="77777777" w:rsidR="004B30BC" w:rsidRPr="00256DE8" w:rsidRDefault="004B30BC" w:rsidP="004B30BC">
      <w:r>
        <w:fldChar w:fldCharType="begin"/>
      </w:r>
      <w:r>
        <w:instrText>ADDIN BEC{Canvin et al., 2026 #230171}</w:instrText>
      </w:r>
      <w:r>
        <w:fldChar w:fldCharType="separate"/>
      </w:r>
      <w:r>
        <w:t>(Canvin et al. 2026)</w:t>
      </w:r>
      <w:r>
        <w:fldChar w:fldCharType="end"/>
      </w:r>
    </w:p>
    <w:p w14:paraId="5B10DC82" w14:textId="77777777" w:rsidR="004B30BC" w:rsidRPr="00256DE8" w:rsidRDefault="004B30BC" w:rsidP="004B30BC">
      <w:r>
        <w:fldChar w:fldCharType="begin"/>
      </w:r>
      <w:r>
        <w:instrText>ADDIN BEC{Boldreel et al., 2023 #49356}</w:instrText>
      </w:r>
      <w:r>
        <w:fldChar w:fldCharType="separate"/>
      </w:r>
      <w:r>
        <w:t>(Boldreel et al. 2023)</w:t>
      </w:r>
      <w:r>
        <w:fldChar w:fldCharType="end"/>
      </w:r>
    </w:p>
    <w:p w14:paraId="30E856F2" w14:textId="77777777" w:rsidR="004B30BC" w:rsidRPr="00256DE8" w:rsidRDefault="004B30BC" w:rsidP="004B30BC">
      <w:r>
        <w:fldChar w:fldCharType="begin"/>
      </w:r>
      <w:r>
        <w:instrText>ADDIN BEC{Duarte et al., 2025 #107484}</w:instrText>
      </w:r>
      <w:r>
        <w:fldChar w:fldCharType="separate"/>
      </w:r>
      <w:r>
        <w:t>(Duarte et al. 2025)</w:t>
      </w:r>
      <w:r>
        <w:fldChar w:fldCharType="end"/>
      </w:r>
    </w:p>
    <w:p w14:paraId="5C5C5515" w14:textId="77777777" w:rsidR="004B30BC" w:rsidRPr="00256DE8" w:rsidRDefault="004B30BC" w:rsidP="004B30BC">
      <w:r>
        <w:fldChar w:fldCharType="begin"/>
      </w:r>
      <w:r>
        <w:instrText>ADDIN BEC{Hurd et al., 2022 #90388}</w:instrText>
      </w:r>
      <w:r>
        <w:fldChar w:fldCharType="separate"/>
      </w:r>
      <w:r>
        <w:t>(Hurd et al. 2022)</w:t>
      </w:r>
      <w:r>
        <w:fldChar w:fldCharType="end"/>
      </w:r>
    </w:p>
    <w:p w14:paraId="5D38F84B" w14:textId="77777777" w:rsidR="004B30BC" w:rsidRPr="00256DE8" w:rsidRDefault="004B30BC" w:rsidP="004B30BC">
      <w:r>
        <w:fldChar w:fldCharType="begin"/>
      </w:r>
      <w:r>
        <w:instrText>ADDIN BEC{Hill et al., 2015 #49629}</w:instrText>
      </w:r>
      <w:r>
        <w:fldChar w:fldCharType="separate"/>
      </w:r>
      <w:r>
        <w:t>(Hill et al. 2015)</w:t>
      </w:r>
      <w:r>
        <w:fldChar w:fldCharType="end"/>
      </w:r>
    </w:p>
    <w:p w14:paraId="6D9A4423" w14:textId="77777777" w:rsidR="004B30BC" w:rsidRPr="00256DE8" w:rsidRDefault="004B30BC" w:rsidP="004B30BC">
      <w:r>
        <w:fldChar w:fldCharType="begin"/>
      </w:r>
      <w:r>
        <w:instrText>ADDIN BEC{Kristensen et al., 2025 #16165}</w:instrText>
      </w:r>
      <w:r>
        <w:fldChar w:fldCharType="separate"/>
      </w:r>
      <w:r>
        <w:t>(Kristensen et al. 2025)</w:t>
      </w:r>
      <w:r>
        <w:fldChar w:fldCharType="end"/>
      </w:r>
    </w:p>
    <w:p w14:paraId="5234EC53" w14:textId="77777777" w:rsidR="004B30BC" w:rsidRPr="00256DE8" w:rsidRDefault="004B30BC" w:rsidP="004B30BC">
      <w:r>
        <w:fldChar w:fldCharType="begin"/>
      </w:r>
      <w:r>
        <w:instrText>ADDIN BEC{Thomson et al., 2020 #69574}</w:instrText>
      </w:r>
      <w:r>
        <w:fldChar w:fldCharType="separate"/>
      </w:r>
      <w:r>
        <w:t>(Thomson et al. 2020)</w:t>
      </w:r>
      <w:r>
        <w:fldChar w:fldCharType="end"/>
      </w:r>
    </w:p>
    <w:p w14:paraId="535AFE7F" w14:textId="77777777" w:rsidR="004B30BC" w:rsidRPr="00256DE8" w:rsidRDefault="004B30BC" w:rsidP="004B30BC">
      <w:r>
        <w:fldChar w:fldCharType="begin"/>
      </w:r>
      <w:r>
        <w:instrText>ADDIN BEC{Kristensen et al., 1995 #73616}</w:instrText>
      </w:r>
      <w:r>
        <w:fldChar w:fldCharType="separate"/>
      </w:r>
      <w:r>
        <w:t>(Kristensen et al. 1995)</w:t>
      </w:r>
      <w:r>
        <w:fldChar w:fldCharType="end"/>
      </w:r>
    </w:p>
    <w:p w14:paraId="64E23FE0" w14:textId="77777777" w:rsidR="004B30BC" w:rsidRPr="00256DE8" w:rsidRDefault="004B30BC" w:rsidP="004B30BC">
      <w:r>
        <w:fldChar w:fldCharType="begin"/>
      </w:r>
      <w:r>
        <w:instrText>ADDIN BEC{Kristensen, 1994 #560}</w:instrText>
      </w:r>
      <w:r>
        <w:fldChar w:fldCharType="separate"/>
      </w:r>
      <w:r>
        <w:t>(Kristensen 1994)</w:t>
      </w:r>
      <w:r>
        <w:fldChar w:fldCharType="end"/>
      </w:r>
    </w:p>
    <w:p w14:paraId="56B96A3C" w14:textId="77777777" w:rsidR="004B30BC" w:rsidRPr="00256DE8" w:rsidRDefault="004B30BC" w:rsidP="004B30BC">
      <w:r>
        <w:fldChar w:fldCharType="begin"/>
      </w:r>
      <w:r>
        <w:instrText>ADDIN BEC{Kristensen et al., 1992 #47546}</w:instrText>
      </w:r>
      <w:r>
        <w:fldChar w:fldCharType="separate"/>
      </w:r>
      <w:r>
        <w:t>(Kristensen et al. 1992)</w:t>
      </w:r>
      <w:r>
        <w:fldChar w:fldCharType="end"/>
      </w:r>
    </w:p>
    <w:p w14:paraId="222D7549" w14:textId="77777777" w:rsidR="004B30BC" w:rsidRPr="00256DE8" w:rsidRDefault="004B30BC" w:rsidP="004B30BC">
      <w:r>
        <w:fldChar w:fldCharType="begin"/>
      </w:r>
      <w:r>
        <w:instrText>ADDIN BEC{Kristensen and Mikkelsen, 2003 #1167}</w:instrText>
      </w:r>
      <w:r>
        <w:fldChar w:fldCharType="separate"/>
      </w:r>
      <w:r>
        <w:t>(Kristensen &amp; Mikkelsen 2003)</w:t>
      </w:r>
      <w:r>
        <w:fldChar w:fldCharType="end"/>
      </w:r>
      <w:r w:rsidRPr="003376AF">
        <w:t xml:space="preserve"> </w:t>
      </w:r>
      <w:r w:rsidRPr="003376AF">
        <w:fldChar w:fldCharType="begin"/>
      </w:r>
      <w:r w:rsidRPr="003376AF">
        <w:instrText>ADDIN BEC{Andersen and Kristensen, 1992 #5307}</w:instrText>
      </w:r>
      <w:r w:rsidRPr="003376AF">
        <w:fldChar w:fldCharType="separate"/>
      </w:r>
      <w:r w:rsidRPr="003376AF">
        <w:t>(Andersen &amp; Kristensen 1992)</w:t>
      </w:r>
      <w:r w:rsidRPr="003376AF">
        <w:fldChar w:fldCharType="end"/>
      </w:r>
    </w:p>
    <w:p w14:paraId="44F9442A" w14:textId="77777777" w:rsidR="004B30BC" w:rsidRPr="00256DE8" w:rsidRDefault="004B30BC" w:rsidP="004B30BC">
      <w:r>
        <w:fldChar w:fldCharType="begin"/>
      </w:r>
      <w:r>
        <w:instrText>ADDIN BEC{Kristensen and Holmer, 2001 #5381}</w:instrText>
      </w:r>
      <w:r>
        <w:fldChar w:fldCharType="separate"/>
      </w:r>
      <w:r>
        <w:t>(Kristensen &amp; Holmer 2001)</w:t>
      </w:r>
      <w:r>
        <w:fldChar w:fldCharType="end"/>
      </w:r>
    </w:p>
    <w:p w14:paraId="29B8E683" w14:textId="77777777" w:rsidR="004B30BC" w:rsidRPr="00256DE8" w:rsidRDefault="004B30BC" w:rsidP="004B30BC">
      <w:r>
        <w:fldChar w:fldCharType="begin"/>
      </w:r>
      <w:r>
        <w:instrText>ADDIN BEC{Hansen and Kristensen, 1998 #240136}</w:instrText>
      </w:r>
      <w:r>
        <w:fldChar w:fldCharType="separate"/>
      </w:r>
      <w:r>
        <w:t>(Hansen &amp; Kristensen 1998)</w:t>
      </w:r>
      <w:r>
        <w:fldChar w:fldCharType="end"/>
      </w:r>
      <w:r w:rsidRPr="00256DE8">
        <w:t xml:space="preserve"> </w:t>
      </w:r>
      <w:r>
        <w:fldChar w:fldCharType="begin"/>
      </w:r>
      <w:r>
        <w:instrText>ADDIN BEC{Hanson and Tenore, 1981 #63989}</w:instrText>
      </w:r>
      <w:r>
        <w:fldChar w:fldCharType="separate"/>
      </w:r>
      <w:r>
        <w:t>(Hanson &amp; Tenore 1981)</w:t>
      </w:r>
      <w:r>
        <w:fldChar w:fldCharType="end"/>
      </w:r>
    </w:p>
    <w:p w14:paraId="356FEE9B" w14:textId="77777777" w:rsidR="004B30BC" w:rsidRPr="00256DE8" w:rsidRDefault="004B30BC" w:rsidP="004B30BC">
      <w:r>
        <w:fldChar w:fldCharType="begin"/>
      </w:r>
      <w:r>
        <w:instrText>ADDIN BEC{Perkins et al., 2022 #30056}</w:instrText>
      </w:r>
      <w:r>
        <w:fldChar w:fldCharType="separate"/>
      </w:r>
      <w:r>
        <w:t>(Perkins et al. 2022)</w:t>
      </w:r>
      <w:r>
        <w:fldChar w:fldCharType="end"/>
      </w:r>
    </w:p>
    <w:p w14:paraId="222180EF" w14:textId="77777777" w:rsidR="004B30BC" w:rsidRPr="00256DE8" w:rsidRDefault="004B30BC" w:rsidP="004B30BC">
      <w:r>
        <w:fldChar w:fldCharType="begin"/>
      </w:r>
      <w:r>
        <w:instrText>ADDIN BEC{Johannessen and Macdonald, 2016 #44050; Johannessen, 2022 #41599}</w:instrText>
      </w:r>
      <w:r>
        <w:fldChar w:fldCharType="separate"/>
      </w:r>
      <w:r>
        <w:t>(Johannessen &amp; Macdonald 2016, Johannessen 2022)</w:t>
      </w:r>
      <w:r>
        <w:fldChar w:fldCharType="end"/>
      </w:r>
      <w:r w:rsidRPr="00256DE8">
        <w:t xml:space="preserve"> </w:t>
      </w:r>
      <w:r>
        <w:fldChar w:fldCharType="begin"/>
      </w:r>
      <w:r>
        <w:instrText>ADDIN BEC{Serrano et al., 2023 #108120}</w:instrText>
      </w:r>
      <w:r>
        <w:fldChar w:fldCharType="separate"/>
      </w:r>
      <w:r>
        <w:t>(Serrano et al. 2023)</w:t>
      </w:r>
      <w:r>
        <w:fldChar w:fldCharType="end"/>
      </w:r>
    </w:p>
    <w:p w14:paraId="7A5C1561" w14:textId="77777777" w:rsidR="004B30BC" w:rsidRPr="00256DE8" w:rsidRDefault="004B30BC" w:rsidP="004B30BC">
      <w:r>
        <w:fldChar w:fldCharType="begin"/>
      </w:r>
      <w:r>
        <w:instrText>ADDIN BEC{Шrberg et al., 2023 #307969}</w:instrText>
      </w:r>
      <w:r>
        <w:fldChar w:fldCharType="separate"/>
      </w:r>
      <w:r>
        <w:t>(Ørberg et al. 2023)</w:t>
      </w:r>
      <w:r>
        <w:fldChar w:fldCharType="end"/>
      </w:r>
    </w:p>
    <w:p w14:paraId="39AD3229" w14:textId="77777777" w:rsidR="004B30BC" w:rsidRPr="00256DE8" w:rsidRDefault="004B30BC" w:rsidP="004B30BC">
      <w:r>
        <w:fldChar w:fldCharType="begin"/>
      </w:r>
      <w:r>
        <w:instrText>ADDIN BEC{Yamuza-Magdaleno et al., 2024 #130603}</w:instrText>
      </w:r>
      <w:r>
        <w:fldChar w:fldCharType="separate"/>
      </w:r>
      <w:r>
        <w:t>(Yamuza-Magdaleno et al. 2024)</w:t>
      </w:r>
      <w:r>
        <w:fldChar w:fldCharType="end"/>
      </w:r>
    </w:p>
    <w:p w14:paraId="446A1567" w14:textId="77777777" w:rsidR="004B30BC" w:rsidRPr="00256DE8" w:rsidRDefault="004B30BC" w:rsidP="004B30BC">
      <w:r>
        <w:fldChar w:fldCharType="begin"/>
      </w:r>
      <w:r>
        <w:instrText>ADDIN BEC{Wernberg et al., 2006 #74439}</w:instrText>
      </w:r>
      <w:r>
        <w:fldChar w:fldCharType="separate"/>
      </w:r>
      <w:r>
        <w:t>(Wernberg et al. 2006)</w:t>
      </w:r>
      <w:r>
        <w:fldChar w:fldCharType="end"/>
      </w:r>
    </w:p>
    <w:p w14:paraId="34C3E756" w14:textId="77777777" w:rsidR="004B30BC" w:rsidRPr="00256DE8" w:rsidRDefault="004B30BC" w:rsidP="004B30BC">
      <w:r>
        <w:fldChar w:fldCharType="begin"/>
      </w:r>
      <w:r>
        <w:instrText>ADDIN BEC{Greiner et al., 2016 #102722}</w:instrText>
      </w:r>
      <w:r>
        <w:fldChar w:fldCharType="separate"/>
      </w:r>
      <w:r>
        <w:t>(Greiner et al. 2016)</w:t>
      </w:r>
      <w:r>
        <w:fldChar w:fldCharType="end"/>
      </w:r>
    </w:p>
    <w:p w14:paraId="5A8E9CB1" w14:textId="77777777" w:rsidR="004B30BC" w:rsidRPr="00256DE8" w:rsidRDefault="004B30BC" w:rsidP="004B30BC">
      <w:r>
        <w:fldChar w:fldCharType="begin"/>
      </w:r>
      <w:r>
        <w:instrText>ADDIN BEC{Bossert et al., 2024 #29969}{Tan et al., 2025 #263369}</w:instrText>
      </w:r>
      <w:r>
        <w:fldChar w:fldCharType="separate"/>
      </w:r>
      <w:r>
        <w:t>(Bossert et al. 2024, Tan et al. 2025)</w:t>
      </w:r>
      <w:r>
        <w:fldChar w:fldCharType="end"/>
      </w:r>
    </w:p>
    <w:p w14:paraId="2C1E12F6" w14:textId="77777777" w:rsidR="004B30BC" w:rsidRPr="00256DE8" w:rsidRDefault="004B30BC" w:rsidP="004B30BC">
      <w:r>
        <w:fldChar w:fldCharType="begin"/>
      </w:r>
      <w:r>
        <w:instrText>ADDIN BEC{Chynel et al., 2024 #294774}{Papaspyrou et al., 2004 #74825}{Garcнa-Robledo et al., 2008 #15279}</w:instrText>
      </w:r>
      <w:r>
        <w:fldChar w:fldCharType="separate"/>
      </w:r>
      <w:r>
        <w:t>(Papaspyrou et al. 2004, García-Robledo et al. 2008, Chynel et al. 2024)</w:t>
      </w:r>
      <w:r>
        <w:fldChar w:fldCharType="end"/>
      </w:r>
    </w:p>
    <w:p w14:paraId="18CA26FC" w14:textId="77777777" w:rsidR="004B30BC" w:rsidRPr="00256DE8" w:rsidRDefault="004B30BC" w:rsidP="004B30BC">
      <w:r>
        <w:fldChar w:fldCharType="begin"/>
      </w:r>
      <w:r>
        <w:instrText>ADDIN BEC{Dahl et al., 2023 #60718}</w:instrText>
      </w:r>
      <w:r>
        <w:fldChar w:fldCharType="separate"/>
      </w:r>
      <w:r>
        <w:t>(Dahl et al. 2023)</w:t>
      </w:r>
      <w:r>
        <w:fldChar w:fldCharType="end"/>
      </w:r>
      <w:r w:rsidRPr="00256DE8">
        <w:t xml:space="preserve"> </w:t>
      </w:r>
      <w:r>
        <w:fldChar w:fldCharType="begin"/>
      </w:r>
      <w:r>
        <w:instrText>ADDIN BEC{Gan et al., 2025 #41182}</w:instrText>
      </w:r>
      <w:r>
        <w:fldChar w:fldCharType="separate"/>
      </w:r>
      <w:r>
        <w:t>(Gan et al. 2025)</w:t>
      </w:r>
      <w:r>
        <w:fldChar w:fldCharType="end"/>
      </w:r>
      <w:r w:rsidRPr="00256DE8">
        <w:t xml:space="preserve"> </w:t>
      </w:r>
      <w:r>
        <w:fldChar w:fldCharType="begin"/>
      </w:r>
      <w:r>
        <w:instrText>ADDIN BEC{Li et al., 2025 #95700}</w:instrText>
      </w:r>
      <w:r>
        <w:fldChar w:fldCharType="separate"/>
      </w:r>
      <w:r>
        <w:t>(Li et al. 2025)</w:t>
      </w:r>
      <w:r>
        <w:fldChar w:fldCharType="end"/>
      </w:r>
    </w:p>
    <w:p w14:paraId="1E464D31" w14:textId="77777777" w:rsidR="004B30BC" w:rsidRPr="00256DE8" w:rsidRDefault="004B30BC" w:rsidP="004B30BC">
      <w:r>
        <w:fldChar w:fldCharType="begin"/>
      </w:r>
      <w:r>
        <w:instrText>ADDIN BEC{Pessarrodona et al., 2023 #24777}</w:instrText>
      </w:r>
      <w:r>
        <w:fldChar w:fldCharType="separate"/>
      </w:r>
      <w:r>
        <w:t>(Pessarrodona et al. 2023)</w:t>
      </w:r>
      <w:r>
        <w:fldChar w:fldCharType="end"/>
      </w:r>
    </w:p>
    <w:p w14:paraId="0A0C1AC2" w14:textId="77777777" w:rsidR="004B30BC" w:rsidRPr="00256DE8" w:rsidRDefault="004B30BC" w:rsidP="004B30BC">
      <w:r>
        <w:fldChar w:fldCharType="begin"/>
      </w:r>
      <w:r>
        <w:instrText>ADDIN BEC{Aromokeye et al., 2021 #40356}</w:instrText>
      </w:r>
      <w:r>
        <w:fldChar w:fldCharType="separate"/>
      </w:r>
      <w:r>
        <w:t>(Aromokeye et al. 2021)</w:t>
      </w:r>
      <w:r>
        <w:fldChar w:fldCharType="end"/>
      </w:r>
    </w:p>
    <w:p w14:paraId="0D6B42AC" w14:textId="77777777" w:rsidR="004B30BC" w:rsidRPr="00256DE8" w:rsidRDefault="004B30BC" w:rsidP="004B30BC"/>
    <w:p w14:paraId="66E96AD1" w14:textId="77777777" w:rsidR="004B30BC" w:rsidRPr="00256DE8" w:rsidRDefault="004B30BC" w:rsidP="004B30BC">
      <w:pPr>
        <w:rPr>
          <w:b/>
          <w:bCs/>
        </w:rPr>
      </w:pPr>
      <w:r w:rsidRPr="00256DE8">
        <w:rPr>
          <w:b/>
          <w:bCs/>
        </w:rPr>
        <w:t>Methods</w:t>
      </w:r>
    </w:p>
    <w:p w14:paraId="23B3C5D2" w14:textId="77777777" w:rsidR="004B30BC" w:rsidRPr="00256DE8" w:rsidRDefault="004B30BC" w:rsidP="004B30BC">
      <w:pPr>
        <w:rPr>
          <w:b/>
          <w:bCs/>
          <w:i/>
          <w:iCs/>
        </w:rPr>
      </w:pPr>
      <w:r w:rsidRPr="00256DE8">
        <w:rPr>
          <w:b/>
          <w:bCs/>
          <w:i/>
          <w:iCs/>
        </w:rPr>
        <w:t>Model species</w:t>
      </w:r>
    </w:p>
    <w:p w14:paraId="42B8C05D" w14:textId="77777777" w:rsidR="004B30BC" w:rsidRPr="00256DE8" w:rsidRDefault="004B30BC" w:rsidP="004B30BC">
      <w:r w:rsidRPr="00256DE8">
        <w:t xml:space="preserve">We chose </w:t>
      </w:r>
      <w:r w:rsidRPr="00256DE8">
        <w:rPr>
          <w:i/>
          <w:iCs/>
        </w:rPr>
        <w:t>Ecklonia radiata</w:t>
      </w:r>
      <w:r w:rsidRPr="00256DE8">
        <w:t xml:space="preserve">, </w:t>
      </w:r>
      <w:r w:rsidRPr="00256DE8">
        <w:rPr>
          <w:i/>
          <w:iCs/>
        </w:rPr>
        <w:t>Laminaria hyperborea</w:t>
      </w:r>
      <w:r w:rsidRPr="00256DE8">
        <w:t xml:space="preserve"> and </w:t>
      </w:r>
      <w:r w:rsidRPr="00256DE8">
        <w:rPr>
          <w:i/>
          <w:iCs/>
        </w:rPr>
        <w:t>Laminaria ochroleuca</w:t>
      </w:r>
      <w:r w:rsidRPr="00256DE8">
        <w:t xml:space="preserve"> as our model species. </w:t>
      </w:r>
      <w:r w:rsidRPr="00256DE8">
        <w:rPr>
          <w:i/>
          <w:iCs/>
        </w:rPr>
        <w:t>E. radiata</w:t>
      </w:r>
      <w:r w:rsidRPr="00256DE8">
        <w:t xml:space="preserve"> is the dominant forest-forming kelp in the temperate Indian Ocean and Southwest Pacific </w:t>
      </w:r>
      <w:r>
        <w:fldChar w:fldCharType="begin"/>
      </w:r>
      <w:r>
        <w:instrText>ADDIN BEC{Wernberg et al., 2019 #98961; Wright et al., 2024 #11375}</w:instrText>
      </w:r>
      <w:r>
        <w:fldChar w:fldCharType="separate"/>
      </w:r>
      <w:r>
        <w:t>(Wernberg et al. 2019, Wright et al. 2024)</w:t>
      </w:r>
      <w:r>
        <w:fldChar w:fldCharType="end"/>
      </w:r>
      <w:r w:rsidRPr="00256DE8">
        <w:t xml:space="preserve"> while </w:t>
      </w:r>
      <w:r w:rsidRPr="00256DE8">
        <w:rPr>
          <w:i/>
          <w:iCs/>
        </w:rPr>
        <w:t>Laminaria</w:t>
      </w:r>
      <w:r w:rsidRPr="00256DE8">
        <w:t xml:space="preserve"> species occur along most temperate Atlantic rocky shores </w:t>
      </w:r>
      <w:r>
        <w:fldChar w:fldCharType="begin"/>
      </w:r>
      <w:r>
        <w:instrText>ADDIN BEC{Bartsch et al., 2008 #41466; de Bettignies et al., 2021 #273409}</w:instrText>
      </w:r>
      <w:r>
        <w:fldChar w:fldCharType="separate"/>
      </w:r>
      <w:r>
        <w:t>(Bartsch et al. 2008, de Bettignies et al. 2021)</w:t>
      </w:r>
      <w:r>
        <w:fldChar w:fldCharType="end"/>
      </w:r>
      <w:r w:rsidRPr="00256DE8">
        <w:t xml:space="preserve">. These species can therefore be considered representative of kelps more broadly </w:t>
      </w:r>
      <w:r>
        <w:fldChar w:fldCharType="begin"/>
      </w:r>
      <w:r>
        <w:instrText>ADDIN BEC{Steneck and Johnson, 2013 #276007}</w:instrText>
      </w:r>
      <w:r>
        <w:fldChar w:fldCharType="separate"/>
      </w:r>
      <w:r>
        <w:t>(Steneck &amp; Johnson 2013)</w:t>
      </w:r>
      <w:r>
        <w:fldChar w:fldCharType="end"/>
      </w:r>
      <w:r w:rsidRPr="00256DE8">
        <w:t xml:space="preserve">. </w:t>
      </w:r>
      <w:r w:rsidRPr="00256DE8">
        <w:rPr>
          <w:i/>
          <w:iCs/>
        </w:rPr>
        <w:t>E. radiata</w:t>
      </w:r>
      <w:r w:rsidRPr="00256DE8">
        <w:t xml:space="preserve"> is one of the most thermotolerant kelps with peak performance around 18°C </w:t>
      </w:r>
      <w:r w:rsidRPr="00256DE8">
        <w:fldChar w:fldCharType="begin"/>
      </w:r>
      <w:r w:rsidRPr="00256DE8">
        <w:instrText>ADDIN BEC{Wright et al., 2024 #11375}</w:instrText>
      </w:r>
      <w:r w:rsidRPr="00256DE8">
        <w:fldChar w:fldCharType="separate"/>
      </w:r>
      <w:r w:rsidRPr="00256DE8">
        <w:t>(Wright et al. 2024)</w:t>
      </w:r>
      <w:r w:rsidRPr="00256DE8">
        <w:fldChar w:fldCharType="end"/>
      </w:r>
      <w:r w:rsidRPr="00256DE8">
        <w:t xml:space="preserve"> while </w:t>
      </w:r>
      <w:r w:rsidRPr="00256DE8">
        <w:rPr>
          <w:i/>
          <w:iCs/>
        </w:rPr>
        <w:t>Laminaria</w:t>
      </w:r>
      <w:r w:rsidRPr="00256DE8">
        <w:t xml:space="preserve"> species generally have their thermal optimum around 12°C </w:t>
      </w:r>
      <w:r w:rsidRPr="00256DE8">
        <w:fldChar w:fldCharType="begin"/>
      </w:r>
      <w:r w:rsidRPr="00256DE8">
        <w:instrText>ADDIN BEC{Wright et al., 2022 #84779}</w:instrText>
      </w:r>
      <w:r w:rsidRPr="00256DE8">
        <w:fldChar w:fldCharType="separate"/>
      </w:r>
      <w:r w:rsidRPr="00256DE8">
        <w:t>(Wright et al. 2022)</w:t>
      </w:r>
      <w:r w:rsidRPr="00256DE8">
        <w:fldChar w:fldCharType="end"/>
      </w:r>
      <w:r w:rsidRPr="00256DE8">
        <w:t xml:space="preserve">. Cold temperate </w:t>
      </w:r>
      <w:r w:rsidRPr="00256DE8">
        <w:rPr>
          <w:i/>
          <w:iCs/>
        </w:rPr>
        <w:t>L. hyperborea</w:t>
      </w:r>
      <w:r w:rsidRPr="00256DE8">
        <w:t xml:space="preserve"> and warm temperate </w:t>
      </w:r>
      <w:r w:rsidRPr="00256DE8">
        <w:rPr>
          <w:i/>
          <w:iCs/>
        </w:rPr>
        <w:t>L. ochroleuca</w:t>
      </w:r>
      <w:r w:rsidRPr="00256DE8">
        <w:t xml:space="preserve"> are especially interesting within their genus because the former is being replaced by the latter due to climate-drive range shifts in parts of the Northeast Atlantic </w:t>
      </w:r>
      <w:r>
        <w:fldChar w:fldCharType="begin"/>
      </w:r>
      <w:r>
        <w:instrText>ADDIN BEC{Smale et al., 2015 #57038; Teagle and Smale, 2018 #86097}</w:instrText>
      </w:r>
      <w:r>
        <w:fldChar w:fldCharType="separate"/>
      </w:r>
      <w:r>
        <w:t>(Smale et al. 2015, Teagle &amp; Smale 2018)</w:t>
      </w:r>
      <w:r>
        <w:fldChar w:fldCharType="end"/>
      </w:r>
      <w:r w:rsidRPr="00256DE8">
        <w:t xml:space="preserve">. </w:t>
      </w:r>
      <w:r w:rsidRPr="00256DE8">
        <w:rPr>
          <w:i/>
          <w:iCs/>
        </w:rPr>
        <w:t>L. ochroleuca</w:t>
      </w:r>
      <w:r w:rsidRPr="00256DE8">
        <w:t xml:space="preserve"> is more palatable and decomposes faster than </w:t>
      </w:r>
      <w:r w:rsidRPr="00256DE8">
        <w:rPr>
          <w:i/>
          <w:iCs/>
        </w:rPr>
        <w:t>L. hyperborea</w:t>
      </w:r>
      <w:r w:rsidRPr="00256DE8">
        <w:t xml:space="preserve">, leading to speculations that it has a smaller chance of being buried </w:t>
      </w:r>
      <w:r>
        <w:fldChar w:fldCharType="begin"/>
      </w:r>
      <w:r>
        <w:instrText>ADDIN BEC{Pessarrodona et al., 2019 #33345; Wright et al., 2022 #84779; Frontier et al., 2022 #81381}</w:instrText>
      </w:r>
      <w:r>
        <w:fldChar w:fldCharType="separate"/>
      </w:r>
      <w:r>
        <w:t>(Pessarrodona et al. 2019, Frontier et al. 2022, Wright et al. 2022)</w:t>
      </w:r>
      <w:r>
        <w:fldChar w:fldCharType="end"/>
      </w:r>
      <w:r w:rsidRPr="00256DE8">
        <w:t xml:space="preserve">. Recently, our model </w:t>
      </w:r>
      <w:r w:rsidRPr="00256DE8">
        <w:lastRenderedPageBreak/>
        <w:t xml:space="preserve">species have featured prominently in blue carbon research: </w:t>
      </w:r>
      <w:r w:rsidRPr="00256DE8">
        <w:rPr>
          <w:i/>
          <w:iCs/>
        </w:rPr>
        <w:t>E. radiata</w:t>
      </w:r>
      <w:r w:rsidRPr="00256DE8">
        <w:t xml:space="preserve"> </w:t>
      </w:r>
      <w:r>
        <w:fldChar w:fldCharType="begin"/>
      </w:r>
      <w:r>
        <w:instrText>ADDIN BEC{Filbee-Dexter and Wernberg, 2020 #69767; Blain et al., 2021 #66819; Wright et al., 2024 #11375; Simpkins et al., 2025 #59214; van der Mheen et al., 2024 #3369; Perkins et al., 2022 #30056; Davis et al., 2025 #59638}</w:instrText>
      </w:r>
      <w:r>
        <w:fldChar w:fldCharType="separate"/>
      </w:r>
      <w:r>
        <w:t>(Filbee-Dexter &amp; Wernberg 2020, Blain et al. 2021, Perkins et al. 2022, van der Mheen et al. 2024, Wright et al. 2024, Davis et al. 2025, Simpkins et al. 2025)</w:t>
      </w:r>
      <w:r>
        <w:fldChar w:fldCharType="end"/>
      </w:r>
      <w:r w:rsidRPr="00256DE8">
        <w:t xml:space="preserve"> and </w:t>
      </w:r>
      <w:r w:rsidRPr="00256DE8">
        <w:rPr>
          <w:i/>
          <w:iCs/>
        </w:rPr>
        <w:t>Laminaria</w:t>
      </w:r>
      <w:r w:rsidRPr="00256DE8">
        <w:t xml:space="preserve"> species </w:t>
      </w:r>
      <w:r>
        <w:fldChar w:fldCharType="begin"/>
      </w:r>
      <w:r>
        <w:instrText>ADDIN BEC{Pessarrodona et al., 2018 #96145; Pedersen et al., 2020 #74604; Pedersen et al., 2021 #86831; Frontier et al., 2021 #5570; Frontier et al., 2022 #81381; Wright et al., 2022 #84779; Wright and Foggo, 2021 #58011; Wright and Kregting, 2023 #49343; Queirуs et al., 2019 #27335; Franco et al., 2025 #51384; Smale et al., 2022 #33643}</w:instrText>
      </w:r>
      <w:r>
        <w:fldChar w:fldCharType="separate"/>
      </w:r>
      <w:r>
        <w:t>(Pessarrodona et al. 2018, Queirós et al. 2019, Pedersen et al. 2020, Frontier et al. 2021, Pedersen et al. 2021, Wright &amp; Foggo 2021, Frontier et al. 2022, Smale et al. 2022, Wright et al. 2022, Wright &amp; Kregting 2023, Franco et al. 2025)</w:t>
      </w:r>
      <w:r>
        <w:fldChar w:fldCharType="end"/>
      </w:r>
      <w:r w:rsidRPr="00256DE8">
        <w:t>. We consequently believe that they are the optimal species with which to investigate kelp carbon burial.</w:t>
      </w:r>
    </w:p>
    <w:p w14:paraId="44B876AB" w14:textId="77777777" w:rsidR="004B30BC" w:rsidRPr="00256DE8" w:rsidRDefault="004B30BC" w:rsidP="004B30BC"/>
    <w:p w14:paraId="73AD5183" w14:textId="77777777" w:rsidR="004B30BC" w:rsidRPr="00256DE8" w:rsidRDefault="004B30BC" w:rsidP="004B30BC">
      <w:pPr>
        <w:rPr>
          <w:b/>
          <w:bCs/>
          <w:i/>
          <w:iCs/>
        </w:rPr>
      </w:pPr>
      <w:r w:rsidRPr="00256DE8">
        <w:rPr>
          <w:b/>
          <w:bCs/>
          <w:i/>
          <w:iCs/>
          <w:vertAlign w:val="superscript"/>
        </w:rPr>
        <w:t>13</w:t>
      </w:r>
      <w:r w:rsidRPr="00256DE8">
        <w:rPr>
          <w:b/>
          <w:bCs/>
          <w:i/>
          <w:iCs/>
        </w:rPr>
        <w:t>C-labelled kelp</w:t>
      </w:r>
    </w:p>
    <w:p w14:paraId="5B1D1529" w14:textId="77777777" w:rsidR="004B30BC" w:rsidRPr="00256DE8" w:rsidRDefault="004B30BC" w:rsidP="004B30BC">
      <w:pPr>
        <w:shd w:val="clear" w:color="auto" w:fill="FFFFFF"/>
      </w:pPr>
      <w:r w:rsidRPr="00256DE8">
        <w:t>Experiments were conducted at the Indian Ocean Marine Research Centre at Watermans Bay in Perth, Australia and the Plymouth Marine Laboratory in Plymouth, United Kingdom</w:t>
      </w:r>
      <w:r>
        <w:t xml:space="preserve"> (UK)</w:t>
      </w:r>
      <w:r w:rsidRPr="00256DE8">
        <w:t xml:space="preserve">. </w:t>
      </w:r>
      <w:r w:rsidRPr="00256DE8">
        <w:rPr>
          <w:i/>
          <w:iCs/>
        </w:rPr>
        <w:t>E. radiata</w:t>
      </w:r>
      <w:r w:rsidRPr="00256DE8">
        <w:t xml:space="preserve"> was collected from 11.2 m depth at Three Mile Reef (31.819403°S, 115.671795°E) in Marmion Marine Park on 16</w:t>
      </w:r>
      <w:r w:rsidRPr="00256DE8">
        <w:rPr>
          <w:vertAlign w:val="superscript"/>
        </w:rPr>
        <w:t>th</w:t>
      </w:r>
      <w:r w:rsidRPr="00256DE8">
        <w:t xml:space="preserve"> February 2024. </w:t>
      </w:r>
      <w:r w:rsidRPr="00256DE8">
        <w:rPr>
          <w:i/>
          <w:iCs/>
        </w:rPr>
        <w:t>L. ochroleuca</w:t>
      </w:r>
      <w:r w:rsidRPr="00256DE8">
        <w:t xml:space="preserve"> was collected from 0.1 m above lowest astronomical tide at West Hoe (</w:t>
      </w:r>
      <w:r w:rsidRPr="00256DE8">
        <w:rPr>
          <w:spacing w:val="3"/>
          <w:shd w:val="clear" w:color="auto" w:fill="FFFFFF"/>
        </w:rPr>
        <w:t>50.362473°N, 4.147852°W</w:t>
      </w:r>
      <w:r w:rsidRPr="00256DE8">
        <w:t>) in sheltered Plymouth Sound on 18</w:t>
      </w:r>
      <w:r w:rsidRPr="00256DE8">
        <w:rPr>
          <w:vertAlign w:val="superscript"/>
        </w:rPr>
        <w:t>th</w:t>
      </w:r>
      <w:r w:rsidRPr="00256DE8">
        <w:t xml:space="preserve"> September 2024. The following day, </w:t>
      </w:r>
      <w:r w:rsidRPr="00256DE8">
        <w:rPr>
          <w:i/>
          <w:iCs/>
        </w:rPr>
        <w:t>L. hyperborea</w:t>
      </w:r>
      <w:r w:rsidRPr="00256DE8">
        <w:t xml:space="preserve"> was collected from 2 m below lowest astronomical tide on the exposed side of Rame Head (</w:t>
      </w:r>
      <w:r w:rsidRPr="00256DE8">
        <w:rPr>
          <w:spacing w:val="3"/>
          <w:shd w:val="clear" w:color="auto" w:fill="FFFFFF"/>
        </w:rPr>
        <w:t>50.318720°N, 4.227926°W</w:t>
      </w:r>
      <w:r w:rsidRPr="00256DE8">
        <w:t>). Relatively small, young and epibiont-free sporophytes were chosen where possible to facilitate incubation. Sporophytes were transported to the facility in bags filled with seawater and aerated with a portable pump within half an hour (</w:t>
      </w:r>
      <w:r w:rsidRPr="00256DE8">
        <w:rPr>
          <w:i/>
          <w:iCs/>
        </w:rPr>
        <w:t>L. ochroleuca</w:t>
      </w:r>
      <w:r w:rsidRPr="00256DE8">
        <w:t>) to two hours (</w:t>
      </w:r>
      <w:r w:rsidRPr="00256DE8">
        <w:rPr>
          <w:i/>
          <w:iCs/>
        </w:rPr>
        <w:t>E. radiata</w:t>
      </w:r>
      <w:r w:rsidRPr="00256DE8">
        <w:t xml:space="preserve"> and </w:t>
      </w:r>
      <w:r w:rsidRPr="00256DE8">
        <w:rPr>
          <w:i/>
          <w:iCs/>
        </w:rPr>
        <w:t>L. hyperborea</w:t>
      </w:r>
      <w:r w:rsidRPr="00256DE8">
        <w:t xml:space="preserve">) of collection. </w:t>
      </w:r>
      <w:r w:rsidRPr="00256DE8">
        <w:rPr>
          <w:i/>
          <w:iCs/>
        </w:rPr>
        <w:t>E. radiata</w:t>
      </w:r>
      <w:r w:rsidRPr="00256DE8">
        <w:t xml:space="preserve"> and </w:t>
      </w:r>
      <w:r w:rsidRPr="00256DE8">
        <w:rPr>
          <w:i/>
          <w:iCs/>
        </w:rPr>
        <w:t>L. ochroleuca</w:t>
      </w:r>
      <w:r w:rsidRPr="00256DE8">
        <w:t xml:space="preserve"> were immediately incubated after collection while </w:t>
      </w:r>
      <w:r w:rsidRPr="00256DE8">
        <w:rPr>
          <w:i/>
          <w:iCs/>
        </w:rPr>
        <w:t>L. hyperborea</w:t>
      </w:r>
      <w:r w:rsidRPr="00256DE8">
        <w:t xml:space="preserve"> was kept at 12°C in a </w:t>
      </w:r>
      <w:commentRangeStart w:id="2"/>
      <w:r w:rsidRPr="00256DE8">
        <w:t xml:space="preserve">1000-L holding tank </w:t>
      </w:r>
      <w:commentRangeEnd w:id="2"/>
      <w:r w:rsidRPr="00256DE8">
        <w:rPr>
          <w:rStyle w:val="CommentReference"/>
          <w:sz w:val="24"/>
          <w:szCs w:val="24"/>
        </w:rPr>
        <w:commentReference w:id="2"/>
      </w:r>
      <w:r w:rsidRPr="00256DE8">
        <w:t>with aerated, circulating seawater for four days prior to incubation.</w:t>
      </w:r>
    </w:p>
    <w:p w14:paraId="05C1A86E" w14:textId="77777777" w:rsidR="004B30BC" w:rsidRPr="00256DE8" w:rsidRDefault="004B30BC" w:rsidP="004B30BC">
      <w:pPr>
        <w:shd w:val="clear" w:color="auto" w:fill="FFFFFF"/>
      </w:pPr>
    </w:p>
    <w:p w14:paraId="716731F7" w14:textId="77777777" w:rsidR="004B30BC" w:rsidRPr="00256DE8" w:rsidRDefault="004B30BC" w:rsidP="004B30BC">
      <w:r w:rsidRPr="00256DE8">
        <w:t xml:space="preserve">We enriched kelp with </w:t>
      </w:r>
      <w:r w:rsidRPr="00256DE8">
        <w:rPr>
          <w:vertAlign w:val="superscript"/>
        </w:rPr>
        <w:t>13</w:t>
      </w:r>
      <w:r w:rsidRPr="00256DE8">
        <w:t xml:space="preserve">C following established protocols </w:t>
      </w:r>
      <w:r w:rsidRPr="00256DE8">
        <w:fldChar w:fldCharType="begin"/>
      </w:r>
      <w:r w:rsidRPr="00256DE8">
        <w:instrText>ADDIN BEC{Braeckman et al., 2019 #39929; Ravaglioli et al., 2019 #29931; Hardison et al., 2010 #68553; Rossi, 2007 #14477}</w:instrText>
      </w:r>
      <w:r w:rsidRPr="00256DE8">
        <w:fldChar w:fldCharType="separate"/>
      </w:r>
      <w:r w:rsidRPr="00256DE8">
        <w:t>(Rossi 2007, Hardison et al. 2010, Braeckman et al. 2019, Ravaglioli et al. 2019)</w:t>
      </w:r>
      <w:r w:rsidRPr="00256DE8">
        <w:fldChar w:fldCharType="end"/>
      </w:r>
      <w:r w:rsidRPr="00256DE8">
        <w:t xml:space="preserve">, personal communication with Ulrike Braeckman and Nadia Frontier). All kelp lamina tissue was incubated in </w:t>
      </w:r>
      <w:r>
        <w:t xml:space="preserve">filtered and </w:t>
      </w:r>
      <w:r w:rsidRPr="00256DE8">
        <w:t>autoclaved seawater, adjusted to 35‰ salinity with ultrapure water and enriched with 115 mg L</w:t>
      </w:r>
      <w:r w:rsidRPr="00256DE8">
        <w:rPr>
          <w:vertAlign w:val="superscript"/>
        </w:rPr>
        <w:t>−1</w:t>
      </w:r>
      <w:r w:rsidRPr="00256DE8">
        <w:t xml:space="preserve"> </w:t>
      </w:r>
      <w:r w:rsidRPr="00256DE8">
        <w:rPr>
          <w:vertAlign w:val="superscript"/>
        </w:rPr>
        <w:t>13</w:t>
      </w:r>
      <w:r w:rsidRPr="00256DE8">
        <w:t>C sodium bicarbonate (NaH</w:t>
      </w:r>
      <w:r w:rsidRPr="00256DE8">
        <w:rPr>
          <w:vertAlign w:val="superscript"/>
        </w:rPr>
        <w:t>13</w:t>
      </w:r>
      <w:r w:rsidRPr="00256DE8">
        <w:t>CO</w:t>
      </w:r>
      <w:r w:rsidRPr="00256DE8">
        <w:rPr>
          <w:vertAlign w:val="subscript"/>
        </w:rPr>
        <w:t>3</w:t>
      </w:r>
      <w:r w:rsidRPr="00256DE8">
        <w:t xml:space="preserve">, 98 atom % </w:t>
      </w:r>
      <w:r w:rsidRPr="00256DE8">
        <w:rPr>
          <w:vertAlign w:val="superscript"/>
        </w:rPr>
        <w:t>13</w:t>
      </w:r>
      <w:r w:rsidRPr="00256DE8">
        <w:t xml:space="preserve">C, 372382, Merck, Darmstadt, Germany). Following each incubation, tissue washed with unlabelled autoclaved seawater and ultrapure water before freezing at −20°C and freeze-drying. Preliminary closed-chamber enrichment trials with one sporophyte each of </w:t>
      </w:r>
      <w:r w:rsidRPr="00256DE8">
        <w:rPr>
          <w:i/>
          <w:iCs/>
        </w:rPr>
        <w:t>E. radiata</w:t>
      </w:r>
      <w:r w:rsidRPr="00256DE8">
        <w:t xml:space="preserve"> and </w:t>
      </w:r>
      <w:r w:rsidRPr="00256DE8">
        <w:rPr>
          <w:i/>
          <w:iCs/>
        </w:rPr>
        <w:t>Saccharina latissima</w:t>
      </w:r>
      <w:r w:rsidRPr="00256DE8">
        <w:t xml:space="preserve"> respectively showed enrichment from −21 ± 0.54 to 128 ± 22 ‰ δ</w:t>
      </w:r>
      <w:r w:rsidRPr="00256DE8">
        <w:rPr>
          <w:vertAlign w:val="superscript"/>
        </w:rPr>
        <w:t>13</w:t>
      </w:r>
      <w:r w:rsidRPr="00256DE8">
        <w:t>C</w:t>
      </w:r>
      <w:r w:rsidRPr="00256DE8">
        <w:rPr>
          <w:vertAlign w:val="subscript"/>
        </w:rPr>
        <w:t>VPDB</w:t>
      </w:r>
      <w:r w:rsidRPr="00256DE8">
        <w:t xml:space="preserve"> (mean ± standard deviation, n = 3) and −15 to 212 ± 51 ‰ δ</w:t>
      </w:r>
      <w:r w:rsidRPr="00256DE8">
        <w:rPr>
          <w:vertAlign w:val="superscript"/>
        </w:rPr>
        <w:t>13</w:t>
      </w:r>
      <w:r w:rsidRPr="00256DE8">
        <w:t>C</w:t>
      </w:r>
      <w:r w:rsidRPr="00256DE8">
        <w:rPr>
          <w:vertAlign w:val="subscript"/>
        </w:rPr>
        <w:t>VPDB</w:t>
      </w:r>
      <w:r w:rsidRPr="00256DE8">
        <w:t xml:space="preserve"> (n = 3) in 1 h under saturating irradiance. During such short incubations </w:t>
      </w:r>
      <w:r w:rsidRPr="00256DE8">
        <w:rPr>
          <w:vertAlign w:val="superscript"/>
        </w:rPr>
        <w:t>13</w:t>
      </w:r>
      <w:r w:rsidRPr="00256DE8">
        <w:t xml:space="preserve">C probably only enters temporary photosynthate, so we opted for longer incubations to allow more permanent </w:t>
      </w:r>
      <w:r w:rsidRPr="00256DE8">
        <w:rPr>
          <w:vertAlign w:val="superscript"/>
        </w:rPr>
        <w:t>13</w:t>
      </w:r>
      <w:r w:rsidRPr="00256DE8">
        <w:t xml:space="preserve">C storage in our kelp for the pulse-chase experiment. </w:t>
      </w:r>
    </w:p>
    <w:p w14:paraId="1EF4BECD" w14:textId="77777777" w:rsidR="004B30BC" w:rsidRPr="00256DE8" w:rsidRDefault="004B30BC" w:rsidP="004B30BC"/>
    <w:p w14:paraId="2E4891DF" w14:textId="77777777" w:rsidR="004B30BC" w:rsidRPr="00256DE8" w:rsidRDefault="004B30BC" w:rsidP="004B30BC">
      <w:r w:rsidRPr="00256DE8">
        <w:t xml:space="preserve">Ten </w:t>
      </w:r>
      <w:r w:rsidRPr="00256DE8">
        <w:rPr>
          <w:i/>
          <w:iCs/>
        </w:rPr>
        <w:t>E. radiata</w:t>
      </w:r>
      <w:r w:rsidRPr="00256DE8">
        <w:t xml:space="preserve"> laminae were hence incubated at 18°C for 7.6 days in nine open 10-L glass tanks with gently aerated, circulating seawater. Tanks were supplied with a 12–12-h light–dark cycle of 171 ± 29 µmol photons m</w:t>
      </w:r>
      <w:r w:rsidRPr="00256DE8">
        <w:rPr>
          <w:vertAlign w:val="superscript"/>
        </w:rPr>
        <w:t>−2</w:t>
      </w:r>
      <w:r w:rsidRPr="00256DE8">
        <w:t xml:space="preserve"> s</w:t>
      </w:r>
      <w:r w:rsidRPr="00256DE8">
        <w:rPr>
          <w:vertAlign w:val="superscript"/>
        </w:rPr>
        <w:t>−1</w:t>
      </w:r>
      <w:r w:rsidRPr="00256DE8">
        <w:t xml:space="preserve"> (n = 81, MQ-510, Apogee Instruments, Logan, USA) from LED lights (Zeus, </w:t>
      </w:r>
      <w:r w:rsidRPr="00256DE8">
        <w:rPr>
          <w:color w:val="000000"/>
          <w:shd w:val="clear" w:color="auto" w:fill="FFFFFF"/>
        </w:rPr>
        <w:t>Ledzeal, Shenzhen Topline Lighting Technology, Shenzhen, China</w:t>
      </w:r>
      <w:r w:rsidRPr="00256DE8">
        <w:t xml:space="preserve"> and SimpLED, Paulmann Licht, Springe, Germany). Seawater oxygen concentration was continuously monitored. Each tank contained 39 ± 17 g dry mass of kelp, translating to a biomass density of 3.9 ± 1.7 g L</w:t>
      </w:r>
      <w:r w:rsidRPr="00256DE8">
        <w:rPr>
          <w:vertAlign w:val="superscript"/>
        </w:rPr>
        <w:t>−1</w:t>
      </w:r>
      <w:r w:rsidRPr="00256DE8">
        <w:t xml:space="preserve">. To minimise efflux of </w:t>
      </w:r>
      <w:r w:rsidRPr="00256DE8">
        <w:rPr>
          <w:vertAlign w:val="superscript"/>
        </w:rPr>
        <w:t>13</w:t>
      </w:r>
      <w:r w:rsidRPr="00256DE8">
        <w:t>CO</w:t>
      </w:r>
      <w:r w:rsidRPr="00256DE8">
        <w:rPr>
          <w:vertAlign w:val="subscript"/>
        </w:rPr>
        <w:t>2</w:t>
      </w:r>
      <w:r w:rsidRPr="00256DE8">
        <w:t>, aeration was stopped during the light phase and the NaH</w:t>
      </w:r>
      <w:r w:rsidRPr="00256DE8">
        <w:rPr>
          <w:vertAlign w:val="superscript"/>
        </w:rPr>
        <w:t>13</w:t>
      </w:r>
      <w:r w:rsidRPr="00256DE8">
        <w:t>CO</w:t>
      </w:r>
      <w:r w:rsidRPr="00256DE8">
        <w:rPr>
          <w:vertAlign w:val="subscript"/>
        </w:rPr>
        <w:t>3</w:t>
      </w:r>
      <w:r w:rsidRPr="00256DE8">
        <w:t xml:space="preserve"> addition was split into two equal batches: an initial enrichment of 57.5 mg L</w:t>
      </w:r>
      <w:r w:rsidRPr="00256DE8">
        <w:rPr>
          <w:vertAlign w:val="superscript"/>
        </w:rPr>
        <w:t>−1</w:t>
      </w:r>
      <w:r w:rsidRPr="00256DE8">
        <w:t xml:space="preserve"> and 575 mg added to each 10-L tank after 2.8 days. Tanks were supplemented with five regular 235-µL doses of Provasoli’s enriched seawater medium (PES, …) with 128 mM nitrate, maintaining the final nitrate concentration at around 3 µM. </w:t>
      </w:r>
    </w:p>
    <w:p w14:paraId="3110D1DC" w14:textId="77777777" w:rsidR="004B30BC" w:rsidRPr="00256DE8" w:rsidRDefault="004B30BC" w:rsidP="004B30BC"/>
    <w:p w14:paraId="6D4FA116" w14:textId="77777777" w:rsidR="004B30BC" w:rsidRPr="00256DE8" w:rsidRDefault="004B30BC" w:rsidP="004B30BC">
      <w:r w:rsidRPr="00256DE8">
        <w:lastRenderedPageBreak/>
        <w:t xml:space="preserve">Four laminae each of </w:t>
      </w:r>
      <w:r w:rsidRPr="00256DE8">
        <w:rPr>
          <w:i/>
          <w:iCs/>
        </w:rPr>
        <w:t>L. ochroleuca</w:t>
      </w:r>
      <w:r w:rsidRPr="00256DE8">
        <w:t xml:space="preserve"> and </w:t>
      </w:r>
      <w:r w:rsidRPr="00256DE8">
        <w:rPr>
          <w:i/>
          <w:iCs/>
        </w:rPr>
        <w:t>L. hyperborea</w:t>
      </w:r>
      <w:r w:rsidRPr="00256DE8">
        <w:t xml:space="preserve"> were incubated at 12°C for 4.7 and 6.6 days in individual closed 9-L cylindrical acrylic chambers. A photon flux density of 173 ± 12 µmol photons m</w:t>
      </w:r>
      <w:r w:rsidRPr="00256DE8">
        <w:rPr>
          <w:vertAlign w:val="superscript"/>
        </w:rPr>
        <w:t>−2</w:t>
      </w:r>
      <w:r w:rsidRPr="00256DE8">
        <w:t xml:space="preserve"> s</w:t>
      </w:r>
      <w:r w:rsidRPr="00256DE8">
        <w:rPr>
          <w:vertAlign w:val="superscript"/>
        </w:rPr>
        <w:t>−1</w:t>
      </w:r>
      <w:r w:rsidRPr="00256DE8">
        <w:t xml:space="preserve"> (n = 4, </w:t>
      </w:r>
      <w:commentRangeStart w:id="3"/>
      <w:r w:rsidRPr="00256DE8">
        <w:t>…) was supplied by overhead LED lights (…) and lateral halogen work lights (…)</w:t>
      </w:r>
      <w:commentRangeEnd w:id="3"/>
      <w:r w:rsidRPr="00256DE8">
        <w:rPr>
          <w:rStyle w:val="CommentReference"/>
          <w:sz w:val="24"/>
          <w:szCs w:val="24"/>
        </w:rPr>
        <w:commentReference w:id="3"/>
      </w:r>
      <w:r w:rsidRPr="00256DE8">
        <w:t>. Irradiance was controlled manually so that the oxygen concentration in each chamber was maintained near saturation. Each chamber contained 24 ± 12 g (</w:t>
      </w:r>
      <w:r w:rsidRPr="00256DE8">
        <w:rPr>
          <w:i/>
          <w:iCs/>
        </w:rPr>
        <w:t>L. ochroleuca</w:t>
      </w:r>
      <w:r w:rsidRPr="00256DE8">
        <w:t>) or 61 ± 15 g (</w:t>
      </w:r>
      <w:r w:rsidRPr="00256DE8">
        <w:rPr>
          <w:i/>
          <w:iCs/>
        </w:rPr>
        <w:t>L. hyperborea</w:t>
      </w:r>
      <w:r w:rsidRPr="00256DE8">
        <w:t>), translating to a kelp biomass density of 2.7 ± 1.3 g L</w:t>
      </w:r>
      <w:r w:rsidRPr="00256DE8">
        <w:rPr>
          <w:vertAlign w:val="superscript"/>
        </w:rPr>
        <w:t>−1</w:t>
      </w:r>
      <w:r w:rsidRPr="00256DE8">
        <w:t xml:space="preserve"> or 6.8 ± 1.7 g L</w:t>
      </w:r>
      <w:r w:rsidRPr="00256DE8">
        <w:rPr>
          <w:vertAlign w:val="superscript"/>
        </w:rPr>
        <w:t>−1</w:t>
      </w:r>
      <w:r w:rsidRPr="00256DE8">
        <w:t xml:space="preserve">. The final kelp </w:t>
      </w:r>
      <w:r w:rsidRPr="00256DE8">
        <w:rPr>
          <w:vertAlign w:val="superscript"/>
        </w:rPr>
        <w:t>13</w:t>
      </w:r>
      <w:r w:rsidRPr="00256DE8">
        <w:t xml:space="preserve">C-enrichments are given in Table 1. Enrichment was most successful for </w:t>
      </w:r>
      <w:r w:rsidRPr="00256DE8">
        <w:rPr>
          <w:i/>
          <w:iCs/>
        </w:rPr>
        <w:t>L. ochroleuca</w:t>
      </w:r>
      <w:r w:rsidRPr="00256DE8">
        <w:t xml:space="preserve">, followed by </w:t>
      </w:r>
      <w:r w:rsidRPr="00256DE8">
        <w:rPr>
          <w:i/>
          <w:iCs/>
        </w:rPr>
        <w:t>E. radiata</w:t>
      </w:r>
      <w:r w:rsidRPr="00256DE8">
        <w:t xml:space="preserve"> and </w:t>
      </w:r>
      <w:r w:rsidRPr="00256DE8">
        <w:rPr>
          <w:i/>
          <w:iCs/>
        </w:rPr>
        <w:t>L. hyperborea</w:t>
      </w:r>
      <w:r w:rsidRPr="00256DE8">
        <w:t xml:space="preserve">. The difference between </w:t>
      </w:r>
      <w:r w:rsidRPr="00256DE8">
        <w:rPr>
          <w:i/>
          <w:iCs/>
        </w:rPr>
        <w:t>Laminaria</w:t>
      </w:r>
      <w:r w:rsidRPr="00256DE8">
        <w:t xml:space="preserve"> species can be ascribed to the over twofold greater biomass density for </w:t>
      </w:r>
      <w:r w:rsidRPr="00256DE8">
        <w:rPr>
          <w:i/>
          <w:iCs/>
        </w:rPr>
        <w:t>L. hyperborea</w:t>
      </w:r>
      <w:r w:rsidRPr="00256DE8">
        <w:t xml:space="preserve">, leading to dilution of </w:t>
      </w:r>
      <w:r w:rsidRPr="00256DE8">
        <w:rPr>
          <w:vertAlign w:val="superscript"/>
        </w:rPr>
        <w:t>13</w:t>
      </w:r>
      <w:r w:rsidRPr="00256DE8">
        <w:t xml:space="preserve">C and possibly nutrient limitation. The lower enrichment of </w:t>
      </w:r>
      <w:r w:rsidRPr="00256DE8">
        <w:rPr>
          <w:i/>
          <w:iCs/>
        </w:rPr>
        <w:t>E. radiata</w:t>
      </w:r>
      <w:r w:rsidRPr="00256DE8">
        <w:t xml:space="preserve"> is best explained by </w:t>
      </w:r>
      <w:r w:rsidRPr="00256DE8">
        <w:rPr>
          <w:vertAlign w:val="superscript"/>
        </w:rPr>
        <w:t>13</w:t>
      </w:r>
      <w:r w:rsidRPr="00256DE8">
        <w:t>CO</w:t>
      </w:r>
      <w:r w:rsidRPr="00256DE8">
        <w:rPr>
          <w:vertAlign w:val="subscript"/>
        </w:rPr>
        <w:t>2</w:t>
      </w:r>
      <w:r w:rsidRPr="00256DE8">
        <w:t xml:space="preserve"> efflux.</w:t>
      </w:r>
    </w:p>
    <w:p w14:paraId="22E3C3BA" w14:textId="77777777" w:rsidR="004B30BC" w:rsidRPr="00256DE8" w:rsidRDefault="004B30BC" w:rsidP="004B30BC"/>
    <w:p w14:paraId="16D87E48" w14:textId="77777777" w:rsidR="004B30BC" w:rsidRPr="00256DE8" w:rsidRDefault="004B30BC" w:rsidP="004B30BC">
      <w:r w:rsidRPr="00256DE8">
        <w:rPr>
          <w:b/>
          <w:bCs/>
        </w:rPr>
        <w:t>Table 1</w:t>
      </w:r>
      <w:r w:rsidRPr="00256DE8">
        <w:t xml:space="preserve">. </w:t>
      </w:r>
      <w:r>
        <w:t xml:space="preserve">Kelp carbon content and </w:t>
      </w:r>
      <w:r w:rsidRPr="00201801">
        <w:rPr>
          <w:vertAlign w:val="superscript"/>
        </w:rPr>
        <w:t>13</w:t>
      </w:r>
      <w:r>
        <w:t xml:space="preserve">C enrichment </w:t>
      </w:r>
      <w:r w:rsidRPr="00256DE8">
        <w:t>(mean ± standard deviation, n = 10). δ</w:t>
      </w:r>
      <w:r w:rsidRPr="00256DE8">
        <w:rPr>
          <w:vertAlign w:val="superscript"/>
        </w:rPr>
        <w:t>13</w:t>
      </w:r>
      <w:r w:rsidRPr="00256DE8">
        <w:t>C is given relative to Vienna Peedee belemnite (VPDB).</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9"/>
        <w:gridCol w:w="2161"/>
        <w:gridCol w:w="2276"/>
      </w:tblGrid>
      <w:tr w:rsidR="004B30BC" w:rsidRPr="00256DE8" w14:paraId="3ED0DC20" w14:textId="77777777" w:rsidTr="00371E9E">
        <w:tc>
          <w:tcPr>
            <w:tcW w:w="2542" w:type="pct"/>
            <w:tcBorders>
              <w:top w:val="single" w:sz="4" w:space="0" w:color="auto"/>
              <w:bottom w:val="single" w:sz="4" w:space="0" w:color="auto"/>
            </w:tcBorders>
          </w:tcPr>
          <w:p w14:paraId="0A713D1E" w14:textId="77777777" w:rsidR="004B30BC" w:rsidRPr="00256DE8" w:rsidRDefault="004B30BC" w:rsidP="00371E9E">
            <w:pPr>
              <w:rPr>
                <w:b/>
                <w:bCs/>
              </w:rPr>
            </w:pPr>
            <w:r w:rsidRPr="00256DE8">
              <w:rPr>
                <w:b/>
                <w:bCs/>
              </w:rPr>
              <w:t>Species</w:t>
            </w:r>
          </w:p>
        </w:tc>
        <w:tc>
          <w:tcPr>
            <w:tcW w:w="1197" w:type="pct"/>
            <w:tcBorders>
              <w:top w:val="single" w:sz="4" w:space="0" w:color="auto"/>
              <w:bottom w:val="single" w:sz="4" w:space="0" w:color="auto"/>
            </w:tcBorders>
          </w:tcPr>
          <w:p w14:paraId="35425AC7" w14:textId="77777777" w:rsidR="004B30BC" w:rsidRPr="00256DE8" w:rsidRDefault="004B30BC" w:rsidP="00371E9E">
            <w:pPr>
              <w:rPr>
                <w:b/>
                <w:bCs/>
              </w:rPr>
            </w:pPr>
            <w:r w:rsidRPr="00256DE8">
              <w:rPr>
                <w:b/>
                <w:bCs/>
              </w:rPr>
              <w:t>C (%)</w:t>
            </w:r>
          </w:p>
        </w:tc>
        <w:tc>
          <w:tcPr>
            <w:tcW w:w="1261" w:type="pct"/>
            <w:tcBorders>
              <w:top w:val="single" w:sz="4" w:space="0" w:color="auto"/>
              <w:bottom w:val="single" w:sz="4" w:space="0" w:color="auto"/>
            </w:tcBorders>
          </w:tcPr>
          <w:p w14:paraId="4DA14495" w14:textId="77777777" w:rsidR="004B30BC" w:rsidRPr="00256DE8" w:rsidRDefault="004B30BC" w:rsidP="00371E9E">
            <w:pPr>
              <w:rPr>
                <w:b/>
                <w:bCs/>
              </w:rPr>
            </w:pPr>
            <w:r w:rsidRPr="00256DE8">
              <w:rPr>
                <w:b/>
                <w:bCs/>
              </w:rPr>
              <w:t>δ</w:t>
            </w:r>
            <w:r w:rsidRPr="00256DE8">
              <w:rPr>
                <w:b/>
                <w:bCs/>
                <w:vertAlign w:val="superscript"/>
              </w:rPr>
              <w:t>13</w:t>
            </w:r>
            <w:r w:rsidRPr="00256DE8">
              <w:rPr>
                <w:b/>
                <w:bCs/>
              </w:rPr>
              <w:t>C (‰)</w:t>
            </w:r>
          </w:p>
        </w:tc>
      </w:tr>
      <w:tr w:rsidR="004B30BC" w:rsidRPr="00256DE8" w14:paraId="69C8D341" w14:textId="77777777" w:rsidTr="00371E9E">
        <w:tc>
          <w:tcPr>
            <w:tcW w:w="2542" w:type="pct"/>
            <w:tcBorders>
              <w:top w:val="single" w:sz="4" w:space="0" w:color="auto"/>
            </w:tcBorders>
          </w:tcPr>
          <w:p w14:paraId="6D9982DA" w14:textId="77777777" w:rsidR="004B30BC" w:rsidRPr="00256DE8" w:rsidRDefault="004B30BC" w:rsidP="00371E9E">
            <w:pPr>
              <w:rPr>
                <w:i/>
                <w:iCs/>
              </w:rPr>
            </w:pPr>
            <w:r w:rsidRPr="00256DE8">
              <w:rPr>
                <w:i/>
                <w:iCs/>
              </w:rPr>
              <w:t>Ecklonia radiata</w:t>
            </w:r>
          </w:p>
        </w:tc>
        <w:tc>
          <w:tcPr>
            <w:tcW w:w="1197" w:type="pct"/>
            <w:tcBorders>
              <w:top w:val="single" w:sz="4" w:space="0" w:color="auto"/>
            </w:tcBorders>
          </w:tcPr>
          <w:p w14:paraId="353DCD1F" w14:textId="77777777" w:rsidR="004B30BC" w:rsidRPr="00256DE8" w:rsidRDefault="004B30BC" w:rsidP="00371E9E">
            <w:r w:rsidRPr="00256DE8">
              <w:t>33 ± 0.44</w:t>
            </w:r>
          </w:p>
        </w:tc>
        <w:tc>
          <w:tcPr>
            <w:tcW w:w="1261" w:type="pct"/>
            <w:tcBorders>
              <w:top w:val="single" w:sz="4" w:space="0" w:color="auto"/>
            </w:tcBorders>
          </w:tcPr>
          <w:p w14:paraId="1EF2F5B5" w14:textId="77777777" w:rsidR="004B30BC" w:rsidRPr="00256DE8" w:rsidRDefault="004B30BC" w:rsidP="00371E9E">
            <w:r w:rsidRPr="00256DE8">
              <w:t>623 ± 108</w:t>
            </w:r>
          </w:p>
        </w:tc>
      </w:tr>
      <w:tr w:rsidR="004B30BC" w:rsidRPr="00256DE8" w14:paraId="21626012" w14:textId="77777777" w:rsidTr="00371E9E">
        <w:tc>
          <w:tcPr>
            <w:tcW w:w="2542" w:type="pct"/>
          </w:tcPr>
          <w:p w14:paraId="585D4EC9" w14:textId="77777777" w:rsidR="004B30BC" w:rsidRPr="00256DE8" w:rsidRDefault="004B30BC" w:rsidP="00371E9E">
            <w:pPr>
              <w:rPr>
                <w:i/>
                <w:iCs/>
              </w:rPr>
            </w:pPr>
            <w:r w:rsidRPr="00256DE8">
              <w:rPr>
                <w:i/>
                <w:iCs/>
              </w:rPr>
              <w:t>Laminaria hyperborea</w:t>
            </w:r>
          </w:p>
        </w:tc>
        <w:tc>
          <w:tcPr>
            <w:tcW w:w="1197" w:type="pct"/>
          </w:tcPr>
          <w:p w14:paraId="0EA45D9F" w14:textId="77777777" w:rsidR="004B30BC" w:rsidRPr="00256DE8" w:rsidRDefault="004B30BC" w:rsidP="00371E9E">
            <w:r w:rsidRPr="00256DE8">
              <w:t>36 ± 0.49</w:t>
            </w:r>
          </w:p>
        </w:tc>
        <w:tc>
          <w:tcPr>
            <w:tcW w:w="1261" w:type="pct"/>
          </w:tcPr>
          <w:p w14:paraId="52A8661E" w14:textId="77777777" w:rsidR="004B30BC" w:rsidRPr="00256DE8" w:rsidRDefault="004B30BC" w:rsidP="00371E9E">
            <w:r w:rsidRPr="00256DE8">
              <w:t>456 ± 42</w:t>
            </w:r>
          </w:p>
        </w:tc>
      </w:tr>
      <w:tr w:rsidR="004B30BC" w:rsidRPr="00256DE8" w14:paraId="19355A29" w14:textId="77777777" w:rsidTr="00371E9E">
        <w:tc>
          <w:tcPr>
            <w:tcW w:w="2542" w:type="pct"/>
            <w:tcBorders>
              <w:bottom w:val="single" w:sz="4" w:space="0" w:color="auto"/>
            </w:tcBorders>
          </w:tcPr>
          <w:p w14:paraId="560C5DD7" w14:textId="77777777" w:rsidR="004B30BC" w:rsidRPr="00256DE8" w:rsidRDefault="004B30BC" w:rsidP="00371E9E">
            <w:pPr>
              <w:rPr>
                <w:i/>
                <w:iCs/>
              </w:rPr>
            </w:pPr>
            <w:r w:rsidRPr="00256DE8">
              <w:rPr>
                <w:i/>
                <w:iCs/>
              </w:rPr>
              <w:t>Laminaria ochroleuca</w:t>
            </w:r>
          </w:p>
        </w:tc>
        <w:tc>
          <w:tcPr>
            <w:tcW w:w="1197" w:type="pct"/>
            <w:tcBorders>
              <w:bottom w:val="single" w:sz="4" w:space="0" w:color="auto"/>
            </w:tcBorders>
          </w:tcPr>
          <w:p w14:paraId="3378F000" w14:textId="77777777" w:rsidR="004B30BC" w:rsidRPr="00256DE8" w:rsidRDefault="004B30BC" w:rsidP="00371E9E">
            <w:r w:rsidRPr="00256DE8">
              <w:t>27 ± 0.83</w:t>
            </w:r>
          </w:p>
        </w:tc>
        <w:tc>
          <w:tcPr>
            <w:tcW w:w="1261" w:type="pct"/>
            <w:tcBorders>
              <w:bottom w:val="single" w:sz="4" w:space="0" w:color="auto"/>
            </w:tcBorders>
          </w:tcPr>
          <w:p w14:paraId="419C033F" w14:textId="77777777" w:rsidR="004B30BC" w:rsidRPr="00256DE8" w:rsidRDefault="004B30BC" w:rsidP="00371E9E">
            <w:r w:rsidRPr="00256DE8">
              <w:t>1377 ± 76</w:t>
            </w:r>
          </w:p>
        </w:tc>
      </w:tr>
    </w:tbl>
    <w:p w14:paraId="2ED09B4E" w14:textId="77777777" w:rsidR="004B30BC" w:rsidRPr="00256DE8" w:rsidRDefault="004B30BC" w:rsidP="004B30BC"/>
    <w:p w14:paraId="13E2D2F5" w14:textId="77777777" w:rsidR="004B30BC" w:rsidRPr="00256DE8" w:rsidRDefault="004B30BC" w:rsidP="004B30BC">
      <w:pPr>
        <w:rPr>
          <w:b/>
          <w:bCs/>
          <w:i/>
          <w:iCs/>
        </w:rPr>
      </w:pPr>
      <w:r w:rsidRPr="00256DE8">
        <w:rPr>
          <w:b/>
          <w:bCs/>
          <w:i/>
          <w:iCs/>
        </w:rPr>
        <w:t>Sediment collection</w:t>
      </w:r>
    </w:p>
    <w:p w14:paraId="7FC3CFC0" w14:textId="77777777" w:rsidR="004B30BC" w:rsidRDefault="004B30BC" w:rsidP="004B30BC">
      <w:pPr>
        <w:shd w:val="clear" w:color="auto" w:fill="FFFFFF"/>
      </w:pPr>
      <w:r w:rsidRPr="00256DE8">
        <w:t>Coarse sand was collected from 3.7–3.9 m depth at Little Island (</w:t>
      </w:r>
      <w:r w:rsidRPr="00256DE8">
        <w:rPr>
          <w:spacing w:val="3"/>
          <w:shd w:val="clear" w:color="auto" w:fill="FFFFFF"/>
        </w:rPr>
        <w:t>31.812358°S, 115.709698°E</w:t>
      </w:r>
      <w:r w:rsidRPr="00256DE8">
        <w:t>) in Marmion Marine Park on 20</w:t>
      </w:r>
      <w:r w:rsidRPr="00256DE8">
        <w:rPr>
          <w:vertAlign w:val="superscript"/>
        </w:rPr>
        <w:t>th</w:t>
      </w:r>
      <w:r w:rsidRPr="00256DE8">
        <w:t xml:space="preserve"> February 2024. Fine sand was collected from 7.7–8.6 m off North Coogee Beach near Omeo Wreck (32.105039°S, 115.759968°E) in Derbal Nara (Cockburn Sound) </w:t>
      </w:r>
      <w:r>
        <w:t>the following day</w:t>
      </w:r>
      <w:r w:rsidRPr="00256DE8">
        <w:t>. Silt was collected from the intertidal flat at St John (50.364176°N, 4.235705°W) in the lower Tamar Estuary on 30</w:t>
      </w:r>
      <w:r w:rsidRPr="00256DE8">
        <w:rPr>
          <w:vertAlign w:val="superscript"/>
        </w:rPr>
        <w:t>th</w:t>
      </w:r>
      <w:r w:rsidRPr="00256DE8">
        <w:t xml:space="preserve"> September 2024. The coarse and fine sands were sparsely vegetated with the seagrasses </w:t>
      </w:r>
      <w:r w:rsidRPr="00256DE8">
        <w:rPr>
          <w:i/>
          <w:iCs/>
        </w:rPr>
        <w:t>Halophila ovalis</w:t>
      </w:r>
      <w:r w:rsidRPr="00256DE8">
        <w:t xml:space="preserve"> and </w:t>
      </w:r>
      <w:r w:rsidRPr="00256DE8">
        <w:rPr>
          <w:i/>
          <w:iCs/>
        </w:rPr>
        <w:t>Posidonia australis</w:t>
      </w:r>
      <w:r w:rsidRPr="00256DE8">
        <w:t xml:space="preserve"> respectively but contained sparse infauna. </w:t>
      </w:r>
      <w:r>
        <w:t>In contrast, t</w:t>
      </w:r>
      <w:r w:rsidRPr="00256DE8">
        <w:t>he silt was</w:t>
      </w:r>
      <w:r>
        <w:t xml:space="preserve"> unvegetated but being reworked</w:t>
      </w:r>
      <w:r w:rsidRPr="00256DE8">
        <w:t xml:space="preserve"> </w:t>
      </w:r>
      <w:r>
        <w:t xml:space="preserve">by abundant </w:t>
      </w:r>
      <w:r w:rsidRPr="00256DE8">
        <w:t>polychaetes.</w:t>
      </w:r>
    </w:p>
    <w:p w14:paraId="1605F549" w14:textId="77777777" w:rsidR="004B30BC" w:rsidRDefault="004B30BC" w:rsidP="004B30BC">
      <w:pPr>
        <w:shd w:val="clear" w:color="auto" w:fill="FFFFFF"/>
      </w:pPr>
    </w:p>
    <w:p w14:paraId="7D9FA0A5" w14:textId="77777777" w:rsidR="004B30BC" w:rsidRPr="00DB1779" w:rsidRDefault="004B30BC" w:rsidP="004B30BC">
      <w:pPr>
        <w:shd w:val="clear" w:color="auto" w:fill="FFFFFF"/>
      </w:pPr>
      <w:r>
        <w:t xml:space="preserve">Subtidal and intertidal sediments were sampled using contrasting methods. Subtidal coarse and fine sands were cored to at least 20 cm depth with 10-cm diameter, 50-cm long </w:t>
      </w:r>
      <w:r w:rsidRPr="00E95B3C">
        <w:t>polyvinyl chloride</w:t>
      </w:r>
      <w:r>
        <w:t xml:space="preserve"> pipes (DWV100, Holman, Perth, Australia). Pipes were haphazardly placed on the </w:t>
      </w:r>
      <w:r w:rsidRPr="00DB1779">
        <w:t>sediment, inserted to the 20-cm mark using a sledgehammer</w:t>
      </w:r>
      <w:r>
        <w:t>,</w:t>
      </w:r>
      <w:r w:rsidRPr="00DB1779">
        <w:t xml:space="preserve"> and sealed using a </w:t>
      </w:r>
      <w:r>
        <w:t>10-cm diameter</w:t>
      </w:r>
      <w:r w:rsidRPr="00DB1779">
        <w:t xml:space="preserve"> pipe cap (</w:t>
      </w:r>
      <w:r w:rsidRPr="00DB1779">
        <w:rPr>
          <w:lang w:eastAsia="en-US"/>
        </w:rPr>
        <w:t>DWVF0198</w:t>
      </w:r>
      <w:r>
        <w:t>, Holman, Perth, Australia</w:t>
      </w:r>
      <w:r w:rsidRPr="00DB1779">
        <w:t>) and duct tape</w:t>
      </w:r>
      <w:r>
        <w:t>. We perforated the cap to let water escape during capping and then sealed the hole with tape. The core could then be carefully extracted by making use of the generated negative pressure and capped on the bottom. Once sealed on both ends, the top was opened again to allow headwater exchange with the surrounding seawater. Leaky cores were oxygenated by gently topping up the headwater and transported to the facility within two hours of collection. At the facility cores were properly sealed at the bottom using self-fusing silicone tape. Headwater was replaced with 0.5-µm filtered and UV sterilised seawater</w:t>
      </w:r>
      <w:r w:rsidRPr="00844485">
        <w:t xml:space="preserve"> </w:t>
      </w:r>
      <w:r>
        <w:t>with a salinity of 35</w:t>
      </w:r>
      <w:r w:rsidRPr="00256DE8">
        <w:t>‰</w:t>
      </w:r>
      <w:r>
        <w:t>.</w:t>
      </w:r>
    </w:p>
    <w:p w14:paraId="6FE2E3CF" w14:textId="77777777" w:rsidR="004B30BC" w:rsidRPr="00256DE8" w:rsidRDefault="004B30BC" w:rsidP="004B30BC">
      <w:pPr>
        <w:shd w:val="clear" w:color="auto" w:fill="FFFFFF"/>
      </w:pPr>
    </w:p>
    <w:p w14:paraId="6E4A5E6D" w14:textId="77777777" w:rsidR="004B30BC" w:rsidRDefault="004B30BC" w:rsidP="004B30BC">
      <w:pPr>
        <w:shd w:val="clear" w:color="auto" w:fill="FFFFFF"/>
      </w:pPr>
      <w:r>
        <w:t>Intertidal silt was sampled on a low spring tide with 10-cm diameter, 4</w:t>
      </w:r>
      <w:commentRangeStart w:id="4"/>
      <w:r>
        <w:t xml:space="preserve">0-cm long </w:t>
      </w:r>
      <w:commentRangeEnd w:id="4"/>
      <w:r>
        <w:rPr>
          <w:rStyle w:val="CommentReference"/>
          <w:sz w:val="24"/>
          <w:szCs w:val="24"/>
        </w:rPr>
        <w:commentReference w:id="4"/>
      </w:r>
      <w:r>
        <w:t>acrylic pipes (</w:t>
      </w:r>
      <w:commentRangeStart w:id="5"/>
      <w:r>
        <w:t>…</w:t>
      </w:r>
      <w:commentRangeEnd w:id="5"/>
      <w:r>
        <w:rPr>
          <w:rStyle w:val="CommentReference"/>
          <w:sz w:val="24"/>
          <w:szCs w:val="24"/>
        </w:rPr>
        <w:commentReference w:id="5"/>
      </w:r>
      <w:r>
        <w:t>). Pipes were haphazardly on the placed and pushed into the sediment to at least 10 cm depth. The surrounding sediment was then dug up with a trowel until the bottom was exposed and could be capped. A good seal was achieved using an acrylic disc with an O-ring as well as a push cap. Cores were left in their low tide state without headwater and transported to the facility within two hours of collection. Porewater at the collection site had a temperature of 15.5°C and salinity of around 20</w:t>
      </w:r>
      <w:r w:rsidRPr="00256DE8">
        <w:t>‰</w:t>
      </w:r>
      <w:r>
        <w:t xml:space="preserve"> due to the location near the mouth of a freshwater rivulet which is the dominant source of water during low tide. At the facility, </w:t>
      </w:r>
      <w:r>
        <w:lastRenderedPageBreak/>
        <w:t>cores were left without headwater until the time of flood at the collection site and then filled with 0.45-µm filtered, 15°C seawater with a salinity of 35</w:t>
      </w:r>
      <w:r w:rsidRPr="00256DE8">
        <w:t>‰</w:t>
      </w:r>
      <w:r>
        <w:t>.</w:t>
      </w:r>
    </w:p>
    <w:p w14:paraId="361580E5" w14:textId="77777777" w:rsidR="004B30BC" w:rsidRPr="00256DE8" w:rsidRDefault="004B30BC" w:rsidP="004B30BC"/>
    <w:p w14:paraId="71FEB06C" w14:textId="77777777" w:rsidR="004B30BC" w:rsidRPr="00256DE8" w:rsidRDefault="004B30BC" w:rsidP="004B30BC">
      <w:pPr>
        <w:rPr>
          <w:b/>
          <w:bCs/>
          <w:i/>
          <w:iCs/>
        </w:rPr>
      </w:pPr>
      <w:r w:rsidRPr="00256DE8">
        <w:rPr>
          <w:b/>
          <w:bCs/>
          <w:i/>
          <w:iCs/>
        </w:rPr>
        <w:t>Pulse-chase experiment</w:t>
      </w:r>
    </w:p>
    <w:p w14:paraId="52C31A44" w14:textId="77777777" w:rsidR="004B30BC" w:rsidRDefault="004B30BC" w:rsidP="004B30BC">
      <w:r>
        <w:t>Sediment cores were incubated in darkness at constant temperature (18°C in Australia and 15°C in the UK) in two tanks filled with filtered seawater and equipped with a grid structure to hold cores in place. Each core was oxygenated with an air stone and headwater was replaced weekly with a syphon and disc of perforated bubble wrap to avoid disturbing the sediment surface. To ensure sufficient aeration, dissolved oxygen was measured and air flow adjusted if necessary. Headwater level was maintained 20 cm above the sediment surface, corresponding to about 1.57 L. Tank water was also replaced regularly in Australia while in the UK it was topped up with ultrapure water to combat the evaporative increase in salinity. Core were thus left to acclimatise for 15 days (UK) to 58 days (Australia). Baseline metabolism was measured during this period and baseline cores were destructively sampled shortly before kelp addition.</w:t>
      </w:r>
    </w:p>
    <w:p w14:paraId="21D38649" w14:textId="77777777" w:rsidR="004B30BC" w:rsidRDefault="004B30BC" w:rsidP="004B30BC"/>
    <w:p w14:paraId="4AD3615B" w14:textId="77777777" w:rsidR="004B30BC" w:rsidRDefault="004B30BC" w:rsidP="004B30BC">
      <w:r>
        <w:t>Kelp was added to 30 cores on 18</w:t>
      </w:r>
      <w:r w:rsidRPr="00CE65DA">
        <w:rPr>
          <w:vertAlign w:val="superscript"/>
        </w:rPr>
        <w:t>th</w:t>
      </w:r>
      <w:r>
        <w:t xml:space="preserve"> April 2024 (Australia) and 24 cores on 15</w:t>
      </w:r>
      <w:r w:rsidRPr="00CE65DA">
        <w:rPr>
          <w:vertAlign w:val="superscript"/>
        </w:rPr>
        <w:t>th</w:t>
      </w:r>
      <w:r>
        <w:t xml:space="preserve"> October 2024 (UK). Since we wanted to explore the effects of kelp species, sediment type and carbon influx load over time, we could not afford a factorial experiment with only 54 cores. Instead, we added a constant dry mass (10 g) of </w:t>
      </w:r>
      <w:r w:rsidRPr="00DA6463">
        <w:rPr>
          <w:i/>
          <w:iCs/>
        </w:rPr>
        <w:t>E. radiata</w:t>
      </w:r>
      <w:r>
        <w:t xml:space="preserve"> to two sediment types (coarse and fine sands) and a varying dry mass (1, 7.5 and 15 g) of </w:t>
      </w:r>
      <w:r w:rsidRPr="00872BFD">
        <w:rPr>
          <w:i/>
          <w:iCs/>
        </w:rPr>
        <w:t>L. hyperborea</w:t>
      </w:r>
      <w:r>
        <w:t xml:space="preserve"> and </w:t>
      </w:r>
      <w:r w:rsidRPr="00872BFD">
        <w:rPr>
          <w:i/>
          <w:iCs/>
        </w:rPr>
        <w:t>L. ochroleuca</w:t>
      </w:r>
      <w:r>
        <w:t xml:space="preserve"> to one sediment type (silt). We believe this still captures the predictors of interest while maintaining a manageable number of cores. Since cores must be destructively sampled, each only yields one timepoint. We prioritised temporal resolution over replication within timepoints, so only have one core per treatment and timepoint (cf. </w:t>
      </w:r>
      <w:r w:rsidRPr="007C3907">
        <w:fldChar w:fldCharType="begin"/>
      </w:r>
      <w:r w:rsidRPr="007C3907">
        <w:instrText>ADDIN BEC{Braeckman et al., 2019 #39929}</w:instrText>
      </w:r>
      <w:r w:rsidRPr="007C3907">
        <w:fldChar w:fldCharType="separate"/>
      </w:r>
      <w:r w:rsidRPr="007C3907">
        <w:t>(Braeckman et al. 2019)</w:t>
      </w:r>
      <w:r w:rsidRPr="007C3907">
        <w:fldChar w:fldCharType="end"/>
      </w:r>
      <w:r>
        <w:t xml:space="preserve">. Cores were sampled at regular intervals up to 28 days for </w:t>
      </w:r>
      <w:r w:rsidRPr="00AC6F91">
        <w:rPr>
          <w:i/>
          <w:iCs/>
        </w:rPr>
        <w:t>Laminaria</w:t>
      </w:r>
      <w:r>
        <w:t xml:space="preserve"> species and 120 days for </w:t>
      </w:r>
      <w:r w:rsidRPr="00AC6F91">
        <w:rPr>
          <w:i/>
          <w:iCs/>
        </w:rPr>
        <w:t>E. radiata</w:t>
      </w:r>
      <w:r>
        <w:t>.</w:t>
      </w:r>
    </w:p>
    <w:p w14:paraId="2A4ABACC" w14:textId="77777777" w:rsidR="004B30BC" w:rsidRPr="00256DE8" w:rsidRDefault="004B30BC" w:rsidP="004B30BC"/>
    <w:p w14:paraId="0FECFCAE" w14:textId="77777777" w:rsidR="004B30BC" w:rsidRPr="00256DE8" w:rsidRDefault="004B30BC" w:rsidP="004B30BC">
      <w:pPr>
        <w:rPr>
          <w:b/>
          <w:bCs/>
          <w:i/>
          <w:iCs/>
        </w:rPr>
      </w:pPr>
      <w:r>
        <w:rPr>
          <w:b/>
          <w:bCs/>
          <w:i/>
          <w:iCs/>
        </w:rPr>
        <w:t>Oxygen metabolism</w:t>
      </w:r>
    </w:p>
    <w:p w14:paraId="11A64727" w14:textId="77777777" w:rsidR="004B30BC" w:rsidRDefault="004B30BC" w:rsidP="004B30BC">
      <w:r>
        <w:t xml:space="preserve">Aerobic respiration was measured by closed oxygen evolution. Briefly, the air stone was removed, headwater fully topped up to avoid airspace and the core sealed to measure the consumption of dissolved oxygen by aerobic metabolism. For the </w:t>
      </w:r>
      <w:r w:rsidRPr="00E95B3C">
        <w:t>polyvinyl chloride</w:t>
      </w:r>
      <w:r>
        <w:t xml:space="preserve"> cores, we attached peristaltic pumps (KCP-X, Kamoer, Shanghai, China) to pipe caps </w:t>
      </w:r>
      <w:r w:rsidRPr="00DB1779">
        <w:t>(</w:t>
      </w:r>
      <w:r w:rsidRPr="00DB1779">
        <w:rPr>
          <w:lang w:eastAsia="en-US"/>
        </w:rPr>
        <w:t>DWVF0198</w:t>
      </w:r>
      <w:r>
        <w:t>, Holman, Perth, Australia</w:t>
      </w:r>
      <w:r w:rsidRPr="00DB1779">
        <w:t>)</w:t>
      </w:r>
      <w:r>
        <w:t>. The pump circulated the enclosed headwater through tubing sealed into two openings in the cap with aquarium silicone. An oxygen dipping probe (DP-PSt3, PreSens, Regensburg, Germany) attached to an oxygen meter (</w:t>
      </w:r>
      <w:r w:rsidRPr="00CC0BDF">
        <w:t>OXY-4 SMA G2, PreSens, Regensburg, Germany</w:t>
      </w:r>
      <w:r>
        <w:t>) was inserted through a third opening which was sealed with putty. Oxygen was measured every 10 s over 20 min.</w:t>
      </w:r>
    </w:p>
    <w:p w14:paraId="33044F87" w14:textId="77777777" w:rsidR="004B30BC" w:rsidRDefault="004B30BC" w:rsidP="004B30BC"/>
    <w:p w14:paraId="476BB5E6" w14:textId="77777777" w:rsidR="004B30BC" w:rsidRPr="00256DE8" w:rsidRDefault="004B30BC" w:rsidP="004B30BC">
      <w:r>
        <w:t xml:space="preserve">The transparent acrylic cores allowed fibre-optic measurement through the core wall. Each core was hence equipped with a </w:t>
      </w:r>
      <w:r w:rsidRPr="00CC0BDF">
        <w:t xml:space="preserve">planar </w:t>
      </w:r>
      <w:r>
        <w:t xml:space="preserve">oxygen </w:t>
      </w:r>
      <w:r w:rsidRPr="00CC0BDF">
        <w:t>sensor spot (SP-PSt3-NAU-D5-</w:t>
      </w:r>
      <w:r>
        <w:t>N</w:t>
      </w:r>
      <w:r w:rsidRPr="00CC0BDF">
        <w:t>OP, PreSens, Regensburg, Germany)</w:t>
      </w:r>
      <w:r>
        <w:t xml:space="preserve"> which could then be read with a polymer optical fibre (POF, </w:t>
      </w:r>
      <w:r w:rsidRPr="00CC0BDF">
        <w:t>PreSens, Regensburg, Germany</w:t>
      </w:r>
      <w:r>
        <w:t>) attached to an oxygen meter (</w:t>
      </w:r>
      <w:r w:rsidRPr="00CC0BDF">
        <w:t>OXY-4 SMA G</w:t>
      </w:r>
      <w:r>
        <w:t>3</w:t>
      </w:r>
      <w:r w:rsidRPr="00CC0BDF">
        <w:t>, PreSens, Regensburg, Germany</w:t>
      </w:r>
      <w:r>
        <w:t>). Since acrylic cores were sealed with custom lids equipped with O-rings and rubber stoppers, it was not possible to circulate the headwater by means of a pump or stirrer while maintaining a seal. Dissolved oxygen depletion is patchy when diffusion and ventilation by bioturbators are the only sources of mixing. Since measurements in the water column lag behind sediment respiration, we measured oxygen every 10 s over an extended period of 1 h.</w:t>
      </w:r>
    </w:p>
    <w:p w14:paraId="0A2E19D1" w14:textId="77777777" w:rsidR="004B30BC" w:rsidRDefault="004B30BC" w:rsidP="004B30BC"/>
    <w:p w14:paraId="25A11190" w14:textId="77777777" w:rsidR="004B30BC" w:rsidRPr="00364CFC" w:rsidRDefault="004B30BC" w:rsidP="004B30BC">
      <w:pPr>
        <w:rPr>
          <w:b/>
          <w:bCs/>
          <w:i/>
          <w:iCs/>
        </w:rPr>
      </w:pPr>
      <w:r w:rsidRPr="00364CFC">
        <w:rPr>
          <w:b/>
          <w:bCs/>
          <w:i/>
          <w:iCs/>
        </w:rPr>
        <w:t>Carbon metabolism</w:t>
      </w:r>
    </w:p>
    <w:p w14:paraId="2F2B825A" w14:textId="77777777" w:rsidR="004B30BC" w:rsidRDefault="004B30BC" w:rsidP="004B30BC">
      <w:r>
        <w:lastRenderedPageBreak/>
        <w:t>Aerobic and anaerobic respiration were measured by dissolved inorganic carbon (DIC) and total alkalinity (TA) evolution. Seawater samples were taken before and after oxygen incubations to estimate CO</w:t>
      </w:r>
      <w:r w:rsidRPr="00137CD9">
        <w:rPr>
          <w:vertAlign w:val="subscript"/>
        </w:rPr>
        <w:t>2</w:t>
      </w:r>
      <w:r>
        <w:t xml:space="preserve"> production by aerobic respiration and compare it to oxygen consumption over the same interval. Seawater samples were also collected at regular intervals throughout the week leading up to the water change to estimate anaerobic respiration as the buildup in TA. In each case, the top layer of headwater was sampled with a syringe and filtered through a 0.45-µm syringe filter into a 15-mL polypropylene tube, leaving minimal headspace. Samples were kept in darkness and refrigerated until analysis.</w:t>
      </w:r>
    </w:p>
    <w:p w14:paraId="333483A6" w14:textId="77777777" w:rsidR="004B30BC" w:rsidRDefault="004B30BC" w:rsidP="004B30BC"/>
    <w:p w14:paraId="00AB3FB1" w14:textId="77777777" w:rsidR="004B30BC" w:rsidRDefault="004B30BC" w:rsidP="004B30BC">
      <w:r>
        <w:t xml:space="preserve">TA was determined by titration of 10-mL samples with hydrochloric acid (HCl). In Australia, we titrated with 0.012 M HCl (841 Titrando, Metrohm, Herisau, Switzerland). In the UK, we titrated with 0.091 M HCl (AS-ALK2, Apollo SciTech, Newark, USA). Titrants were calibrated against certified reference material (CRM, Marine Physical Laboratory, Scripps Institution of Oceanography, </w:t>
      </w:r>
      <w:r w:rsidRPr="00D04705">
        <w:fldChar w:fldCharType="begin"/>
      </w:r>
      <w:r w:rsidRPr="00D04705">
        <w:instrText>ADDIN BEC{Dickson et al., 2003 #95657}</w:instrText>
      </w:r>
      <w:r w:rsidRPr="00D04705">
        <w:fldChar w:fldCharType="separate"/>
      </w:r>
      <w:r w:rsidRPr="00D04705">
        <w:t>(Dickson et al. 2003)</w:t>
      </w:r>
      <w:r w:rsidRPr="00D04705">
        <w:fldChar w:fldCharType="end"/>
      </w:r>
      <w:r>
        <w:t>. In Australia this was done manually by titrating the CRM and then adjusting sample TA based on the difference between known and measured CRM TA. In the UK the titrator was directly calibrated with the CRM prior to sample analysis. pH probes were regularly calibrated with at least three buffers. DIC was measured using an automated analyser (AS-C6L, Apollo SciTech, Newark, USA) which acidifies 1.5-mL triplicates with sulfuric acid and measures the released CO</w:t>
      </w:r>
      <w:r w:rsidRPr="00137CD9">
        <w:rPr>
          <w:vertAlign w:val="subscript"/>
        </w:rPr>
        <w:t>2</w:t>
      </w:r>
      <w:r>
        <w:t xml:space="preserve"> with a gas analyser (LI-7815, LI-COR, Lincoln, USA). Using salinity and initial titration pH and TA or TA and DIC, we calculated the seawater carbonate system using seacarb v3.3.3 </w:t>
      </w:r>
      <w:r w:rsidRPr="00107EA5">
        <w:fldChar w:fldCharType="begin"/>
      </w:r>
      <w:r w:rsidRPr="00107EA5">
        <w:instrText>ADDIN BEC{Gattuso and Lavigne, 2009 #44285}</w:instrText>
      </w:r>
      <w:r w:rsidRPr="00107EA5">
        <w:fldChar w:fldCharType="separate"/>
      </w:r>
      <w:r w:rsidRPr="00107EA5">
        <w:t>(Gattuso &amp; Lavigne 2009)</w:t>
      </w:r>
      <w:r w:rsidRPr="00107EA5">
        <w:fldChar w:fldCharType="end"/>
      </w:r>
      <w:r>
        <w:t>.</w:t>
      </w:r>
    </w:p>
    <w:p w14:paraId="44B7083F" w14:textId="77777777" w:rsidR="004B30BC" w:rsidRPr="00256DE8" w:rsidRDefault="004B30BC" w:rsidP="004B30BC"/>
    <w:p w14:paraId="3CC43367" w14:textId="77777777" w:rsidR="004B30BC" w:rsidRPr="00256DE8" w:rsidRDefault="004B30BC" w:rsidP="004B30BC">
      <w:pPr>
        <w:rPr>
          <w:b/>
          <w:bCs/>
          <w:i/>
          <w:iCs/>
        </w:rPr>
      </w:pPr>
      <w:r>
        <w:rPr>
          <w:b/>
          <w:bCs/>
          <w:i/>
          <w:iCs/>
        </w:rPr>
        <w:t>Enzyme</w:t>
      </w:r>
      <w:r w:rsidRPr="00256DE8">
        <w:rPr>
          <w:b/>
          <w:bCs/>
          <w:i/>
          <w:iCs/>
        </w:rPr>
        <w:t xml:space="preserve"> activity</w:t>
      </w:r>
    </w:p>
    <w:p w14:paraId="4DF4C58B" w14:textId="77777777" w:rsidR="004B30BC" w:rsidRPr="006221A6" w:rsidRDefault="004B30BC" w:rsidP="004B30BC">
      <w:pPr>
        <w:pStyle w:val="p1"/>
        <w:rPr>
          <w:rFonts w:ascii="Times New Roman" w:hAnsi="Times New Roman"/>
          <w:sz w:val="24"/>
          <w:szCs w:val="24"/>
        </w:rPr>
      </w:pPr>
      <w:r w:rsidRPr="006221A6">
        <w:rPr>
          <w:rFonts w:ascii="Times New Roman" w:hAnsi="Times New Roman"/>
          <w:sz w:val="24"/>
          <w:szCs w:val="24"/>
        </w:rPr>
        <w:t xml:space="preserve">Extracellular enzyme activities were measured using the fluorometric method </w:t>
      </w:r>
      <w:r w:rsidRPr="006221A6">
        <w:rPr>
          <w:rFonts w:ascii="Times New Roman" w:hAnsi="Times New Roman"/>
          <w:sz w:val="24"/>
          <w:szCs w:val="24"/>
        </w:rPr>
        <w:fldChar w:fldCharType="begin"/>
      </w:r>
      <w:r w:rsidRPr="006221A6">
        <w:rPr>
          <w:rFonts w:ascii="Times New Roman" w:hAnsi="Times New Roman"/>
          <w:sz w:val="24"/>
          <w:szCs w:val="24"/>
        </w:rPr>
        <w:instrText>ADDIN BEC{Hoppe, 1983 #89882}</w:instrText>
      </w:r>
      <w:r w:rsidRPr="006221A6">
        <w:rPr>
          <w:rFonts w:ascii="Times New Roman" w:hAnsi="Times New Roman"/>
          <w:sz w:val="24"/>
          <w:szCs w:val="24"/>
        </w:rPr>
        <w:fldChar w:fldCharType="separate"/>
      </w:r>
      <w:r w:rsidRPr="006221A6">
        <w:rPr>
          <w:rFonts w:ascii="Times New Roman" w:hAnsi="Times New Roman"/>
          <w:sz w:val="24"/>
          <w:szCs w:val="24"/>
        </w:rPr>
        <w:t>(Hoppe 1983)</w:t>
      </w:r>
      <w:r w:rsidRPr="006221A6">
        <w:rPr>
          <w:rFonts w:ascii="Times New Roman" w:hAnsi="Times New Roman"/>
          <w:sz w:val="24"/>
          <w:szCs w:val="24"/>
        </w:rPr>
        <w:fldChar w:fldCharType="end"/>
      </w:r>
      <w:r w:rsidRPr="006221A6">
        <w:rPr>
          <w:rFonts w:ascii="Times New Roman" w:hAnsi="Times New Roman"/>
          <w:sz w:val="24"/>
          <w:szCs w:val="24"/>
        </w:rPr>
        <w:t xml:space="preserve">. Using a pipette, 1-mL seawater samples were taken from the top of the headwater at regular intervals throughout the week leading up to the water change. Samples were stored in 1.5-mL centrifuge tubes with a headspace. Samples were kept at 18°C in darkness on an orbital shaker until analysis the following day. Fluorogenic substrates for the enzymes β-glucosidase (4-Methylumbelliferyl β-D-Glucopyranoside, 4-MUG, M3633, Merck, Darmstadt, Germany) and leucine aminopeptidase (L-Leucine-7-Amido-4-Methylcoumarin Hydrochloride, LAMC, L2145, Merck, Darmstadt, Germany) were made up as 50 mM stock solutions in ultrapure water, aliquoted and stored at −20°C. </w:t>
      </w:r>
      <w:r>
        <w:rPr>
          <w:rFonts w:ascii="Times New Roman" w:hAnsi="Times New Roman"/>
          <w:sz w:val="24"/>
          <w:szCs w:val="24"/>
        </w:rPr>
        <w:t xml:space="preserve">The corresponding fluorophore standards </w:t>
      </w:r>
      <w:r w:rsidRPr="006221A6">
        <w:rPr>
          <w:rFonts w:ascii="Times New Roman" w:hAnsi="Times New Roman"/>
          <w:sz w:val="24"/>
          <w:szCs w:val="24"/>
        </w:rPr>
        <w:t>4-Methylumbelliferone (4-MU, M1381, Merck, Darmstadt, Germany)</w:t>
      </w:r>
      <w:r w:rsidRPr="006221A6">
        <w:rPr>
          <w:rStyle w:val="apple-converted-space"/>
          <w:rFonts w:ascii="Times New Roman" w:eastAsiaTheme="majorEastAsia" w:hAnsi="Times New Roman"/>
          <w:sz w:val="24"/>
          <w:szCs w:val="24"/>
        </w:rPr>
        <w:t> </w:t>
      </w:r>
      <w:r w:rsidRPr="006221A6">
        <w:rPr>
          <w:rFonts w:ascii="Times New Roman" w:hAnsi="Times New Roman"/>
          <w:sz w:val="24"/>
          <w:szCs w:val="24"/>
        </w:rPr>
        <w:t>and 7-Amino-4-Methylcoumarin (AMC, A9891, Merck, Darmstadt, Germany)</w:t>
      </w:r>
      <w:r>
        <w:rPr>
          <w:rFonts w:ascii="Times New Roman" w:hAnsi="Times New Roman"/>
          <w:sz w:val="24"/>
          <w:szCs w:val="24"/>
        </w:rPr>
        <w:t xml:space="preserve"> were made up as 10 mM stock solutions in 100% methyl cellosolve (2-Methoxyethanol, </w:t>
      </w:r>
      <w:r w:rsidRPr="006221A6">
        <w:rPr>
          <w:rFonts w:ascii="Times New Roman" w:hAnsi="Times New Roman"/>
          <w:sz w:val="24"/>
          <w:szCs w:val="24"/>
        </w:rPr>
        <w:t>185469</w:t>
      </w:r>
      <w:r>
        <w:rPr>
          <w:rFonts w:ascii="Times New Roman" w:hAnsi="Times New Roman"/>
          <w:sz w:val="24"/>
          <w:szCs w:val="24"/>
        </w:rPr>
        <w:t xml:space="preserve">, Merck, </w:t>
      </w:r>
      <w:r w:rsidRPr="006221A6">
        <w:rPr>
          <w:rFonts w:ascii="Times New Roman" w:hAnsi="Times New Roman"/>
          <w:sz w:val="24"/>
          <w:szCs w:val="24"/>
        </w:rPr>
        <w:t>Darmstadt, Germany</w:t>
      </w:r>
      <w:r>
        <w:rPr>
          <w:rFonts w:ascii="Times New Roman" w:hAnsi="Times New Roman"/>
          <w:sz w:val="24"/>
          <w:szCs w:val="24"/>
        </w:rPr>
        <w:t xml:space="preserve">) and also </w:t>
      </w:r>
      <w:r w:rsidRPr="006221A6">
        <w:rPr>
          <w:rFonts w:ascii="Times New Roman" w:hAnsi="Times New Roman"/>
          <w:sz w:val="24"/>
          <w:szCs w:val="24"/>
        </w:rPr>
        <w:t>stored at −20°C</w:t>
      </w:r>
      <w:r>
        <w:rPr>
          <w:rFonts w:ascii="Times New Roman" w:hAnsi="Times New Roman"/>
          <w:sz w:val="24"/>
          <w:szCs w:val="24"/>
        </w:rPr>
        <w:t>.</w:t>
      </w:r>
    </w:p>
    <w:p w14:paraId="424B3824" w14:textId="77777777" w:rsidR="004B30BC" w:rsidRDefault="004B30BC" w:rsidP="004B30BC">
      <w:pPr>
        <w:pStyle w:val="p1"/>
        <w:rPr>
          <w:rFonts w:ascii="Times New Roman" w:hAnsi="Times New Roman"/>
          <w:sz w:val="24"/>
          <w:szCs w:val="24"/>
        </w:rPr>
      </w:pPr>
    </w:p>
    <w:p w14:paraId="5AB5A454" w14:textId="77777777" w:rsidR="004B30BC" w:rsidRPr="006221A6" w:rsidRDefault="004B30BC" w:rsidP="004B30BC">
      <w:pPr>
        <w:pStyle w:val="p1"/>
        <w:rPr>
          <w:rFonts w:ascii="Times New Roman" w:hAnsi="Times New Roman"/>
          <w:sz w:val="24"/>
          <w:szCs w:val="24"/>
        </w:rPr>
      </w:pPr>
      <w:r w:rsidRPr="006221A6">
        <w:rPr>
          <w:rFonts w:ascii="Times New Roman" w:hAnsi="Times New Roman"/>
          <w:sz w:val="24"/>
          <w:szCs w:val="24"/>
        </w:rPr>
        <w:t>Based on initial trials</w:t>
      </w:r>
      <w:r>
        <w:rPr>
          <w:rFonts w:ascii="Times New Roman" w:hAnsi="Times New Roman"/>
          <w:sz w:val="24"/>
          <w:szCs w:val="24"/>
        </w:rPr>
        <w:t>,</w:t>
      </w:r>
      <w:r w:rsidRPr="006221A6">
        <w:rPr>
          <w:rFonts w:ascii="Times New Roman" w:hAnsi="Times New Roman"/>
          <w:sz w:val="24"/>
          <w:szCs w:val="24"/>
        </w:rPr>
        <w:t xml:space="preserve"> 750 µM was found to be the saturating substrate concentration for </w:t>
      </w:r>
      <w:r>
        <w:rPr>
          <w:rFonts w:ascii="Times New Roman" w:hAnsi="Times New Roman"/>
          <w:sz w:val="24"/>
          <w:szCs w:val="24"/>
        </w:rPr>
        <w:t xml:space="preserve">sediment core </w:t>
      </w:r>
      <w:r w:rsidRPr="006221A6">
        <w:rPr>
          <w:rFonts w:ascii="Times New Roman" w:hAnsi="Times New Roman"/>
          <w:sz w:val="24"/>
          <w:szCs w:val="24"/>
        </w:rPr>
        <w:t xml:space="preserve">headwater samples. </w:t>
      </w:r>
      <w:r>
        <w:rPr>
          <w:rFonts w:ascii="Times New Roman" w:hAnsi="Times New Roman"/>
          <w:sz w:val="24"/>
          <w:szCs w:val="24"/>
        </w:rPr>
        <w:t>Fresh</w:t>
      </w:r>
      <w:r w:rsidRPr="006221A6">
        <w:rPr>
          <w:rFonts w:ascii="Times New Roman" w:hAnsi="Times New Roman"/>
          <w:sz w:val="24"/>
          <w:szCs w:val="24"/>
        </w:rPr>
        <w:t xml:space="preserve"> 7.5 mM </w:t>
      </w:r>
      <w:r>
        <w:rPr>
          <w:rFonts w:ascii="Times New Roman" w:hAnsi="Times New Roman"/>
          <w:sz w:val="24"/>
          <w:szCs w:val="24"/>
        </w:rPr>
        <w:t>substrate</w:t>
      </w:r>
      <w:r w:rsidRPr="006221A6">
        <w:rPr>
          <w:rFonts w:ascii="Times New Roman" w:hAnsi="Times New Roman"/>
          <w:sz w:val="24"/>
          <w:szCs w:val="24"/>
        </w:rPr>
        <w:t xml:space="preserve"> solution was made up by diluting 99 µL of the </w:t>
      </w:r>
      <w:r>
        <w:rPr>
          <w:rFonts w:ascii="Times New Roman" w:hAnsi="Times New Roman"/>
          <w:sz w:val="24"/>
          <w:szCs w:val="24"/>
        </w:rPr>
        <w:t xml:space="preserve">substrate </w:t>
      </w:r>
      <w:r w:rsidRPr="006221A6">
        <w:rPr>
          <w:rFonts w:ascii="Times New Roman" w:hAnsi="Times New Roman"/>
          <w:sz w:val="24"/>
          <w:szCs w:val="24"/>
        </w:rPr>
        <w:t xml:space="preserve">stock in 561 µL of filtered and autoclaved seawater. 180 µL of each sample was transferred to a black 96-well microplate (655076, Greiner Bio-One, Kremsmünster, Austria) and 20 µL of the working solution added to yield a final substrate concentration of 750 µM. </w:t>
      </w:r>
      <w:r>
        <w:rPr>
          <w:rFonts w:ascii="Times New Roman" w:hAnsi="Times New Roman"/>
          <w:sz w:val="24"/>
          <w:szCs w:val="24"/>
        </w:rPr>
        <w:t xml:space="preserve">Substrate controls with </w:t>
      </w:r>
      <w:r w:rsidRPr="006221A6">
        <w:rPr>
          <w:rFonts w:ascii="Times New Roman" w:hAnsi="Times New Roman"/>
          <w:sz w:val="24"/>
          <w:szCs w:val="24"/>
        </w:rPr>
        <w:t>180</w:t>
      </w:r>
      <w:r>
        <w:rPr>
          <w:rFonts w:ascii="Times New Roman" w:hAnsi="Times New Roman"/>
          <w:sz w:val="24"/>
          <w:szCs w:val="24"/>
        </w:rPr>
        <w:t xml:space="preserve"> µL of filtered and autoclaved seawater instead of the sample and 200-µL standard solutions between 0 and 160 µM</w:t>
      </w:r>
      <w:r w:rsidRPr="006221A6">
        <w:rPr>
          <w:rFonts w:ascii="Times New Roman" w:hAnsi="Times New Roman"/>
          <w:sz w:val="24"/>
          <w:szCs w:val="24"/>
        </w:rPr>
        <w:t xml:space="preserve"> </w:t>
      </w:r>
      <w:r>
        <w:rPr>
          <w:rFonts w:ascii="Times New Roman" w:hAnsi="Times New Roman"/>
          <w:sz w:val="24"/>
          <w:szCs w:val="24"/>
        </w:rPr>
        <w:t>were also added to the microplate.</w:t>
      </w:r>
      <w:r w:rsidRPr="006221A6">
        <w:rPr>
          <w:rFonts w:ascii="Times New Roman" w:hAnsi="Times New Roman"/>
          <w:sz w:val="24"/>
          <w:szCs w:val="24"/>
        </w:rPr>
        <w:t xml:space="preserve"> Fluorescence was </w:t>
      </w:r>
      <w:r>
        <w:rPr>
          <w:rFonts w:ascii="Times New Roman" w:hAnsi="Times New Roman"/>
          <w:sz w:val="24"/>
          <w:szCs w:val="24"/>
        </w:rPr>
        <w:t>then measured at 360 nm excitation and 450 nm emission (4-MU) and 380 nm excitation and 440 nm emission (AMC) every 20 s with 2 s of shaking at 700 rpm between reads over 2 h at 25°C (CLARIOstar, BMG Labtech, Ortenberg, Germany).</w:t>
      </w:r>
    </w:p>
    <w:p w14:paraId="056E0FE6" w14:textId="77777777" w:rsidR="004B30BC" w:rsidRPr="006221A6" w:rsidRDefault="004B30BC" w:rsidP="004B30BC"/>
    <w:p w14:paraId="6A6494D0" w14:textId="77777777" w:rsidR="004B30BC" w:rsidRPr="006221A6" w:rsidRDefault="004B30BC" w:rsidP="004B30BC">
      <w:pPr>
        <w:rPr>
          <w:b/>
          <w:bCs/>
          <w:i/>
          <w:iCs/>
        </w:rPr>
      </w:pPr>
      <w:r w:rsidRPr="006221A6">
        <w:rPr>
          <w:b/>
          <w:bCs/>
          <w:i/>
          <w:iCs/>
        </w:rPr>
        <w:lastRenderedPageBreak/>
        <w:t>Bioirrigation</w:t>
      </w:r>
    </w:p>
    <w:p w14:paraId="2FADDA7D" w14:textId="77777777" w:rsidR="004B30BC" w:rsidRDefault="004B30BC" w:rsidP="004B30BC">
      <w:r>
        <w:t xml:space="preserve">One important aspect of bioturbation is bioirrigation caused by burrow ventilation of infauna </w:t>
      </w:r>
      <w:r w:rsidRPr="00B174DD">
        <w:fldChar w:fldCharType="begin"/>
      </w:r>
      <w:r w:rsidRPr="00B174DD">
        <w:instrText>ADDIN BEC{Kristensen et al., 2012 #27301}</w:instrText>
      </w:r>
      <w:r w:rsidRPr="00B174DD">
        <w:fldChar w:fldCharType="separate"/>
      </w:r>
      <w:r w:rsidRPr="00B174DD">
        <w:t>(Kristensen et al. 2012)</w:t>
      </w:r>
      <w:r w:rsidRPr="00B174DD">
        <w:fldChar w:fldCharType="end"/>
      </w:r>
      <w:r>
        <w:t xml:space="preserve">. We measured the downward flux of water using the fluorophore uranine (sodium fluorescein, </w:t>
      </w:r>
      <w:r w:rsidRPr="000C13C1">
        <w:t>F6377</w:t>
      </w:r>
      <w:r>
        <w:t xml:space="preserve">, Merck, </w:t>
      </w:r>
      <w:r w:rsidRPr="006221A6">
        <w:t>Darmstadt, Germany</w:t>
      </w:r>
      <w:r>
        <w:t xml:space="preserve">) as a tracer </w:t>
      </w:r>
      <w:r w:rsidRPr="000C13C1">
        <w:fldChar w:fldCharType="begin"/>
      </w:r>
      <w:r w:rsidRPr="000C13C1">
        <w:instrText>ADDIN BEC{Borger et al., 2020 #82789; Pascal et al., 2019 #95740}</w:instrText>
      </w:r>
      <w:r w:rsidRPr="000C13C1">
        <w:fldChar w:fldCharType="separate"/>
      </w:r>
      <w:r w:rsidRPr="000C13C1">
        <w:t>(Pascal et al. 2019, Borger et al. 2020)</w:t>
      </w:r>
      <w:r w:rsidRPr="000C13C1">
        <w:fldChar w:fldCharType="end"/>
      </w:r>
      <w:r>
        <w:t>. Typically, an initial concentration of 10 µg L</w:t>
      </w:r>
      <w:r w:rsidRPr="00EB5A26">
        <w:rPr>
          <w:vertAlign w:val="superscript"/>
        </w:rPr>
        <w:t>−1</w:t>
      </w:r>
      <w:r>
        <w:t xml:space="preserve"> is used </w:t>
      </w:r>
      <w:r w:rsidRPr="00EB5A26">
        <w:fldChar w:fldCharType="begin"/>
      </w:r>
      <w:r w:rsidRPr="00EB5A26">
        <w:instrText>ADDIN BEC{Borger et al., 2020 #82789; Pascal et al., 2019 #95740}</w:instrText>
      </w:r>
      <w:r w:rsidRPr="00EB5A26">
        <w:fldChar w:fldCharType="separate"/>
      </w:r>
      <w:r w:rsidRPr="00EB5A26">
        <w:t>(Pascal et al. 2019, Borger et al. 2020)</w:t>
      </w:r>
      <w:r w:rsidRPr="00EB5A26">
        <w:fldChar w:fldCharType="end"/>
      </w:r>
      <w:r>
        <w:t>. Since the headwater volume is approximately 1.57 L, we made up a 1 mg mL</w:t>
      </w:r>
      <w:r w:rsidRPr="00EB5A26">
        <w:rPr>
          <w:vertAlign w:val="superscript"/>
        </w:rPr>
        <w:t>−1</w:t>
      </w:r>
      <w:r>
        <w:t xml:space="preserve"> stock solution in ultrapure water of which 15.7 µL was pipetted into the headwater. After briefly allowing for mixing, 1 mL of seawater was then regularly sampled in 1 or 1.5 h intervals over four timepoints. These samples were stored in the same manner as the enzyme samples. 200 µL of each sample and uranine standard solutions between 0 and 20 µg L</w:t>
      </w:r>
      <w:r w:rsidRPr="00EB5A26">
        <w:rPr>
          <w:vertAlign w:val="superscript"/>
        </w:rPr>
        <w:t>−1</w:t>
      </w:r>
      <w:r>
        <w:t xml:space="preserve"> were added to </w:t>
      </w:r>
      <w:r w:rsidRPr="006221A6">
        <w:t>a black 96-well microplate (655076, Greiner Bio-One, Kremsmünster, Austria)</w:t>
      </w:r>
      <w:r>
        <w:t xml:space="preserve"> and measured once at 490 nm excitation and 520 nm emission (CLARIOstar, BMG Labtech, Ortenberg, Germany).</w:t>
      </w:r>
    </w:p>
    <w:p w14:paraId="3BA3A89B" w14:textId="77777777" w:rsidR="004B30BC" w:rsidRPr="00256DE8" w:rsidRDefault="004B30BC" w:rsidP="004B30BC"/>
    <w:p w14:paraId="108808D2" w14:textId="77777777" w:rsidR="004B30BC" w:rsidRPr="00256DE8" w:rsidRDefault="004B30BC" w:rsidP="004B30BC">
      <w:pPr>
        <w:rPr>
          <w:b/>
          <w:bCs/>
          <w:i/>
          <w:iCs/>
        </w:rPr>
      </w:pPr>
      <w:r w:rsidRPr="00256DE8">
        <w:rPr>
          <w:b/>
          <w:bCs/>
          <w:i/>
          <w:iCs/>
        </w:rPr>
        <w:t>Sediment sampling</w:t>
      </w:r>
    </w:p>
    <w:p w14:paraId="4DC710D8" w14:textId="77777777" w:rsidR="004B30BC" w:rsidRPr="00256DE8" w:rsidRDefault="004B30BC" w:rsidP="004B30BC">
      <w:r>
        <w:t xml:space="preserve">On each sampling day, headwater was carefully drained using a siphon without removing particulates and the core frozen at </w:t>
      </w:r>
      <w:r w:rsidRPr="006221A6">
        <w:t>−20°C</w:t>
      </w:r>
      <w:r>
        <w:t>. Sediment cores in Australia and the UK were then processed differently. P</w:t>
      </w:r>
      <w:r w:rsidRPr="00E95B3C">
        <w:t>olyvinyl chloride</w:t>
      </w:r>
      <w:r>
        <w:t xml:space="preserve"> pipes were cut lengthwise on opposing sides using a handheld, depth-adjustable circular saw. The exposed frozen core was then sliced into 1-cm horizons using a hacksaw and knife, working from the bottom to the top to minimise accidental carryover of labelled kelp from the surface layer. </w:t>
      </w:r>
      <w:r w:rsidRPr="00256DE8">
        <w:t xml:space="preserve">Slices were </w:t>
      </w:r>
      <w:r>
        <w:t xml:space="preserve">bagged and refrozen before being </w:t>
      </w:r>
      <w:r w:rsidRPr="00256DE8">
        <w:t>lyophilised</w:t>
      </w:r>
      <w:r>
        <w:t xml:space="preserve"> (FreeZone 2.5 L, Labconco, Kansas City, USA). For acrylic pipes, cores were thawed, pushed out at 1-cm increments using a custom-made piston screw and sliced with a spatula. Since the core could not be sliced from bottom to top, care was taken to clean the spatula with ultrapure water between horizons. Horizons were bagged as before and oven dried at 60°C for several days before freeze-drying. Dried horizons were weighed in the bag (d = 0.1 mg, Sartorius,</w:t>
      </w:r>
      <w:r w:rsidRPr="00614427">
        <w:t xml:space="preserve"> </w:t>
      </w:r>
      <w:r>
        <w:t>Göttingen, Germany or …) and the mass adjusted by the mean mass of empty bags.</w:t>
      </w:r>
    </w:p>
    <w:p w14:paraId="68DDFCEB" w14:textId="77777777" w:rsidR="004B30BC" w:rsidRPr="00256DE8" w:rsidRDefault="004B30BC" w:rsidP="004B30BC"/>
    <w:p w14:paraId="273CA408" w14:textId="77777777" w:rsidR="004B30BC" w:rsidRPr="00256DE8" w:rsidRDefault="004B30BC" w:rsidP="004B30BC">
      <w:pPr>
        <w:rPr>
          <w:b/>
          <w:bCs/>
          <w:i/>
          <w:iCs/>
        </w:rPr>
      </w:pPr>
      <w:r w:rsidRPr="00256DE8">
        <w:rPr>
          <w:b/>
          <w:bCs/>
          <w:i/>
          <w:iCs/>
        </w:rPr>
        <w:t>Granulometry</w:t>
      </w:r>
    </w:p>
    <w:p w14:paraId="5C6D8685" w14:textId="77777777" w:rsidR="004B30BC" w:rsidRPr="00EA729C" w:rsidRDefault="004B30BC" w:rsidP="004B30BC">
      <w:r>
        <w:t xml:space="preserve">Sediment granulometry was measured using laser diffraction. A triplicate of fresh sediment slurry left over from slicing the UK baseline cores was analysed as it was thought to be representative of several cores </w:t>
      </w:r>
      <w:r w:rsidRPr="00EA729C">
        <w:t xml:space="preserve">across horizons. After brief sonication (FB15046, Thermo Fisher Scientific, Waltham, USA), the slurry was injected into </w:t>
      </w:r>
      <w:r>
        <w:t>the v</w:t>
      </w:r>
      <w:r w:rsidRPr="00EA729C">
        <w:t xml:space="preserve">ariable </w:t>
      </w:r>
      <w:r>
        <w:t>s</w:t>
      </w:r>
      <w:r w:rsidRPr="00EA729C">
        <w:t xml:space="preserve">peed </w:t>
      </w:r>
      <w:r>
        <w:t>f</w:t>
      </w:r>
      <w:r w:rsidRPr="00EA729C">
        <w:t xml:space="preserve">luid </w:t>
      </w:r>
      <w:r>
        <w:t>m</w:t>
      </w:r>
      <w:r w:rsidRPr="00EA729C">
        <w:t xml:space="preserve">odule </w:t>
      </w:r>
      <w:r>
        <w:t xml:space="preserve">of </w:t>
      </w:r>
      <w:r w:rsidRPr="00EA729C">
        <w:t xml:space="preserve">the particle sizer (LS </w:t>
      </w:r>
      <w:r>
        <w:t xml:space="preserve">200, Beckman </w:t>
      </w:r>
      <w:r w:rsidRPr="00EA729C">
        <w:t>Coulter</w:t>
      </w:r>
      <w:r>
        <w:t>, Brea, USA</w:t>
      </w:r>
      <w:r w:rsidRPr="00EA729C">
        <w:t>).</w:t>
      </w:r>
      <w:r>
        <w:t xml:space="preserve"> In Australia, sediment was sized after lyophilisation to ascertain a depth trend in granulometry. Dry samples were briefly sonicated in a bath with dispersant (…) and analysed in technical triplicates (Mastersizer 2000, Malvern Panalytical, Malvern, UK).</w:t>
      </w:r>
    </w:p>
    <w:p w14:paraId="70CE7E52" w14:textId="77777777" w:rsidR="004B30BC" w:rsidRPr="00256DE8" w:rsidRDefault="004B30BC" w:rsidP="004B30BC"/>
    <w:p w14:paraId="3CD1001B" w14:textId="77777777" w:rsidR="004B30BC" w:rsidRPr="00256DE8" w:rsidRDefault="004B30BC" w:rsidP="004B30BC">
      <w:pPr>
        <w:rPr>
          <w:b/>
          <w:bCs/>
          <w:i/>
          <w:iCs/>
        </w:rPr>
      </w:pPr>
      <w:r w:rsidRPr="00256DE8">
        <w:rPr>
          <w:b/>
          <w:bCs/>
          <w:i/>
          <w:iCs/>
        </w:rPr>
        <w:t>Acidification</w:t>
      </w:r>
    </w:p>
    <w:p w14:paraId="38FDF070" w14:textId="77777777" w:rsidR="004B30BC" w:rsidRDefault="004B30BC" w:rsidP="004B30BC">
      <w:r>
        <w:t>Dried sediment samples were milled using a puck grinder (…). The grinding bowl was cleaned with silica sand and 100% ethanol between cores and, as with slicing, care was taken to grind from bottom to top within cores. Powdered sediment samples were stored in sealed bags at room temperature before being acidified. For acidification, approximately 1 g of powder was weighed into a 50-mL centrifuge tubes of known mass (d = 0.1 mg, Sartorius,</w:t>
      </w:r>
      <w:r w:rsidRPr="00614427">
        <w:t xml:space="preserve"> </w:t>
      </w:r>
      <w:r>
        <w:t>Göttingen, Germany) and 20 mL of 1 M HCl (enough to acidify 1 g CaCO</w:t>
      </w:r>
      <w:r w:rsidRPr="00007302">
        <w:rPr>
          <w:vertAlign w:val="subscript"/>
        </w:rPr>
        <w:t>3</w:t>
      </w:r>
      <w:r>
        <w:t>) was added using a bottle top dispenser (Fortuna Optifix Basic, Poulten &amp; Graf, Wertheim, Germany) and vortexed. Samples were left to react overnight and vortexed again. After centrifuging at 3600</w:t>
      </w:r>
      <w:r w:rsidRPr="00CA37D8">
        <w:t>×</w:t>
      </w:r>
      <w:r w:rsidRPr="00CA37D8">
        <w:rPr>
          <w:i/>
          <w:iCs/>
        </w:rPr>
        <w:t>g</w:t>
      </w:r>
      <w:r>
        <w:t xml:space="preserve"> for 5 min, the supernatant was carefully decanted and the previous step repeated. This was followed by two washing steps with 20 mL of ultrapure water. The removed </w:t>
      </w:r>
      <w:r>
        <w:lastRenderedPageBreak/>
        <w:t>supernatant for the silt samples had a rich yellow colour, leading us to believe that the acid washes were removing some organic substances as well as inorganic carbon. We therefore retained some unacidified samples for stable isotope analysis. Acidified pellets were lyophilised in their centrifuge tubes (FreeZone 8 L, Labconco, Kansas City, USA) and reweighed. Residual mass was calculated by subtracting the known empty tube mass.</w:t>
      </w:r>
    </w:p>
    <w:p w14:paraId="00FDD05C" w14:textId="77777777" w:rsidR="004B30BC" w:rsidRPr="00256DE8" w:rsidRDefault="004B30BC" w:rsidP="004B30BC"/>
    <w:p w14:paraId="242EFA78" w14:textId="77777777" w:rsidR="004B30BC" w:rsidRPr="00256DE8" w:rsidRDefault="004B30BC" w:rsidP="004B30BC">
      <w:pPr>
        <w:rPr>
          <w:b/>
          <w:bCs/>
          <w:i/>
          <w:iCs/>
        </w:rPr>
      </w:pPr>
      <w:commentRangeStart w:id="6"/>
      <w:r w:rsidRPr="00256DE8">
        <w:rPr>
          <w:b/>
          <w:bCs/>
          <w:i/>
          <w:iCs/>
        </w:rPr>
        <w:t>Stable isotope analysis</w:t>
      </w:r>
      <w:commentRangeEnd w:id="6"/>
      <w:r w:rsidRPr="00256DE8">
        <w:rPr>
          <w:rStyle w:val="CommentReference"/>
          <w:b/>
          <w:bCs/>
          <w:i/>
          <w:iCs/>
          <w:sz w:val="24"/>
          <w:szCs w:val="24"/>
        </w:rPr>
        <w:commentReference w:id="6"/>
      </w:r>
    </w:p>
    <w:p w14:paraId="394B850B" w14:textId="77777777" w:rsidR="004B30BC" w:rsidRDefault="004B30BC" w:rsidP="004B30BC">
      <w:r>
        <w:t>Powdered and acidified sediment samples were weighed into tin capsules (d = 1 µg, Sartorius,</w:t>
      </w:r>
      <w:r w:rsidRPr="00614427">
        <w:t xml:space="preserve"> </w:t>
      </w:r>
      <w:r>
        <w:t>Göttingen, Germany) and analysed on an isotope ratio mass spectrometer (Sercon) at the West Australian Biogeochemistry Centre.</w:t>
      </w:r>
    </w:p>
    <w:p w14:paraId="213BC5DC" w14:textId="77777777" w:rsidR="004B30BC" w:rsidRPr="00256DE8" w:rsidRDefault="004B30BC" w:rsidP="004B30BC"/>
    <w:p w14:paraId="0D225667" w14:textId="77777777" w:rsidR="004B30BC" w:rsidRPr="00256DE8" w:rsidRDefault="004B30BC" w:rsidP="004B30BC">
      <w:pPr>
        <w:rPr>
          <w:b/>
          <w:bCs/>
          <w:i/>
          <w:iCs/>
        </w:rPr>
      </w:pPr>
      <w:r w:rsidRPr="00256DE8">
        <w:rPr>
          <w:b/>
          <w:bCs/>
          <w:i/>
          <w:iCs/>
        </w:rPr>
        <w:t>Mixing model</w:t>
      </w:r>
    </w:p>
    <w:p w14:paraId="795959D9" w14:textId="77777777" w:rsidR="004B30BC" w:rsidRPr="00256DE8" w:rsidRDefault="004B30BC" w:rsidP="004B30BC">
      <w:r w:rsidRPr="00256DE8">
        <w:t>Mixing mechanics allows for the calculation of the proportional carbon contribution of sources to a mixture given source and mixture δ</w:t>
      </w:r>
      <w:r w:rsidRPr="00256DE8">
        <w:rPr>
          <w:vertAlign w:val="superscript"/>
        </w:rPr>
        <w:t>13</w:t>
      </w:r>
      <w:r w:rsidRPr="00256DE8">
        <w:t xml:space="preserve">C </w:t>
      </w:r>
      <w:r w:rsidRPr="00256DE8">
        <w:fldChar w:fldCharType="begin"/>
      </w:r>
      <w:r w:rsidRPr="00256DE8">
        <w:instrText>ADDIN BEC{Fry, 2006 #71124}</w:instrText>
      </w:r>
      <w:r w:rsidRPr="00256DE8">
        <w:fldChar w:fldCharType="separate"/>
      </w:r>
      <w:r w:rsidRPr="00256DE8">
        <w:t>(Fry 2006)</w:t>
      </w:r>
      <w:r w:rsidRPr="00256DE8">
        <w:fldChar w:fldCharType="end"/>
      </w:r>
      <w:r w:rsidRPr="00256DE8">
        <w:t xml:space="preserve">. Here we are concerned with the simplest case: a two-component mixture. The first source is baseline sediment which is itself a mixture of a variety of carbon sources (e.g. seagrass, seaweed and terrestrial plant material). The second source is added kelp. We labelled kelp with </w:t>
      </w:r>
      <w:r w:rsidRPr="00256DE8">
        <w:rPr>
          <w:vertAlign w:val="superscript"/>
        </w:rPr>
        <w:t>13</w:t>
      </w:r>
      <w:r w:rsidRPr="00256DE8">
        <w:t>C to achieve δ</w:t>
      </w:r>
      <w:r w:rsidRPr="00256DE8">
        <w:rPr>
          <w:vertAlign w:val="superscript"/>
        </w:rPr>
        <w:t>13</w:t>
      </w:r>
      <w:r w:rsidRPr="00256DE8">
        <w:t xml:space="preserve">C well above the levels found in baseline sediment (cf. Tables 1 and 2). This allows clear distinction of kelp from all other carbon sources. The fraction </w:t>
      </w:r>
      <w:r w:rsidRPr="00256DE8">
        <w:rPr>
          <w:i/>
          <w:iCs/>
        </w:rPr>
        <w:t>f</w:t>
      </w:r>
      <w:r w:rsidRPr="00256DE8">
        <w:t xml:space="preserve"> of kelp carbon can be calculated from the δ</w:t>
      </w:r>
      <w:r w:rsidRPr="00256DE8">
        <w:rPr>
          <w:vertAlign w:val="superscript"/>
        </w:rPr>
        <w:t>13</w:t>
      </w:r>
      <w:r w:rsidRPr="00256DE8">
        <w:t>C values (</w:t>
      </w:r>
      <w:r w:rsidRPr="00256DE8">
        <w:rPr>
          <w:i/>
          <w:iCs/>
        </w:rPr>
        <w:t>δ</w:t>
      </w:r>
      <w:r w:rsidRPr="00256DE8">
        <w:t xml:space="preserve">) of the kelp–sediment mixture </w:t>
      </w:r>
      <w:r w:rsidRPr="00256DE8">
        <w:rPr>
          <w:i/>
          <w:iCs/>
        </w:rPr>
        <w:t>M</w:t>
      </w:r>
      <w:r w:rsidRPr="00256DE8">
        <w:t xml:space="preserve">, kelp </w:t>
      </w:r>
      <w:r w:rsidRPr="00256DE8">
        <w:rPr>
          <w:i/>
          <w:iCs/>
        </w:rPr>
        <w:t>K</w:t>
      </w:r>
      <w:r w:rsidRPr="00256DE8">
        <w:t xml:space="preserve"> (Table 1) and sediment </w:t>
      </w:r>
      <w:r w:rsidRPr="00256DE8">
        <w:rPr>
          <w:i/>
          <w:iCs/>
        </w:rPr>
        <w:t>S</w:t>
      </w:r>
      <w:r w:rsidRPr="00256DE8">
        <w:t xml:space="preserve"> (Table 2) using the equation</w:t>
      </w:r>
    </w:p>
    <w:p w14:paraId="73D8CF04" w14:textId="77777777" w:rsidR="004B30BC" w:rsidRPr="00256DE8" w:rsidRDefault="004B30BC" w:rsidP="004B30BC"/>
    <w:p w14:paraId="5F8ACFF3" w14:textId="77777777" w:rsidR="004B30BC" w:rsidRPr="00256DE8" w:rsidRDefault="004B30BC" w:rsidP="004B30BC">
      <w:pPr>
        <w:tabs>
          <w:tab w:val="right" w:pos="9026"/>
        </w:tabs>
        <w:rPr>
          <w:rFonts w:eastAsiaTheme="minorEastAsia"/>
          <w:lang w:bidi="he-IL"/>
        </w:rPr>
      </w:pPr>
      <m:oMath>
        <m:r>
          <w:rPr>
            <w:rFonts w:ascii="Cambria Math" w:hAnsi="Cambria Math"/>
          </w:rPr>
          <m:t>f=</m:t>
        </m:r>
        <m:f>
          <m:fPr>
            <m:ctrlPr>
              <w:rPr>
                <w:rFonts w:ascii="Cambria Math" w:hAnsi="Cambria Math"/>
                <w:i/>
              </w:rPr>
            </m:ctrlPr>
          </m:fPr>
          <m:num>
            <m:sSub>
              <m:sSubPr>
                <m:ctrlPr>
                  <w:rPr>
                    <w:rFonts w:ascii="Cambria Math" w:hAnsi="Cambria Math"/>
                    <w:i/>
                  </w:rPr>
                </m:ctrlPr>
              </m:sSubPr>
              <m:e>
                <m:r>
                  <w:rPr>
                    <w:rFonts w:ascii="Cambria Math" w:hAnsi="Cambria Math"/>
                  </w:rPr>
                  <m:t>δ</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S</m:t>
                </m:r>
              </m:sub>
            </m:sSub>
          </m:num>
          <m:den>
            <m:sSub>
              <m:sSubPr>
                <m:ctrlPr>
                  <w:rPr>
                    <w:rFonts w:ascii="Cambria Math" w:hAnsi="Cambria Math"/>
                    <w:i/>
                  </w:rPr>
                </m:ctrlPr>
              </m:sSubPr>
              <m:e>
                <m:r>
                  <w:rPr>
                    <w:rFonts w:ascii="Cambria Math" w:hAnsi="Cambria Math"/>
                  </w:rPr>
                  <m:t>δ</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S</m:t>
                </m:r>
              </m:sub>
            </m:sSub>
          </m:den>
        </m:f>
        <m:r>
          <w:rPr>
            <w:rFonts w:ascii="Cambria Math" w:eastAsiaTheme="minorEastAsia" w:hAnsi="Cambria Math"/>
            <w:lang w:bidi="he-IL"/>
          </w:rPr>
          <m:t xml:space="preserve"> </m:t>
        </m:r>
      </m:oMath>
      <w:r w:rsidRPr="00256DE8">
        <w:rPr>
          <w:rFonts w:eastAsiaTheme="minorEastAsia"/>
          <w:lang w:bidi="he-IL"/>
        </w:rPr>
        <w:tab/>
        <w:t>(1)</w:t>
      </w:r>
    </w:p>
    <w:p w14:paraId="6B589516" w14:textId="77777777" w:rsidR="004B30BC" w:rsidRPr="00256DE8" w:rsidRDefault="004B30BC" w:rsidP="004B30BC"/>
    <w:p w14:paraId="405C57D7" w14:textId="77777777" w:rsidR="004B30BC" w:rsidRPr="00256DE8" w:rsidRDefault="004B30BC" w:rsidP="004B30BC">
      <w:r w:rsidRPr="00256DE8">
        <w:t xml:space="preserve">which is derived from mass balance </w:t>
      </w:r>
      <w:r w:rsidRPr="00256DE8">
        <w:fldChar w:fldCharType="begin"/>
      </w:r>
      <w:r w:rsidRPr="00256DE8">
        <w:instrText>ADDIN BEC{Fry, 2006 #71124}</w:instrText>
      </w:r>
      <w:r w:rsidRPr="00256DE8">
        <w:fldChar w:fldCharType="separate"/>
      </w:r>
      <w:r w:rsidRPr="00256DE8">
        <w:t>(Fry 2006)</w:t>
      </w:r>
      <w:r w:rsidRPr="00256DE8">
        <w:fldChar w:fldCharType="end"/>
      </w:r>
      <w:r w:rsidRPr="00256DE8">
        <w:t xml:space="preserve">. For comparison, the expected fraction </w:t>
      </w:r>
      <w:r w:rsidRPr="00256DE8">
        <w:rPr>
          <w:i/>
          <w:iCs/>
        </w:rPr>
        <w:t>f</w:t>
      </w:r>
      <w:r w:rsidRPr="00256DE8">
        <w:rPr>
          <w:i/>
          <w:iCs/>
          <w:vertAlign w:val="subscript"/>
        </w:rPr>
        <w:t>E</w:t>
      </w:r>
      <w:r w:rsidRPr="00256DE8">
        <w:t xml:space="preserve"> of kelp carbon in the top horizon at the time of influx may be calculated as</w:t>
      </w:r>
    </w:p>
    <w:p w14:paraId="31A2ADB2" w14:textId="77777777" w:rsidR="004B30BC" w:rsidRPr="00256DE8" w:rsidRDefault="004B30BC" w:rsidP="004B30BC"/>
    <w:p w14:paraId="48EE504B" w14:textId="77777777" w:rsidR="004B30BC" w:rsidRPr="00256DE8" w:rsidRDefault="004B30BC" w:rsidP="004B30BC">
      <w:pPr>
        <w:tabs>
          <w:tab w:val="right" w:pos="9026"/>
        </w:tabs>
        <w:rPr>
          <w:rFonts w:eastAsiaTheme="minorEastAsia"/>
          <w:lang w:bidi="he-IL"/>
        </w:rPr>
      </w:pPr>
      <m:oMath>
        <m:sSub>
          <m:sSubPr>
            <m:ctrlPr>
              <w:rPr>
                <w:rFonts w:ascii="Cambria Math" w:hAnsi="Cambria Math"/>
                <w:i/>
              </w:rPr>
            </m:ctrlPr>
          </m:sSubPr>
          <m:e>
            <m:r>
              <w:rPr>
                <w:rFonts w:ascii="Cambria Math" w:hAnsi="Cambria Math"/>
              </w:rPr>
              <m:t>f</m:t>
            </m:r>
          </m:e>
          <m:sub>
            <m:r>
              <w:rPr>
                <w:rFonts w:ascii="Cambria Math" w:hAnsi="Cambria Math"/>
              </w:rPr>
              <m:t>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r>
                  <w:rPr>
                    <w:rFonts w:ascii="Cambria Math" w:hAnsi="Cambria Math"/>
                  </w:rPr>
                  <m:t>c</m:t>
                </m:r>
              </m:e>
              <m:sub>
                <m:r>
                  <w:rPr>
                    <w:rFonts w:ascii="Cambria Math" w:hAnsi="Cambria Math"/>
                  </w:rPr>
                  <m:t>K</m:t>
                </m:r>
              </m:sub>
            </m:sSub>
          </m:num>
          <m:den>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S</m:t>
                </m:r>
              </m:sub>
            </m:sSub>
            <m:sSub>
              <m:sSubPr>
                <m:ctrlPr>
                  <w:rPr>
                    <w:rFonts w:ascii="Cambria Math" w:hAnsi="Cambria Math"/>
                    <w:i/>
                  </w:rPr>
                </m:ctrlPr>
              </m:sSubPr>
              <m:e>
                <m:r>
                  <w:rPr>
                    <w:rFonts w:ascii="Cambria Math" w:hAnsi="Cambria Math"/>
                  </w:rPr>
                  <m:t>c</m:t>
                </m:r>
              </m:e>
              <m:sub>
                <m:r>
                  <w:rPr>
                    <w:rFonts w:ascii="Cambria Math" w:hAnsi="Cambria Math"/>
                  </w:rPr>
                  <m:t>S</m:t>
                </m:r>
              </m:sub>
            </m:sSub>
          </m:den>
        </m:f>
        <m:r>
          <w:rPr>
            <w:rFonts w:ascii="Cambria Math" w:eastAsiaTheme="minorEastAsia" w:hAnsi="Cambria Math"/>
            <w:lang w:bidi="he-IL"/>
          </w:rPr>
          <m:t xml:space="preserve"> </m:t>
        </m:r>
      </m:oMath>
      <w:r w:rsidRPr="00256DE8">
        <w:rPr>
          <w:rFonts w:eastAsiaTheme="minorEastAsia"/>
          <w:lang w:bidi="he-IL"/>
        </w:rPr>
        <w:tab/>
        <w:t>(2)</w:t>
      </w:r>
    </w:p>
    <w:p w14:paraId="798B23C9" w14:textId="77777777" w:rsidR="004B30BC" w:rsidRPr="00256DE8" w:rsidRDefault="004B30BC" w:rsidP="004B30BC"/>
    <w:p w14:paraId="69E8CE5A" w14:textId="77777777" w:rsidR="004B30BC" w:rsidRPr="00256DE8" w:rsidRDefault="004B30BC" w:rsidP="004B30BC">
      <w:r w:rsidRPr="00256DE8">
        <w:t>where</w:t>
      </w:r>
      <w:r w:rsidRPr="00256DE8">
        <w:rPr>
          <w:i/>
          <w:iCs/>
        </w:rPr>
        <w:t xml:space="preserve"> m</w:t>
      </w:r>
      <w:r w:rsidRPr="00256DE8">
        <w:t xml:space="preserve"> and </w:t>
      </w:r>
      <w:r w:rsidRPr="00256DE8">
        <w:rPr>
          <w:i/>
          <w:iCs/>
        </w:rPr>
        <w:t>c</w:t>
      </w:r>
      <w:r w:rsidRPr="00256DE8">
        <w:t xml:space="preserve"> are the dry mass (g) and proportional carbon content of the added kelp </w:t>
      </w:r>
      <w:r w:rsidRPr="00256DE8">
        <w:rPr>
          <w:i/>
          <w:iCs/>
        </w:rPr>
        <w:t>K</w:t>
      </w:r>
      <w:r w:rsidRPr="00256DE8">
        <w:t xml:space="preserve"> or baseline sediment </w:t>
      </w:r>
      <w:r w:rsidRPr="00256DE8">
        <w:rPr>
          <w:i/>
          <w:iCs/>
        </w:rPr>
        <w:t>S</w:t>
      </w:r>
      <w:r w:rsidRPr="00256DE8">
        <w:t xml:space="preserve">. </w:t>
      </w:r>
      <w:r w:rsidRPr="00256DE8">
        <w:rPr>
          <w:i/>
          <w:iCs/>
        </w:rPr>
        <w:t>f</w:t>
      </w:r>
      <w:r w:rsidRPr="00256DE8">
        <w:rPr>
          <w:i/>
          <w:iCs/>
          <w:vertAlign w:val="subscript"/>
        </w:rPr>
        <w:t>E</w:t>
      </w:r>
      <w:r w:rsidRPr="00256DE8">
        <w:t xml:space="preserve"> for all other horizons is simply zero, because kelp settled on top of the sediment.</w:t>
      </w:r>
    </w:p>
    <w:p w14:paraId="234147F6" w14:textId="77777777" w:rsidR="004B30BC" w:rsidRPr="00256DE8" w:rsidRDefault="004B30BC" w:rsidP="004B30BC"/>
    <w:p w14:paraId="1A72661C" w14:textId="77777777" w:rsidR="004B30BC" w:rsidRPr="00256DE8" w:rsidRDefault="004B30BC" w:rsidP="004B30BC">
      <w:pPr>
        <w:rPr>
          <w:b/>
          <w:bCs/>
          <w:i/>
          <w:iCs/>
        </w:rPr>
      </w:pPr>
      <w:r w:rsidRPr="00256DE8">
        <w:rPr>
          <w:b/>
          <w:bCs/>
          <w:i/>
          <w:iCs/>
        </w:rPr>
        <w:t>Decay model</w:t>
      </w:r>
    </w:p>
    <w:p w14:paraId="31C40D6D" w14:textId="77777777" w:rsidR="004B30BC" w:rsidRPr="00256DE8" w:rsidRDefault="004B30BC" w:rsidP="004B30BC">
      <w:r w:rsidRPr="00256DE8">
        <w:t xml:space="preserve">Knowledge of </w:t>
      </w:r>
      <w:r w:rsidRPr="00256DE8">
        <w:rPr>
          <w:i/>
          <w:iCs/>
        </w:rPr>
        <w:t>f</w:t>
      </w:r>
      <w:r w:rsidRPr="00256DE8">
        <w:t xml:space="preserve"> (Equation 1) allows the calculation of the remaining proportion </w:t>
      </w:r>
      <w:r w:rsidRPr="00256DE8">
        <w:rPr>
          <w:i/>
          <w:iCs/>
        </w:rPr>
        <w:t>p</w:t>
      </w:r>
      <w:r w:rsidRPr="00256DE8">
        <w:t xml:space="preserve"> of kelp carbon in each sediment horizon as</w:t>
      </w:r>
    </w:p>
    <w:p w14:paraId="4943CC7D" w14:textId="77777777" w:rsidR="004B30BC" w:rsidRPr="00256DE8" w:rsidRDefault="004B30BC" w:rsidP="004B30BC"/>
    <w:p w14:paraId="4908B299" w14:textId="77777777" w:rsidR="004B30BC" w:rsidRPr="00256DE8" w:rsidRDefault="004B30BC" w:rsidP="004B30BC">
      <w:pPr>
        <w:tabs>
          <w:tab w:val="right" w:pos="9026"/>
        </w:tabs>
        <w:rPr>
          <w:rFonts w:eastAsiaTheme="minorEastAsia"/>
          <w:lang w:bidi="he-IL"/>
        </w:rPr>
      </w:pPr>
      <m:oMath>
        <m:r>
          <w:rPr>
            <w:rFonts w:ascii="Cambria Math" w:hAnsi="Cambria Math"/>
          </w:rPr>
          <m:t>p=</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M</m:t>
                </m:r>
              </m:sub>
            </m:sSub>
            <m:sSub>
              <m:sSubPr>
                <m:ctrlPr>
                  <w:rPr>
                    <w:rFonts w:ascii="Cambria Math" w:hAnsi="Cambria Math"/>
                    <w:i/>
                  </w:rPr>
                </m:ctrlPr>
              </m:sSubPr>
              <m:e>
                <m:r>
                  <w:rPr>
                    <w:rFonts w:ascii="Cambria Math" w:hAnsi="Cambria Math"/>
                  </w:rPr>
                  <m:t>c</m:t>
                </m:r>
              </m:e>
              <m:sub>
                <m:r>
                  <w:rPr>
                    <w:rFonts w:ascii="Cambria Math" w:hAnsi="Cambria Math"/>
                  </w:rPr>
                  <m:t>M</m:t>
                </m:r>
              </m:sub>
            </m:sSub>
            <m:r>
              <w:rPr>
                <w:rFonts w:ascii="Cambria Math" w:hAnsi="Cambria Math"/>
              </w:rPr>
              <m:t>f</m:t>
            </m:r>
          </m:num>
          <m:den>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r>
                  <w:rPr>
                    <w:rFonts w:ascii="Cambria Math" w:hAnsi="Cambria Math"/>
                  </w:rPr>
                  <m:t>c</m:t>
                </m:r>
              </m:e>
              <m:sub>
                <m:r>
                  <w:rPr>
                    <w:rFonts w:ascii="Cambria Math" w:hAnsi="Cambria Math"/>
                  </w:rPr>
                  <m:t>K</m:t>
                </m:r>
              </m:sub>
            </m:sSub>
          </m:den>
        </m:f>
      </m:oMath>
      <w:r w:rsidRPr="00256DE8">
        <w:rPr>
          <w:rFonts w:eastAsiaTheme="minorEastAsia"/>
          <w:lang w:bidi="he-IL"/>
        </w:rPr>
        <w:tab/>
        <w:t>(3)</w:t>
      </w:r>
    </w:p>
    <w:p w14:paraId="6DB87397" w14:textId="77777777" w:rsidR="004B30BC" w:rsidRPr="00256DE8" w:rsidRDefault="004B30BC" w:rsidP="004B30BC"/>
    <w:p w14:paraId="58376A28" w14:textId="77777777" w:rsidR="004B30BC" w:rsidRPr="00256DE8" w:rsidRDefault="004B30BC" w:rsidP="004B30BC">
      <w:r w:rsidRPr="00256DE8">
        <w:t xml:space="preserve">where </w:t>
      </w:r>
      <w:r w:rsidRPr="00256DE8">
        <w:rPr>
          <w:i/>
          <w:iCs/>
        </w:rPr>
        <w:t>m</w:t>
      </w:r>
      <w:r w:rsidRPr="00256DE8">
        <w:t xml:space="preserve"> and </w:t>
      </w:r>
      <w:r w:rsidRPr="00256DE8">
        <w:rPr>
          <w:i/>
          <w:iCs/>
        </w:rPr>
        <w:t>c</w:t>
      </w:r>
      <w:r w:rsidRPr="00256DE8">
        <w:t xml:space="preserve"> are the dry mass (g) and proportional carbon content of the kelp–sediment mixture </w:t>
      </w:r>
      <w:r w:rsidRPr="00256DE8">
        <w:rPr>
          <w:i/>
          <w:iCs/>
        </w:rPr>
        <w:t>M</w:t>
      </w:r>
      <w:r w:rsidRPr="00256DE8">
        <w:t xml:space="preserve"> or added kelp </w:t>
      </w:r>
      <w:r w:rsidRPr="00256DE8">
        <w:rPr>
          <w:i/>
          <w:iCs/>
        </w:rPr>
        <w:t>K</w:t>
      </w:r>
      <w:r w:rsidRPr="00256DE8">
        <w:t xml:space="preserve">. The expected remaining proportion </w:t>
      </w:r>
      <w:r w:rsidRPr="00256DE8">
        <w:rPr>
          <w:i/>
          <w:iCs/>
        </w:rPr>
        <w:t>p</w:t>
      </w:r>
      <w:r w:rsidRPr="00256DE8">
        <w:rPr>
          <w:i/>
          <w:iCs/>
          <w:vertAlign w:val="subscript"/>
        </w:rPr>
        <w:t>E</w:t>
      </w:r>
      <w:r w:rsidRPr="00256DE8">
        <w:t xml:space="preserve"> at the time of influx is simply one for the top horizon where all kelp settled and zero for all other horizons. The sum Σ </w:t>
      </w:r>
      <w:r w:rsidRPr="00256DE8">
        <w:rPr>
          <w:i/>
          <w:iCs/>
        </w:rPr>
        <w:t>p</w:t>
      </w:r>
      <w:r w:rsidRPr="00256DE8">
        <w:t xml:space="preserve"> across horizons yields the proportion of kelp carbon remaining in the sediment core. The decay of this quantity was modelled as</w:t>
      </w:r>
    </w:p>
    <w:p w14:paraId="60F05593" w14:textId="77777777" w:rsidR="004B30BC" w:rsidRPr="00256DE8" w:rsidRDefault="004B30BC" w:rsidP="004B30BC"/>
    <w:p w14:paraId="7F0FC875" w14:textId="77777777" w:rsidR="004B30BC" w:rsidRPr="00256DE8" w:rsidRDefault="004B30BC" w:rsidP="004B30BC">
      <w:pPr>
        <w:tabs>
          <w:tab w:val="right" w:pos="9026"/>
        </w:tabs>
        <w:rPr>
          <w:rFonts w:eastAsiaTheme="minorEastAsia"/>
          <w:lang w:bidi="he-IL"/>
        </w:rPr>
      </w:pP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p</m:t>
                </m:r>
              </m:e>
              <m:sub>
                <m:r>
                  <w:rPr>
                    <w:rFonts w:ascii="Cambria Math" w:hAnsi="Cambria Math"/>
                  </w:rPr>
                  <m:t>i</m:t>
                </m:r>
              </m:sub>
            </m:sSub>
          </m:e>
        </m:nary>
        <m:r>
          <w:rPr>
            <w:rFonts w:ascii="Cambria Math" w:hAnsi="Cambria Math"/>
          </w:rPr>
          <m:t xml:space="preserve">~ </m:t>
        </m:r>
        <m:r>
          <m:rPr>
            <m:sty m:val="p"/>
          </m:rPr>
          <w:rPr>
            <w:rFonts w:ascii="Cambria Math" w:eastAsiaTheme="minorEastAsia" w:hAnsi="Cambria Math"/>
            <w:lang w:bidi="he-IL"/>
          </w:rPr>
          <m:t>Beta</m:t>
        </m:r>
        <m:r>
          <w:rPr>
            <w:rFonts w:ascii="Cambria Math" w:eastAsiaTheme="minorEastAsia" w:hAnsi="Cambria Math"/>
            <w:lang w:bidi="he-IL"/>
          </w:rPr>
          <m:t xml:space="preserve">( </m:t>
        </m:r>
        <m:sSub>
          <m:sSubPr>
            <m:ctrlPr>
              <w:rPr>
                <w:rFonts w:ascii="Cambria Math" w:eastAsiaTheme="minorEastAsia" w:hAnsi="Cambria Math"/>
                <w:i/>
              </w:rPr>
            </m:ctrlPr>
          </m:sSubPr>
          <m:e>
            <m:r>
              <w:rPr>
                <w:rFonts w:ascii="Cambria Math" w:eastAsiaTheme="minorEastAsia" w:hAnsi="Cambria Math"/>
                <w:lang w:bidi="he-IL"/>
              </w:rPr>
              <m:t>μ</m:t>
            </m:r>
          </m:e>
          <m:sub>
            <m:r>
              <w:rPr>
                <w:rFonts w:ascii="Cambria Math" w:eastAsiaTheme="minorEastAsia" w:hAnsi="Cambria Math"/>
                <w:lang w:bidi="he-IL"/>
              </w:rPr>
              <m:t>i</m:t>
            </m:r>
          </m:sub>
        </m:sSub>
        <m:r>
          <w:rPr>
            <w:rFonts w:ascii="Cambria Math" w:eastAsiaTheme="minorEastAsia" w:hAnsi="Cambria Math"/>
            <w:lang w:bidi="he-IL"/>
          </w:rPr>
          <m:t xml:space="preserve">ν , </m:t>
        </m:r>
        <m:d>
          <m:dPr>
            <m:ctrlPr>
              <w:rPr>
                <w:rFonts w:ascii="Cambria Math" w:eastAsiaTheme="minorEastAsia" w:hAnsi="Cambria Math"/>
                <w:i/>
              </w:rPr>
            </m:ctrlPr>
          </m:dPr>
          <m:e>
            <m:r>
              <w:rPr>
                <w:rFonts w:ascii="Cambria Math" w:eastAsiaTheme="minorEastAsia" w:hAnsi="Cambria Math"/>
                <w:lang w:bidi="he-IL"/>
              </w:rPr>
              <m:t>1-</m:t>
            </m:r>
            <m:sSub>
              <m:sSubPr>
                <m:ctrlPr>
                  <w:rPr>
                    <w:rFonts w:ascii="Cambria Math" w:eastAsiaTheme="minorEastAsia" w:hAnsi="Cambria Math"/>
                    <w:i/>
                  </w:rPr>
                </m:ctrlPr>
              </m:sSubPr>
              <m:e>
                <m:r>
                  <w:rPr>
                    <w:rFonts w:ascii="Cambria Math" w:eastAsiaTheme="minorEastAsia" w:hAnsi="Cambria Math"/>
                    <w:lang w:bidi="he-IL"/>
                  </w:rPr>
                  <m:t>μ</m:t>
                </m:r>
              </m:e>
              <m:sub>
                <m:r>
                  <w:rPr>
                    <w:rFonts w:ascii="Cambria Math" w:eastAsiaTheme="minorEastAsia" w:hAnsi="Cambria Math"/>
                    <w:lang w:bidi="he-IL"/>
                  </w:rPr>
                  <m:t>i</m:t>
                </m:r>
              </m:sub>
            </m:sSub>
          </m:e>
        </m:d>
        <m:r>
          <w:rPr>
            <w:rFonts w:ascii="Cambria Math" w:eastAsiaTheme="minorEastAsia" w:hAnsi="Cambria Math"/>
            <w:lang w:bidi="he-IL"/>
          </w:rPr>
          <m:t>ν )</m:t>
        </m:r>
      </m:oMath>
      <w:r w:rsidRPr="00256DE8">
        <w:rPr>
          <w:rFonts w:eastAsiaTheme="minorEastAsia"/>
          <w:lang w:bidi="he-IL"/>
        </w:rPr>
        <w:tab/>
        <w:t>(4)</w:t>
      </w:r>
    </w:p>
    <w:p w14:paraId="1B8A2B77" w14:textId="77777777" w:rsidR="004B30BC" w:rsidRPr="00256DE8" w:rsidRDefault="004B30BC" w:rsidP="004B30BC">
      <w:pPr>
        <w:tabs>
          <w:tab w:val="right" w:pos="9026"/>
        </w:tabs>
        <w:rPr>
          <w:rFonts w:eastAsiaTheme="minorEastAsia"/>
          <w:lang w:bidi="he-IL"/>
        </w:rPr>
      </w:pPr>
      <m:oMath>
        <m:sSub>
          <m:sSubPr>
            <m:ctrlPr>
              <w:rPr>
                <w:rFonts w:ascii="Cambria Math" w:eastAsiaTheme="minorEastAsia" w:hAnsi="Cambria Math"/>
                <w:i/>
              </w:rPr>
            </m:ctrlPr>
          </m:sSubPr>
          <m:e>
            <m:r>
              <w:rPr>
                <w:rFonts w:ascii="Cambria Math" w:eastAsiaTheme="minorEastAsia" w:hAnsi="Cambria Math"/>
                <w:lang w:bidi="he-IL"/>
              </w:rPr>
              <m:t>μ</m:t>
            </m:r>
          </m:e>
          <m:sub>
            <m:r>
              <w:rPr>
                <w:rFonts w:ascii="Cambria Math" w:eastAsiaTheme="minorEastAsia" w:hAnsi="Cambria Math"/>
                <w:lang w:bidi="he-IL"/>
              </w:rPr>
              <m:t>i</m:t>
            </m:r>
          </m:sub>
        </m:sSub>
        <m:r>
          <w:rPr>
            <w:rFonts w:ascii="Cambria Math" w:hAnsi="Cambria Math"/>
          </w:rPr>
          <m:t>=</m:t>
        </m:r>
        <m:d>
          <m:dPr>
            <m:ctrlPr>
              <w:rPr>
                <w:rFonts w:ascii="Cambria Math" w:eastAsiaTheme="minorEastAsia" w:hAnsi="Cambria Math"/>
              </w:rPr>
            </m:ctrlPr>
          </m:dPr>
          <m:e>
            <m:r>
              <m:rPr>
                <m:sty m:val="p"/>
              </m:rPr>
              <w:rPr>
                <w:rFonts w:ascii="Cambria Math" w:eastAsiaTheme="minorEastAsia" w:hAnsi="Cambria Math"/>
                <w:lang w:bidi="he-IL"/>
              </w:rPr>
              <m:t>1-</m:t>
            </m:r>
            <m:sSub>
              <m:sSubPr>
                <m:ctrlPr>
                  <w:rPr>
                    <w:rFonts w:ascii="Cambria Math" w:eastAsiaTheme="minorEastAsia" w:hAnsi="Cambria Math"/>
                    <w:i/>
                  </w:rPr>
                </m:ctrlPr>
              </m:sSubPr>
              <m:e>
                <m:r>
                  <w:rPr>
                    <w:rFonts w:ascii="Cambria Math" w:eastAsiaTheme="minorEastAsia" w:hAnsi="Cambria Math"/>
                    <w:lang w:bidi="he-IL"/>
                  </w:rPr>
                  <m:t>r</m:t>
                </m:r>
              </m:e>
              <m:sub>
                <m:r>
                  <w:rPr>
                    <w:rFonts w:ascii="Cambria Math" w:eastAsiaTheme="minorEastAsia" w:hAnsi="Cambria Math"/>
                    <w:lang w:bidi="he-IL"/>
                  </w:rPr>
                  <m:t>i</m:t>
                </m:r>
              </m:sub>
            </m:sSub>
          </m:e>
        </m:d>
        <m:sSup>
          <m:sSupPr>
            <m:ctrlPr>
              <w:rPr>
                <w:rFonts w:ascii="Cambria Math" w:eastAsiaTheme="minorEastAsia" w:hAnsi="Cambria Math"/>
              </w:rPr>
            </m:ctrlPr>
          </m:sSupPr>
          <m:e>
            <m:r>
              <w:rPr>
                <w:rFonts w:ascii="Cambria Math" w:eastAsiaTheme="minorEastAsia" w:hAnsi="Cambria Math"/>
                <w:lang w:bidi="he-IL"/>
              </w:rPr>
              <m:t>e</m:t>
            </m:r>
          </m:e>
          <m:sup>
            <m:r>
              <w:rPr>
                <w:rFonts w:ascii="Cambria Math" w:eastAsiaTheme="minorEastAsia" w:hAnsi="Cambria Math"/>
                <w:lang w:bidi="he-IL"/>
              </w:rPr>
              <m:t>-</m:t>
            </m:r>
            <m:sSub>
              <m:sSubPr>
                <m:ctrlPr>
                  <w:rPr>
                    <w:rFonts w:ascii="Cambria Math" w:eastAsiaTheme="minorEastAsia" w:hAnsi="Cambria Math"/>
                    <w:i/>
                  </w:rPr>
                </m:ctrlPr>
              </m:sSubPr>
              <m:e>
                <m:r>
                  <w:rPr>
                    <w:rFonts w:ascii="Cambria Math" w:eastAsiaTheme="minorEastAsia" w:hAnsi="Cambria Math"/>
                    <w:lang w:bidi="he-IL"/>
                  </w:rPr>
                  <m:t>k</m:t>
                </m:r>
              </m:e>
              <m:sub>
                <m:r>
                  <w:rPr>
                    <w:rFonts w:ascii="Cambria Math" w:eastAsiaTheme="minorEastAsia" w:hAnsi="Cambria Math"/>
                    <w:lang w:bidi="he-IL"/>
                  </w:rPr>
                  <m:t>i</m:t>
                </m:r>
              </m:sub>
            </m:sSub>
            <m:sSub>
              <m:sSubPr>
                <m:ctrlPr>
                  <w:rPr>
                    <w:rFonts w:ascii="Cambria Math" w:eastAsiaTheme="minorEastAsia" w:hAnsi="Cambria Math"/>
                    <w:i/>
                  </w:rPr>
                </m:ctrlPr>
              </m:sSubPr>
              <m:e>
                <m:r>
                  <w:rPr>
                    <w:rFonts w:ascii="Cambria Math" w:eastAsiaTheme="minorEastAsia" w:hAnsi="Cambria Math"/>
                    <w:lang w:bidi="he-IL"/>
                  </w:rPr>
                  <m:t>t</m:t>
                </m:r>
              </m:e>
              <m:sub>
                <m:r>
                  <w:rPr>
                    <w:rFonts w:ascii="Cambria Math" w:eastAsiaTheme="minorEastAsia" w:hAnsi="Cambria Math"/>
                    <w:lang w:bidi="he-IL"/>
                  </w:rPr>
                  <m:t>i</m:t>
                </m:r>
              </m:sub>
            </m:sSub>
          </m:sup>
        </m:sSup>
        <m:r>
          <w:rPr>
            <w:rFonts w:ascii="Cambria Math" w:eastAsiaTheme="minorEastAsia" w:hAnsi="Cambria Math"/>
            <w:lang w:bidi="he-IL"/>
          </w:rPr>
          <m:t>+</m:t>
        </m:r>
        <m:sSub>
          <m:sSubPr>
            <m:ctrlPr>
              <w:rPr>
                <w:rFonts w:ascii="Cambria Math" w:eastAsiaTheme="minorEastAsia" w:hAnsi="Cambria Math"/>
                <w:i/>
              </w:rPr>
            </m:ctrlPr>
          </m:sSubPr>
          <m:e>
            <m:r>
              <w:rPr>
                <w:rFonts w:ascii="Cambria Math" w:eastAsiaTheme="minorEastAsia" w:hAnsi="Cambria Math"/>
                <w:lang w:bidi="he-IL"/>
              </w:rPr>
              <m:t>r</m:t>
            </m:r>
          </m:e>
          <m:sub>
            <m:r>
              <w:rPr>
                <w:rFonts w:ascii="Cambria Math" w:eastAsiaTheme="minorEastAsia" w:hAnsi="Cambria Math"/>
                <w:lang w:bidi="he-IL"/>
              </w:rPr>
              <m:t>i</m:t>
            </m:r>
          </m:sub>
        </m:sSub>
      </m:oMath>
      <w:r w:rsidRPr="00256DE8">
        <w:rPr>
          <w:rFonts w:eastAsiaTheme="minorEastAsia"/>
          <w:lang w:bidi="he-IL"/>
        </w:rPr>
        <w:tab/>
      </w:r>
    </w:p>
    <w:p w14:paraId="1EB22A8E" w14:textId="77777777" w:rsidR="004B30BC" w:rsidRPr="00256DE8" w:rsidRDefault="004B30BC" w:rsidP="004B30BC">
      <m:oMath>
        <m:func>
          <m:funcPr>
            <m:ctrlPr>
              <w:rPr>
                <w:rFonts w:ascii="Cambria Math" w:eastAsiaTheme="minorEastAsia" w:hAnsi="Cambria Math"/>
                <w:i/>
              </w:rPr>
            </m:ctrlPr>
          </m:funcPr>
          <m:fName>
            <m:r>
              <m:rPr>
                <m:sty m:val="p"/>
              </m:rPr>
              <w:rPr>
                <w:rFonts w:ascii="Cambria Math" w:eastAsiaTheme="minorEastAsia" w:hAnsi="Cambria Math"/>
                <w:lang w:bidi="he-IL"/>
              </w:rPr>
              <m:t>ln</m:t>
            </m:r>
          </m:fName>
          <m:e>
            <m:sSub>
              <m:sSubPr>
                <m:ctrlPr>
                  <w:rPr>
                    <w:rFonts w:ascii="Cambria Math" w:eastAsiaTheme="minorEastAsia" w:hAnsi="Cambria Math"/>
                    <w:i/>
                  </w:rPr>
                </m:ctrlPr>
              </m:sSubPr>
              <m:e>
                <m:r>
                  <w:rPr>
                    <w:rFonts w:ascii="Cambria Math" w:eastAsiaTheme="minorEastAsia" w:hAnsi="Cambria Math"/>
                    <w:lang w:bidi="he-IL"/>
                  </w:rPr>
                  <m:t>k</m:t>
                </m:r>
              </m:e>
              <m:sub>
                <m:r>
                  <w:rPr>
                    <w:rFonts w:ascii="Cambria Math" w:eastAsiaTheme="minorEastAsia" w:hAnsi="Cambria Math"/>
                    <w:lang w:bidi="he-IL"/>
                  </w:rPr>
                  <m:t>i</m:t>
                </m:r>
              </m:sub>
            </m:sSub>
          </m:e>
        </m:func>
        <m:r>
          <w:rPr>
            <w:rFonts w:ascii="Cambria Math" w:hAnsi="Cambria Math"/>
          </w:rPr>
          <m:t>=</m:t>
        </m:r>
        <m:acc>
          <m:accPr>
            <m:chr m:val="̅"/>
            <m:ctrlPr>
              <w:rPr>
                <w:rFonts w:ascii="Cambria Math" w:hAnsi="Cambria Math"/>
                <w:i/>
              </w:rPr>
            </m:ctrlPr>
          </m:accPr>
          <m:e>
            <m:r>
              <w:rPr>
                <w:rFonts w:ascii="Cambria Math" w:hAnsi="Cambria Math"/>
              </w:rPr>
              <m:t>α</m:t>
            </m:r>
          </m:e>
        </m:acc>
        <m:r>
          <w:rPr>
            <w:rFonts w:ascii="Cambria Math" w:hAnsi="Cambria Math"/>
          </w:rPr>
          <m:t>+</m:t>
        </m:r>
        <m:sSub>
          <m:sSubPr>
            <m:ctrlPr>
              <w:rPr>
                <w:rFonts w:ascii="Cambria Math" w:hAnsi="Cambria Math"/>
                <w:i/>
              </w:rPr>
            </m:ctrlPr>
          </m:sSubPr>
          <m:e>
            <m:r>
              <w:rPr>
                <w:rFonts w:ascii="Cambria Math" w:hAnsi="Cambria Math"/>
              </w:rPr>
              <m:t>α</m:t>
            </m:r>
          </m:e>
          <m:sub>
            <m:sSub>
              <m:sSubPr>
                <m:ctrlPr>
                  <w:rPr>
                    <w:rFonts w:ascii="Cambria Math" w:hAnsi="Cambria Math"/>
                    <w:i/>
                  </w:rPr>
                </m:ctrlPr>
              </m:sSubPr>
              <m:e>
                <m:r>
                  <w:rPr>
                    <w:rFonts w:ascii="Cambria Math" w:hAnsi="Cambria Math"/>
                  </w:rPr>
                  <m:t>K</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α</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r>
          <w:rPr>
            <w:rFonts w:ascii="Cambria Math" w:hAnsi="Cambria Math"/>
          </w:rPr>
          <m:t>+β</m:t>
        </m:r>
        <m:sSub>
          <m:sSubPr>
            <m:ctrlPr>
              <w:rPr>
                <w:rFonts w:ascii="Cambria Math" w:hAnsi="Cambria Math"/>
                <w:i/>
              </w:rPr>
            </m:ctrlPr>
          </m:sSubPr>
          <m:e>
            <m:r>
              <w:rPr>
                <w:rFonts w:ascii="Cambria Math" w:hAnsi="Cambria Math"/>
              </w:rPr>
              <m:t>L</m:t>
            </m:r>
          </m:e>
          <m:sub>
            <m:r>
              <w:rPr>
                <w:rFonts w:ascii="Cambria Math" w:hAnsi="Cambria Math"/>
              </w:rPr>
              <m:t>i</m:t>
            </m:r>
          </m:sub>
        </m:sSub>
      </m:oMath>
      <w:r w:rsidRPr="00256DE8">
        <w:t xml:space="preserve"> </w:t>
      </w:r>
    </w:p>
    <w:p w14:paraId="34175783" w14:textId="77777777" w:rsidR="004B30BC" w:rsidRPr="00256DE8" w:rsidRDefault="004B30BC" w:rsidP="004B30BC">
      <m:oMath>
        <m:func>
          <m:funcPr>
            <m:ctrlPr>
              <w:rPr>
                <w:rFonts w:ascii="Cambria Math" w:eastAsiaTheme="minorEastAsia" w:hAnsi="Cambria Math"/>
                <w:i/>
              </w:rPr>
            </m:ctrlPr>
          </m:funcPr>
          <m:fName>
            <m:r>
              <m:rPr>
                <m:sty m:val="p"/>
              </m:rPr>
              <w:rPr>
                <w:rFonts w:ascii="Cambria Math" w:eastAsiaTheme="minorEastAsia" w:hAnsi="Cambria Math"/>
                <w:lang w:bidi="he-IL"/>
              </w:rPr>
              <m:t>logit</m:t>
            </m:r>
          </m:fName>
          <m:e>
            <m:sSub>
              <m:sSubPr>
                <m:ctrlPr>
                  <w:rPr>
                    <w:rFonts w:ascii="Cambria Math" w:eastAsiaTheme="minorEastAsia" w:hAnsi="Cambria Math"/>
                    <w:i/>
                  </w:rPr>
                </m:ctrlPr>
              </m:sSubPr>
              <m:e>
                <m:r>
                  <w:rPr>
                    <w:rFonts w:ascii="Cambria Math" w:eastAsiaTheme="minorEastAsia" w:hAnsi="Cambria Math"/>
                    <w:lang w:bidi="he-IL"/>
                  </w:rPr>
                  <m:t>r</m:t>
                </m:r>
              </m:e>
              <m:sub>
                <m:r>
                  <w:rPr>
                    <w:rFonts w:ascii="Cambria Math" w:eastAsiaTheme="minorEastAsia" w:hAnsi="Cambria Math"/>
                    <w:lang w:bidi="he-IL"/>
                  </w:rPr>
                  <m:t>i</m:t>
                </m:r>
              </m:sub>
            </m:sSub>
          </m:e>
        </m:func>
        <m:r>
          <w:rPr>
            <w:rFonts w:ascii="Cambria Math" w:hAnsi="Cambria Math"/>
          </w:rPr>
          <m:t>=</m:t>
        </m:r>
        <m:acc>
          <m:accPr>
            <m:chr m:val="̅"/>
            <m:ctrlPr>
              <w:rPr>
                <w:rFonts w:ascii="Cambria Math" w:hAnsi="Cambria Math"/>
                <w:i/>
              </w:rPr>
            </m:ctrlPr>
          </m:accPr>
          <m:e>
            <m:r>
              <w:rPr>
                <w:rFonts w:ascii="Cambria Math" w:hAnsi="Cambria Math"/>
              </w:rPr>
              <m:t>γ</m:t>
            </m:r>
          </m:e>
        </m:acc>
        <m:r>
          <w:rPr>
            <w:rFonts w:ascii="Cambria Math" w:hAnsi="Cambria Math"/>
          </w:rPr>
          <m:t>+</m:t>
        </m:r>
        <m:sSub>
          <m:sSubPr>
            <m:ctrlPr>
              <w:rPr>
                <w:rFonts w:ascii="Cambria Math" w:hAnsi="Cambria Math"/>
                <w:i/>
              </w:rPr>
            </m:ctrlPr>
          </m:sSubPr>
          <m:e>
            <m:r>
              <w:rPr>
                <w:rFonts w:ascii="Cambria Math" w:hAnsi="Cambria Math"/>
              </w:rPr>
              <m:t>γ</m:t>
            </m:r>
          </m:e>
          <m:sub>
            <m:sSub>
              <m:sSubPr>
                <m:ctrlPr>
                  <w:rPr>
                    <w:rFonts w:ascii="Cambria Math" w:hAnsi="Cambria Math"/>
                    <w:i/>
                  </w:rPr>
                </m:ctrlPr>
              </m:sSubPr>
              <m:e>
                <m:r>
                  <w:rPr>
                    <w:rFonts w:ascii="Cambria Math" w:hAnsi="Cambria Math"/>
                  </w:rPr>
                  <m:t>K</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γ</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r>
          <w:rPr>
            <w:rFonts w:ascii="Cambria Math" w:hAnsi="Cambria Math"/>
          </w:rPr>
          <m:t>+δ</m:t>
        </m:r>
        <m:sSub>
          <m:sSubPr>
            <m:ctrlPr>
              <w:rPr>
                <w:rFonts w:ascii="Cambria Math" w:hAnsi="Cambria Math"/>
                <w:i/>
              </w:rPr>
            </m:ctrlPr>
          </m:sSubPr>
          <m:e>
            <m:r>
              <w:rPr>
                <w:rFonts w:ascii="Cambria Math" w:hAnsi="Cambria Math"/>
              </w:rPr>
              <m:t>L</m:t>
            </m:r>
          </m:e>
          <m:sub>
            <m:r>
              <w:rPr>
                <w:rFonts w:ascii="Cambria Math" w:hAnsi="Cambria Math"/>
              </w:rPr>
              <m:t>i</m:t>
            </m:r>
          </m:sub>
        </m:sSub>
      </m:oMath>
      <w:r w:rsidRPr="00256DE8">
        <w:t xml:space="preserve"> </w:t>
      </w:r>
    </w:p>
    <w:p w14:paraId="7E8512D4" w14:textId="77777777" w:rsidR="004B30BC" w:rsidRPr="00256DE8" w:rsidRDefault="004B30BC" w:rsidP="004B30BC">
      <m:oMath>
        <m:acc>
          <m:accPr>
            <m:chr m:val="̅"/>
            <m:ctrlPr>
              <w:rPr>
                <w:rFonts w:ascii="Cambria Math" w:hAnsi="Cambria Math"/>
                <w:i/>
              </w:rPr>
            </m:ctrlPr>
          </m:accPr>
          <m:e>
            <m:r>
              <w:rPr>
                <w:rFonts w:ascii="Cambria Math" w:hAnsi="Cambria Math"/>
              </w:rPr>
              <m:t>α</m:t>
            </m:r>
          </m:e>
        </m:acc>
        <m:r>
          <w:rPr>
            <w:rFonts w:ascii="Cambria Math" w:hAnsi="Cambria Math"/>
          </w:rPr>
          <m:t xml:space="preserve"> ~ </m:t>
        </m:r>
        <m:r>
          <m:rPr>
            <m:sty m:val="p"/>
          </m:rPr>
          <w:rPr>
            <w:rFonts w:ascii="Cambria Math" w:hAnsi="Cambria Math"/>
          </w:rPr>
          <m:t>Normal</m:t>
        </m:r>
        <m:r>
          <w:rPr>
            <w:rFonts w:ascii="Cambria Math" w:hAnsi="Cambria Math"/>
          </w:rPr>
          <m:t xml:space="preserve">( </m:t>
        </m:r>
        <m:func>
          <m:funcPr>
            <m:ctrlPr>
              <w:rPr>
                <w:rFonts w:ascii="Cambria Math" w:hAnsi="Cambria Math"/>
                <w:i/>
              </w:rPr>
            </m:ctrlPr>
          </m:funcPr>
          <m:fName>
            <m:r>
              <m:rPr>
                <m:sty m:val="p"/>
              </m:rPr>
              <w:rPr>
                <w:rFonts w:ascii="Cambria Math" w:hAnsi="Cambria Math"/>
              </w:rPr>
              <m:t>ln</m:t>
            </m:r>
          </m:fName>
          <m:e>
            <m:r>
              <w:rPr>
                <w:rFonts w:ascii="Cambria Math" w:hAnsi="Cambria Math"/>
              </w:rPr>
              <m:t>0.1</m:t>
            </m:r>
          </m:e>
        </m:func>
        <m:r>
          <w:rPr>
            <w:rFonts w:ascii="Cambria Math" w:hAnsi="Cambria Math"/>
          </w:rPr>
          <m:t>, 1 )</m:t>
        </m:r>
      </m:oMath>
      <w:r w:rsidRPr="00256DE8">
        <w:t xml:space="preserve"> </w:t>
      </w:r>
    </w:p>
    <w:p w14:paraId="523051D7" w14:textId="77777777" w:rsidR="004B30BC" w:rsidRPr="00256DE8" w:rsidRDefault="004B30BC" w:rsidP="004B30BC">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 ~ </m:t>
        </m:r>
        <m:r>
          <m:rPr>
            <m:sty m:val="p"/>
          </m:rPr>
          <w:rPr>
            <w:rFonts w:ascii="Cambria Math" w:hAnsi="Cambria Math"/>
          </w:rPr>
          <m:t>Normal</m:t>
        </m:r>
        <m:r>
          <w:rPr>
            <w:rFonts w:ascii="Cambria Math" w:hAnsi="Cambria Math"/>
          </w:rPr>
          <m:t xml:space="preserve">( 0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α</m:t>
                </m:r>
              </m:e>
              <m:sub>
                <m:r>
                  <w:rPr>
                    <w:rFonts w:ascii="Cambria Math" w:hAnsi="Cambria Math"/>
                  </w:rPr>
                  <m:t>K</m:t>
                </m:r>
              </m:sub>
            </m:sSub>
          </m:sub>
        </m:sSub>
        <m:r>
          <w:rPr>
            <w:rFonts w:ascii="Cambria Math" w:hAnsi="Cambria Math"/>
          </w:rPr>
          <m:t xml:space="preserve"> )</m:t>
        </m:r>
      </m:oMath>
      <w:r w:rsidRPr="00256DE8">
        <w:t xml:space="preserve"> </w:t>
      </w:r>
    </w:p>
    <w:p w14:paraId="22C0847E" w14:textId="77777777" w:rsidR="004B30BC" w:rsidRPr="00256DE8" w:rsidRDefault="004B30BC" w:rsidP="004B30BC">
      <m:oMath>
        <m:sSub>
          <m:sSubPr>
            <m:ctrlPr>
              <w:rPr>
                <w:rFonts w:ascii="Cambria Math" w:hAnsi="Cambria Math"/>
                <w:i/>
              </w:rPr>
            </m:ctrlPr>
          </m:sSubPr>
          <m:e>
            <m:r>
              <w:rPr>
                <w:rFonts w:ascii="Cambria Math" w:hAnsi="Cambria Math"/>
              </w:rPr>
              <m:t>α</m:t>
            </m:r>
          </m:e>
          <m:sub>
            <m:r>
              <w:rPr>
                <w:rFonts w:ascii="Cambria Math" w:hAnsi="Cambria Math"/>
              </w:rPr>
              <m:t>S</m:t>
            </m:r>
          </m:sub>
        </m:sSub>
        <m:r>
          <w:rPr>
            <w:rFonts w:ascii="Cambria Math" w:hAnsi="Cambria Math"/>
          </w:rPr>
          <m:t xml:space="preserve"> ~ </m:t>
        </m:r>
        <m:r>
          <m:rPr>
            <m:sty m:val="p"/>
          </m:rPr>
          <w:rPr>
            <w:rFonts w:ascii="Cambria Math" w:hAnsi="Cambria Math"/>
          </w:rPr>
          <m:t>Normal</m:t>
        </m:r>
        <m:r>
          <w:rPr>
            <w:rFonts w:ascii="Cambria Math" w:hAnsi="Cambria Math"/>
          </w:rPr>
          <m:t xml:space="preserve">( 0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α</m:t>
                </m:r>
              </m:e>
              <m:sub>
                <m:r>
                  <w:rPr>
                    <w:rFonts w:ascii="Cambria Math" w:hAnsi="Cambria Math"/>
                  </w:rPr>
                  <m:t>S</m:t>
                </m:r>
              </m:sub>
            </m:sSub>
          </m:sub>
        </m:sSub>
        <m:r>
          <w:rPr>
            <w:rFonts w:ascii="Cambria Math" w:hAnsi="Cambria Math"/>
          </w:rPr>
          <m:t xml:space="preserve"> )</m:t>
        </m:r>
      </m:oMath>
      <w:r w:rsidRPr="00256DE8">
        <w:t xml:space="preserve"> </w:t>
      </w:r>
    </w:p>
    <w:p w14:paraId="4EA79204" w14:textId="77777777" w:rsidR="004B30BC" w:rsidRPr="00256DE8" w:rsidRDefault="004B30BC" w:rsidP="004B30BC">
      <m:oMath>
        <m:acc>
          <m:accPr>
            <m:chr m:val="̅"/>
            <m:ctrlPr>
              <w:rPr>
                <w:rFonts w:ascii="Cambria Math" w:hAnsi="Cambria Math"/>
                <w:i/>
              </w:rPr>
            </m:ctrlPr>
          </m:accPr>
          <m:e>
            <m:r>
              <w:rPr>
                <w:rFonts w:ascii="Cambria Math" w:hAnsi="Cambria Math"/>
              </w:rPr>
              <m:t>γ</m:t>
            </m:r>
          </m:e>
        </m:acc>
        <m:r>
          <w:rPr>
            <w:rFonts w:ascii="Cambria Math" w:hAnsi="Cambria Math"/>
          </w:rPr>
          <m:t xml:space="preserve"> ~ </m:t>
        </m:r>
        <m:r>
          <m:rPr>
            <m:sty m:val="p"/>
          </m:rPr>
          <w:rPr>
            <w:rFonts w:ascii="Cambria Math" w:hAnsi="Cambria Math"/>
          </w:rPr>
          <m:t>Normal</m:t>
        </m:r>
        <m:r>
          <w:rPr>
            <w:rFonts w:ascii="Cambria Math" w:hAnsi="Cambria Math"/>
          </w:rPr>
          <m:t xml:space="preserve">( </m:t>
        </m:r>
        <m:func>
          <m:funcPr>
            <m:ctrlPr>
              <w:rPr>
                <w:rFonts w:ascii="Cambria Math" w:hAnsi="Cambria Math"/>
                <w:i/>
              </w:rPr>
            </m:ctrlPr>
          </m:funcPr>
          <m:fName>
            <m:r>
              <m:rPr>
                <m:sty m:val="p"/>
              </m:rPr>
              <w:rPr>
                <w:rFonts w:ascii="Cambria Math" w:hAnsi="Cambria Math"/>
              </w:rPr>
              <m:t>logit</m:t>
            </m:r>
          </m:fName>
          <m:e>
            <m:r>
              <w:rPr>
                <w:rFonts w:ascii="Cambria Math" w:hAnsi="Cambria Math"/>
              </w:rPr>
              <m:t>0.1</m:t>
            </m:r>
          </m:e>
        </m:func>
        <m:r>
          <w:rPr>
            <w:rFonts w:ascii="Cambria Math" w:hAnsi="Cambria Math"/>
          </w:rPr>
          <m:t>, 1 )</m:t>
        </m:r>
      </m:oMath>
      <w:r w:rsidRPr="00256DE8">
        <w:t xml:space="preserve"> </w:t>
      </w:r>
    </w:p>
    <w:p w14:paraId="0D997ECB" w14:textId="77777777" w:rsidR="004B30BC" w:rsidRPr="00256DE8" w:rsidRDefault="004B30BC" w:rsidP="004B30BC">
      <m:oMath>
        <m:sSub>
          <m:sSubPr>
            <m:ctrlPr>
              <w:rPr>
                <w:rFonts w:ascii="Cambria Math" w:hAnsi="Cambria Math"/>
                <w:i/>
              </w:rPr>
            </m:ctrlPr>
          </m:sSubPr>
          <m:e>
            <m:r>
              <w:rPr>
                <w:rFonts w:ascii="Cambria Math" w:hAnsi="Cambria Math"/>
              </w:rPr>
              <m:t>γ</m:t>
            </m:r>
          </m:e>
          <m:sub>
            <m:r>
              <w:rPr>
                <w:rFonts w:ascii="Cambria Math" w:hAnsi="Cambria Math"/>
              </w:rPr>
              <m:t>K</m:t>
            </m:r>
          </m:sub>
        </m:sSub>
        <m:r>
          <w:rPr>
            <w:rFonts w:ascii="Cambria Math" w:hAnsi="Cambria Math"/>
          </w:rPr>
          <m:t xml:space="preserve"> ~ </m:t>
        </m:r>
        <m:r>
          <m:rPr>
            <m:sty m:val="p"/>
          </m:rPr>
          <w:rPr>
            <w:rFonts w:ascii="Cambria Math" w:hAnsi="Cambria Math"/>
          </w:rPr>
          <m:t>Normal</m:t>
        </m:r>
        <m:r>
          <w:rPr>
            <w:rFonts w:ascii="Cambria Math" w:hAnsi="Cambria Math"/>
          </w:rPr>
          <m:t xml:space="preserve">( 0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γ</m:t>
                </m:r>
              </m:e>
              <m:sub>
                <m:r>
                  <w:rPr>
                    <w:rFonts w:ascii="Cambria Math" w:hAnsi="Cambria Math"/>
                  </w:rPr>
                  <m:t>K</m:t>
                </m:r>
              </m:sub>
            </m:sSub>
          </m:sub>
        </m:sSub>
        <m:r>
          <w:rPr>
            <w:rFonts w:ascii="Cambria Math" w:hAnsi="Cambria Math"/>
          </w:rPr>
          <m:t xml:space="preserve"> )</m:t>
        </m:r>
      </m:oMath>
      <w:r w:rsidRPr="00256DE8">
        <w:t xml:space="preserve"> </w:t>
      </w:r>
    </w:p>
    <w:p w14:paraId="54A1F555" w14:textId="77777777" w:rsidR="004B30BC" w:rsidRPr="00256DE8" w:rsidRDefault="004B30BC" w:rsidP="004B30BC">
      <m:oMath>
        <m:sSub>
          <m:sSubPr>
            <m:ctrlPr>
              <w:rPr>
                <w:rFonts w:ascii="Cambria Math" w:hAnsi="Cambria Math"/>
                <w:i/>
              </w:rPr>
            </m:ctrlPr>
          </m:sSubPr>
          <m:e>
            <m:r>
              <w:rPr>
                <w:rFonts w:ascii="Cambria Math" w:hAnsi="Cambria Math"/>
              </w:rPr>
              <m:t>γ</m:t>
            </m:r>
          </m:e>
          <m:sub>
            <m:r>
              <w:rPr>
                <w:rFonts w:ascii="Cambria Math" w:hAnsi="Cambria Math"/>
              </w:rPr>
              <m:t>S</m:t>
            </m:r>
          </m:sub>
        </m:sSub>
        <m:r>
          <w:rPr>
            <w:rFonts w:ascii="Cambria Math" w:hAnsi="Cambria Math"/>
          </w:rPr>
          <m:t xml:space="preserve"> ~ </m:t>
        </m:r>
        <m:r>
          <m:rPr>
            <m:sty m:val="p"/>
          </m:rPr>
          <w:rPr>
            <w:rFonts w:ascii="Cambria Math" w:hAnsi="Cambria Math"/>
          </w:rPr>
          <m:t>Normal</m:t>
        </m:r>
        <m:r>
          <w:rPr>
            <w:rFonts w:ascii="Cambria Math" w:hAnsi="Cambria Math"/>
          </w:rPr>
          <m:t xml:space="preserve">( 0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γ</m:t>
                </m:r>
              </m:e>
              <m:sub>
                <m:r>
                  <w:rPr>
                    <w:rFonts w:ascii="Cambria Math" w:hAnsi="Cambria Math"/>
                  </w:rPr>
                  <m:t>S</m:t>
                </m:r>
              </m:sub>
            </m:sSub>
          </m:sub>
        </m:sSub>
        <m:r>
          <w:rPr>
            <w:rFonts w:ascii="Cambria Math" w:hAnsi="Cambria Math"/>
          </w:rPr>
          <m:t xml:space="preserve"> )</m:t>
        </m:r>
      </m:oMath>
      <w:r w:rsidRPr="00256DE8">
        <w:t xml:space="preserve"> </w:t>
      </w:r>
    </w:p>
    <w:p w14:paraId="644D9192" w14:textId="77777777" w:rsidR="004B30BC" w:rsidRPr="00256DE8" w:rsidRDefault="004B30BC" w:rsidP="004B30BC">
      <m:oMath>
        <m:r>
          <w:rPr>
            <w:rFonts w:ascii="Cambria Math" w:hAnsi="Cambria Math"/>
          </w:rPr>
          <m:t xml:space="preserve">β, δ ~ </m:t>
        </m:r>
        <m:r>
          <m:rPr>
            <m:sty m:val="p"/>
          </m:rPr>
          <w:rPr>
            <w:rFonts w:ascii="Cambria Math" w:hAnsi="Cambria Math"/>
          </w:rPr>
          <m:t>Normal</m:t>
        </m:r>
        <m:r>
          <w:rPr>
            <w:rFonts w:ascii="Cambria Math" w:hAnsi="Cambria Math"/>
          </w:rPr>
          <m:t>( 0 , 0.1 )</m:t>
        </m:r>
      </m:oMath>
      <w:r w:rsidRPr="00256DE8">
        <w:t xml:space="preserve"> </w:t>
      </w:r>
    </w:p>
    <w:p w14:paraId="0ED68A20" w14:textId="77777777" w:rsidR="004B30BC" w:rsidRPr="00256DE8" w:rsidRDefault="004B30BC" w:rsidP="004B30BC">
      <m:oMath>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α</m:t>
                </m:r>
              </m:e>
              <m:sub>
                <m:r>
                  <w:rPr>
                    <w:rFonts w:ascii="Cambria Math" w:hAnsi="Cambria Math"/>
                  </w:rPr>
                  <m:t>K</m:t>
                </m:r>
              </m:sub>
            </m:sSub>
          </m:sub>
        </m:sSub>
        <m:r>
          <w:rPr>
            <w:rFonts w:ascii="Cambria Math" w:hAnsi="Cambria Math"/>
          </w:rPr>
          <m:t xml:space="preserve">,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α</m:t>
                </m:r>
              </m:e>
              <m:sub>
                <m:r>
                  <w:rPr>
                    <w:rFonts w:ascii="Cambria Math" w:hAnsi="Cambria Math"/>
                  </w:rPr>
                  <m:t>S</m:t>
                </m:r>
              </m:sub>
            </m:sSub>
          </m:sub>
        </m:sSub>
        <m:r>
          <w:rPr>
            <w:rFonts w:ascii="Cambria Math" w:hAnsi="Cambria Math"/>
          </w:rPr>
          <m:t>,</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γ</m:t>
                </m:r>
              </m:e>
              <m:sub>
                <m:r>
                  <w:rPr>
                    <w:rFonts w:ascii="Cambria Math" w:hAnsi="Cambria Math"/>
                  </w:rPr>
                  <m:t>K</m:t>
                </m:r>
              </m:sub>
            </m:sSub>
          </m:sub>
        </m:sSub>
        <m:r>
          <w:rPr>
            <w:rFonts w:ascii="Cambria Math" w:hAnsi="Cambria Math"/>
          </w:rPr>
          <m:t xml:space="preserve">,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γ</m:t>
                </m:r>
              </m:e>
              <m:sub>
                <m:r>
                  <w:rPr>
                    <w:rFonts w:ascii="Cambria Math" w:hAnsi="Cambria Math"/>
                  </w:rPr>
                  <m:t>S</m:t>
                </m:r>
              </m:sub>
            </m:sSub>
          </m:sub>
        </m:sSub>
        <m:r>
          <w:rPr>
            <w:rFonts w:ascii="Cambria Math" w:hAnsi="Cambria Math"/>
          </w:rPr>
          <m:t xml:space="preserve">~ </m:t>
        </m:r>
        <m:sSub>
          <m:sSubPr>
            <m:ctrlPr>
              <w:rPr>
                <w:rFonts w:ascii="Cambria Math" w:hAnsi="Cambria Math"/>
              </w:rPr>
            </m:ctrlPr>
          </m:sSubPr>
          <m:e>
            <m:r>
              <m:rPr>
                <m:sty m:val="p"/>
              </m:rPr>
              <w:rPr>
                <w:rFonts w:ascii="Cambria Math" w:hAnsi="Cambria Math"/>
              </w:rPr>
              <m:t>Normal</m:t>
            </m:r>
          </m:e>
          <m:sub>
            <m:r>
              <w:rPr>
                <w:rFonts w:ascii="Cambria Math" w:hAnsi="Cambria Math"/>
              </w:rPr>
              <m:t>0,∞</m:t>
            </m:r>
          </m:sub>
        </m:sSub>
        <m:r>
          <w:rPr>
            <w:rFonts w:ascii="Cambria Math" w:hAnsi="Cambria Math"/>
          </w:rPr>
          <m:t>( 0 , 0.3 )</m:t>
        </m:r>
      </m:oMath>
      <w:r w:rsidRPr="00256DE8">
        <w:t xml:space="preserve"> </w:t>
      </w:r>
    </w:p>
    <w:p w14:paraId="577D994F" w14:textId="77777777" w:rsidR="004B30BC" w:rsidRPr="00256DE8" w:rsidRDefault="004B30BC" w:rsidP="004B30BC">
      <m:oMath>
        <m:r>
          <w:rPr>
            <w:rFonts w:ascii="Cambria Math" w:eastAsiaTheme="minorEastAsia" w:hAnsi="Cambria Math"/>
            <w:lang w:bidi="he-IL"/>
          </w:rPr>
          <m:t>ν</m:t>
        </m:r>
        <m:r>
          <w:rPr>
            <w:rFonts w:ascii="Cambria Math" w:hAnsi="Cambria Math"/>
          </w:rPr>
          <m:t xml:space="preserve"> ~ </m:t>
        </m:r>
        <m:r>
          <m:rPr>
            <m:sty m:val="p"/>
          </m:rPr>
          <w:rPr>
            <w:rFonts w:ascii="Cambria Math" w:hAnsi="Cambria Math"/>
          </w:rPr>
          <m:t>Gamma</m:t>
        </m:r>
        <m:r>
          <w:rPr>
            <w:rFonts w:ascii="Cambria Math" w:hAnsi="Cambria Math"/>
          </w:rPr>
          <m:t xml:space="preserve">( </m:t>
        </m:r>
        <m:f>
          <m:fPr>
            <m:type m:val="lin"/>
            <m:ctrlPr>
              <w:rPr>
                <w:rFonts w:ascii="Cambria Math" w:hAnsi="Cambria Math"/>
                <w:i/>
              </w:rPr>
            </m:ctrlPr>
          </m:fPr>
          <m:num>
            <m:sSup>
              <m:sSupPr>
                <m:ctrlPr>
                  <w:rPr>
                    <w:rFonts w:ascii="Cambria Math" w:hAnsi="Cambria Math"/>
                    <w:i/>
                  </w:rPr>
                </m:ctrlPr>
              </m:sSupPr>
              <m:e>
                <m:r>
                  <w:rPr>
                    <w:rFonts w:ascii="Cambria Math" w:hAnsi="Cambria Math"/>
                  </w:rPr>
                  <m:t>30</m:t>
                </m:r>
              </m:e>
              <m:sup>
                <m:r>
                  <w:rPr>
                    <w:rFonts w:ascii="Cambria Math" w:hAnsi="Cambria Math"/>
                  </w:rPr>
                  <m:t>2</m:t>
                </m:r>
              </m:sup>
            </m:sSup>
          </m:num>
          <m:den>
            <m:sSup>
              <m:sSupPr>
                <m:ctrlPr>
                  <w:rPr>
                    <w:rFonts w:ascii="Cambria Math" w:hAnsi="Cambria Math"/>
                    <w:i/>
                  </w:rPr>
                </m:ctrlPr>
              </m:sSupPr>
              <m:e>
                <m:r>
                  <w:rPr>
                    <w:rFonts w:ascii="Cambria Math" w:hAnsi="Cambria Math"/>
                  </w:rPr>
                  <m:t>20</m:t>
                </m:r>
              </m:e>
              <m:sup>
                <m:r>
                  <w:rPr>
                    <w:rFonts w:ascii="Cambria Math" w:hAnsi="Cambria Math"/>
                  </w:rPr>
                  <m:t>2</m:t>
                </m:r>
              </m:sup>
            </m:sSup>
          </m:den>
        </m:f>
        <m:r>
          <w:rPr>
            <w:rFonts w:ascii="Cambria Math" w:hAnsi="Cambria Math"/>
          </w:rPr>
          <m:t>,</m:t>
        </m:r>
        <m:f>
          <m:fPr>
            <m:type m:val="lin"/>
            <m:ctrlPr>
              <w:rPr>
                <w:rFonts w:ascii="Cambria Math" w:hAnsi="Cambria Math"/>
                <w:i/>
              </w:rPr>
            </m:ctrlPr>
          </m:fPr>
          <m:num>
            <m:r>
              <w:rPr>
                <w:rFonts w:ascii="Cambria Math" w:hAnsi="Cambria Math"/>
              </w:rPr>
              <m:t>30</m:t>
            </m:r>
          </m:num>
          <m:den>
            <m:sSup>
              <m:sSupPr>
                <m:ctrlPr>
                  <w:rPr>
                    <w:rFonts w:ascii="Cambria Math" w:hAnsi="Cambria Math"/>
                    <w:i/>
                  </w:rPr>
                </m:ctrlPr>
              </m:sSupPr>
              <m:e>
                <m:r>
                  <w:rPr>
                    <w:rFonts w:ascii="Cambria Math" w:hAnsi="Cambria Math"/>
                  </w:rPr>
                  <m:t>20</m:t>
                </m:r>
              </m:e>
              <m:sup>
                <m:r>
                  <w:rPr>
                    <w:rFonts w:ascii="Cambria Math" w:hAnsi="Cambria Math"/>
                  </w:rPr>
                  <m:t>2</m:t>
                </m:r>
              </m:sup>
            </m:sSup>
          </m:den>
        </m:f>
        <m:r>
          <w:rPr>
            <w:rFonts w:ascii="Cambria Math" w:hAnsi="Cambria Math"/>
          </w:rPr>
          <m:t xml:space="preserve"> )</m:t>
        </m:r>
      </m:oMath>
      <w:r w:rsidRPr="00256DE8">
        <w:t xml:space="preserve"> </w:t>
      </w:r>
    </w:p>
    <w:p w14:paraId="086F4192" w14:textId="77777777" w:rsidR="004B30BC" w:rsidRPr="00256DE8" w:rsidRDefault="004B30BC" w:rsidP="004B30BC"/>
    <w:p w14:paraId="2F3337A9" w14:textId="77777777" w:rsidR="004B30BC" w:rsidRDefault="004B30BC" w:rsidP="004B30BC">
      <w:r w:rsidRPr="00256DE8">
        <w:t xml:space="preserve">where </w:t>
      </w:r>
      <w:r w:rsidRPr="00256DE8">
        <w:rPr>
          <w:i/>
          <w:iCs/>
        </w:rPr>
        <w:t>μ</w:t>
      </w:r>
      <w:r w:rsidRPr="00256DE8">
        <w:t xml:space="preserve"> and </w:t>
      </w:r>
      <w:r w:rsidRPr="00256DE8">
        <w:rPr>
          <w:i/>
          <w:iCs/>
        </w:rPr>
        <w:t>ν</w:t>
      </w:r>
      <w:r w:rsidRPr="00256DE8">
        <w:t xml:space="preserve"> are the mean and precision of the beta likelihood describing Σ </w:t>
      </w:r>
      <w:r w:rsidRPr="00256DE8">
        <w:rPr>
          <w:i/>
          <w:iCs/>
        </w:rPr>
        <w:t>p</w:t>
      </w:r>
      <w:r w:rsidRPr="00256DE8">
        <w:t xml:space="preserve">. </w:t>
      </w:r>
      <w:r w:rsidRPr="00256DE8">
        <w:rPr>
          <w:i/>
          <w:iCs/>
        </w:rPr>
        <w:t>μ</w:t>
      </w:r>
      <w:r w:rsidRPr="00256DE8">
        <w:t xml:space="preserve"> is a</w:t>
      </w:r>
      <w:r>
        <w:t>n exponential</w:t>
      </w:r>
      <w:r w:rsidRPr="00256DE8">
        <w:t xml:space="preserve"> function of time </w:t>
      </w:r>
      <w:r w:rsidRPr="00256DE8">
        <w:rPr>
          <w:i/>
          <w:iCs/>
        </w:rPr>
        <w:t>t</w:t>
      </w:r>
      <w:r w:rsidRPr="00256DE8">
        <w:t xml:space="preserve"> since kelp influx, parameterised by the exponential decay rate </w:t>
      </w:r>
      <w:r w:rsidRPr="00256DE8">
        <w:rPr>
          <w:i/>
          <w:iCs/>
        </w:rPr>
        <w:t>k</w:t>
      </w:r>
      <w:r w:rsidRPr="00256DE8">
        <w:t xml:space="preserve"> and putative refractory fraction </w:t>
      </w:r>
      <w:r w:rsidRPr="00256DE8">
        <w:rPr>
          <w:i/>
          <w:iCs/>
        </w:rPr>
        <w:t>r</w:t>
      </w:r>
      <w:r w:rsidRPr="00256DE8">
        <w:t>. These parameters are in turn described by</w:t>
      </w:r>
      <w:r>
        <w:t xml:space="preserve"> the categorical predictors kelp species (</w:t>
      </w:r>
      <w:r w:rsidRPr="00DF56F9">
        <w:rPr>
          <w:i/>
          <w:iCs/>
        </w:rPr>
        <w:t>K</w:t>
      </w:r>
      <w:r>
        <w:t>) and sediment type (</w:t>
      </w:r>
      <w:r w:rsidRPr="00DF56F9">
        <w:rPr>
          <w:i/>
          <w:iCs/>
        </w:rPr>
        <w:t>S</w:t>
      </w:r>
      <w:r>
        <w:t>) along with the continuous predictor kelp influx load (</w:t>
      </w:r>
      <w:r w:rsidRPr="00DF56F9">
        <w:rPr>
          <w:i/>
          <w:iCs/>
        </w:rPr>
        <w:t>L</w:t>
      </w:r>
      <w:r>
        <w:t xml:space="preserve">). Since </w:t>
      </w:r>
      <w:r w:rsidRPr="00DF56F9">
        <w:rPr>
          <w:i/>
          <w:iCs/>
        </w:rPr>
        <w:t>k</w:t>
      </w:r>
      <w:r>
        <w:t xml:space="preserve"> is strictly positive and </w:t>
      </w:r>
      <w:r w:rsidRPr="00DF56F9">
        <w:rPr>
          <w:i/>
          <w:iCs/>
        </w:rPr>
        <w:t>r</w:t>
      </w:r>
      <w:r>
        <w:t xml:space="preserve"> is bounded by zero and one, they cannot directly be described by linear models. Hence the log and logit link functions. Intercept parameters </w:t>
      </w:r>
      <w:r w:rsidRPr="006E5FB1">
        <w:rPr>
          <w:i/>
          <w:iCs/>
        </w:rPr>
        <w:t>α</w:t>
      </w:r>
      <w:r>
        <w:t xml:space="preserve"> and </w:t>
      </w:r>
      <w:r w:rsidRPr="006E5FB1">
        <w:rPr>
          <w:i/>
          <w:iCs/>
        </w:rPr>
        <w:t>γ</w:t>
      </w:r>
      <w:r>
        <w:t xml:space="preserve"> are partially pooled across </w:t>
      </w:r>
      <w:r w:rsidRPr="006E5FB1">
        <w:rPr>
          <w:i/>
          <w:iCs/>
        </w:rPr>
        <w:t>K</w:t>
      </w:r>
      <w:r>
        <w:t xml:space="preserve"> and </w:t>
      </w:r>
      <w:r w:rsidRPr="006E5FB1">
        <w:rPr>
          <w:i/>
          <w:iCs/>
        </w:rPr>
        <w:t>S</w:t>
      </w:r>
      <w:r>
        <w:t xml:space="preserve"> to allow prediction for unobserved categories and avoid spurious effects </w:t>
      </w:r>
      <w:r w:rsidRPr="00BB4DB2">
        <w:fldChar w:fldCharType="begin"/>
      </w:r>
      <w:r w:rsidRPr="00BB4DB2">
        <w:instrText>ADDIN BEC{McElreath, 2020 #44454}</w:instrText>
      </w:r>
      <w:r w:rsidRPr="00BB4DB2">
        <w:fldChar w:fldCharType="separate"/>
      </w:r>
      <w:r w:rsidRPr="00BB4DB2">
        <w:t>(McElreath 2020)</w:t>
      </w:r>
      <w:r w:rsidRPr="00BB4DB2">
        <w:fldChar w:fldCharType="end"/>
      </w:r>
      <w:r>
        <w:t xml:space="preserve">. </w:t>
      </w:r>
    </w:p>
    <w:p w14:paraId="5AEB1C05" w14:textId="77777777" w:rsidR="004B30BC" w:rsidRDefault="004B30BC" w:rsidP="004B30BC"/>
    <w:p w14:paraId="089ECC8D" w14:textId="77777777" w:rsidR="004B30BC" w:rsidRPr="00256DE8" w:rsidRDefault="004B30BC" w:rsidP="004B30BC">
      <w:r>
        <w:t xml:space="preserve">The exponential decay function with a refractory fraction which we use to describe </w:t>
      </w:r>
      <w:r w:rsidRPr="00256DE8">
        <w:rPr>
          <w:i/>
          <w:iCs/>
        </w:rPr>
        <w:t>μ</w:t>
      </w:r>
      <w:r>
        <w:t xml:space="preserve"> is frequently applied to kelp decomposition </w:t>
      </w:r>
      <w:r w:rsidRPr="00F42FFD">
        <w:fldChar w:fldCharType="begin"/>
      </w:r>
      <w:r w:rsidRPr="00F42FFD">
        <w:instrText xml:space="preserve">ADDIN BEC{Banta et al., 2004 #54287; </w:instrText>
      </w:r>
      <w:r w:rsidRPr="00256DE8">
        <w:instrText>Pedersen et al., 2021 #86831; Simpkins et al., 2025 #59214</w:instrText>
      </w:r>
      <w:r w:rsidRPr="00F42FFD">
        <w:instrText xml:space="preserve">; </w:instrText>
      </w:r>
      <w:r w:rsidRPr="00714991">
        <w:instrText>Kennedy and Blain, 2025 #108523</w:instrText>
      </w:r>
      <w:r w:rsidRPr="00F42FFD">
        <w:instrText xml:space="preserve">; </w:instrText>
      </w:r>
      <w:r w:rsidRPr="003F3302">
        <w:instrText>White and Norkko, 2025 #37663}</w:instrText>
      </w:r>
      <w:r w:rsidRPr="00F42FFD">
        <w:fldChar w:fldCharType="separate"/>
      </w:r>
      <w:r w:rsidRPr="00F42FFD">
        <w:t>(Banta et al. 2004, Pedersen et al. 2021, Kennedy &amp; Blain 2025, Simpkins et al. 2025, White &amp; Norkko 2025)</w:t>
      </w:r>
      <w:r w:rsidRPr="00F42FFD">
        <w:fldChar w:fldCharType="end"/>
      </w:r>
      <w:r>
        <w:t xml:space="preserve"> and is useful in the context of carbon burial where some organic carbon is expected to resist remineralisation </w:t>
      </w:r>
      <w:r w:rsidRPr="00714991">
        <w:fldChar w:fldCharType="begin"/>
      </w:r>
      <w:r w:rsidRPr="00714991">
        <w:instrText xml:space="preserve">ADDIN BEC{Kristensen and Holmer, 2001 #5381; </w:instrText>
      </w:r>
      <w:r w:rsidRPr="00256DE8">
        <w:instrText>Johannessen, 2022 #41599</w:instrText>
      </w:r>
      <w:r w:rsidRPr="00714991">
        <w:instrText xml:space="preserve">; </w:instrText>
      </w:r>
      <w:r w:rsidRPr="00F51867">
        <w:instrText>Kristensen et al., 2025 #16165}</w:instrText>
      </w:r>
      <w:r w:rsidRPr="00714991">
        <w:fldChar w:fldCharType="separate"/>
      </w:r>
      <w:r w:rsidRPr="00714991">
        <w:t>(Kristensen &amp; Holmer 2001, Johannessen 2022, Kristensen et al. 2025)</w:t>
      </w:r>
      <w:r w:rsidRPr="00714991">
        <w:fldChar w:fldCharType="end"/>
      </w:r>
      <w:r>
        <w:t xml:space="preserve">. However, an indefinitely recalcitrant carbon pool is unrealistic and the compartmentalisation of carbon should generally be avoided </w:t>
      </w:r>
      <w:r w:rsidRPr="00A72FDC">
        <w:fldChar w:fldCharType="begin"/>
      </w:r>
      <w:r w:rsidRPr="00A72FDC">
        <w:instrText>ADDIN BEC{Rovira and Rovira, 2010 #106775}</w:instrText>
      </w:r>
      <w:r w:rsidRPr="00A72FDC">
        <w:fldChar w:fldCharType="separate"/>
      </w:r>
      <w:r w:rsidRPr="00A72FDC">
        <w:t>(Rovira &amp; Rovira 2010)</w:t>
      </w:r>
      <w:r w:rsidRPr="00A72FDC">
        <w:fldChar w:fldCharType="end"/>
      </w:r>
      <w:r>
        <w:t xml:space="preserve">. Hence the best model is a composite exponential that allows exponential decay in time-variant </w:t>
      </w:r>
      <w:r w:rsidRPr="005A752D">
        <w:rPr>
          <w:i/>
          <w:iCs/>
        </w:rPr>
        <w:t>k</w:t>
      </w:r>
      <w:r>
        <w:t xml:space="preserve"> </w:t>
      </w:r>
      <w:r w:rsidRPr="00A72FDC">
        <w:fldChar w:fldCharType="begin"/>
      </w:r>
      <w:r w:rsidRPr="00A72FDC">
        <w:instrText>ADDIN BEC{Rovira and Rovira, 2010 #106775}</w:instrText>
      </w:r>
      <w:r w:rsidRPr="00A72FDC">
        <w:fldChar w:fldCharType="separate"/>
      </w:r>
      <w:r w:rsidRPr="00A72FDC">
        <w:t>(Rovira &amp; Rovira 2010)</w:t>
      </w:r>
      <w:r w:rsidRPr="00A72FDC">
        <w:fldChar w:fldCharType="end"/>
      </w:r>
      <w:r>
        <w:t xml:space="preserve">. Nonetheless, we chose the simpler model because it allows the calculation of intuitive parameters such as half-life </w:t>
      </w:r>
      <w:r w:rsidRPr="00A33F88">
        <w:rPr>
          <w:i/>
          <w:iCs/>
        </w:rPr>
        <w:t>t</w:t>
      </w:r>
      <w:r w:rsidRPr="00A33F88">
        <w:rPr>
          <w:vertAlign w:val="subscript"/>
        </w:rPr>
        <w:t>½</w:t>
      </w:r>
      <w:r>
        <w:t xml:space="preserve"> = ln 2 / </w:t>
      </w:r>
      <w:r w:rsidRPr="00A33F88">
        <w:rPr>
          <w:i/>
          <w:iCs/>
        </w:rPr>
        <w:t>k</w:t>
      </w:r>
      <w:r>
        <w:t xml:space="preserve"> </w:t>
      </w:r>
      <w:r w:rsidRPr="00A33F88">
        <w:fldChar w:fldCharType="begin"/>
      </w:r>
      <w:r w:rsidRPr="00A33F88">
        <w:instrText>ADDIN BEC{Olson, 1963 #2324}</w:instrText>
      </w:r>
      <w:r w:rsidRPr="00A33F88">
        <w:fldChar w:fldCharType="separate"/>
      </w:r>
      <w:r w:rsidRPr="00A33F88">
        <w:t>(Olson 1963)</w:t>
      </w:r>
      <w:r w:rsidRPr="00A33F88">
        <w:fldChar w:fldCharType="end"/>
      </w:r>
      <w:r>
        <w:t xml:space="preserve">, is generally easier to interpret and is identifiable given limited data </w:t>
      </w:r>
      <w:r w:rsidRPr="008300D6">
        <w:fldChar w:fldCharType="begin"/>
      </w:r>
      <w:r w:rsidRPr="008300D6">
        <w:instrText>ADDIN BEC{Banta et al., 2004 #54287}</w:instrText>
      </w:r>
      <w:r w:rsidRPr="008300D6">
        <w:fldChar w:fldCharType="separate"/>
      </w:r>
      <w:r w:rsidRPr="008300D6">
        <w:t>(Banta et al. 2004)</w:t>
      </w:r>
      <w:r w:rsidRPr="008300D6">
        <w:fldChar w:fldCharType="end"/>
      </w:r>
      <w:r>
        <w:t xml:space="preserve">. Importantly, </w:t>
      </w:r>
      <w:r w:rsidRPr="00A33F88">
        <w:rPr>
          <w:i/>
          <w:iCs/>
        </w:rPr>
        <w:t>r</w:t>
      </w:r>
      <w:r>
        <w:t xml:space="preserve"> cannot be considered truly refractory, with values for seaweed detritus averaging 16% and reported as high as 92% </w:t>
      </w:r>
      <w:r w:rsidRPr="006D3EEC">
        <w:fldChar w:fldCharType="begin"/>
      </w:r>
      <w:r w:rsidRPr="006D3EEC">
        <w:instrText>ADDIN BEC{Kennedy and Blain, 2025 #108523}</w:instrText>
      </w:r>
      <w:r w:rsidRPr="006D3EEC">
        <w:fldChar w:fldCharType="separate"/>
      </w:r>
      <w:r w:rsidRPr="006D3EEC">
        <w:t>(Kennedy &amp; Blain 2025)</w:t>
      </w:r>
      <w:r w:rsidRPr="006D3EEC">
        <w:fldChar w:fldCharType="end"/>
      </w:r>
      <w:r>
        <w:t>. It is merely the inferred baseline in the observational time window and must be interpreted as the putative fraction remaining after the experimental duration.</w:t>
      </w:r>
    </w:p>
    <w:p w14:paraId="4F1A03CE" w14:textId="77777777" w:rsidR="004B30BC" w:rsidRDefault="004B30BC" w:rsidP="004B30BC"/>
    <w:p w14:paraId="3410D3B9" w14:textId="77777777" w:rsidR="004B30BC" w:rsidRPr="0051138B" w:rsidRDefault="004B30BC" w:rsidP="004B30BC">
      <w:pPr>
        <w:rPr>
          <w:rFonts w:eastAsiaTheme="minorEastAsia"/>
        </w:rPr>
      </w:pPr>
      <w:r>
        <w:t xml:space="preserve">The statistical model described in Equation 4 was written in Stan </w:t>
      </w:r>
      <w:r>
        <w:fldChar w:fldCharType="begin"/>
      </w:r>
      <w:r>
        <w:instrText>ADDIN BEC{Carpenter et al., 2017 #59259}</w:instrText>
      </w:r>
      <w:r>
        <w:fldChar w:fldCharType="separate"/>
      </w:r>
      <w:r>
        <w:t>(Carpenter et al. 2017)</w:t>
      </w:r>
      <w:r>
        <w:fldChar w:fldCharType="end"/>
      </w:r>
      <w:r>
        <w:rPr>
          <w:lang w:bidi="he-IL"/>
        </w:rPr>
        <w:t xml:space="preserve"> </w:t>
      </w:r>
      <w:r>
        <w:t xml:space="preserve">and implemented with </w:t>
      </w:r>
      <w:r w:rsidRPr="00EC446F">
        <w:rPr>
          <w:rFonts w:eastAsiaTheme="minorEastAsia"/>
        </w:rPr>
        <w:t>CmdStan v2.3</w:t>
      </w:r>
      <w:r>
        <w:rPr>
          <w:rFonts w:eastAsiaTheme="minorEastAsia"/>
        </w:rPr>
        <w:t>8</w:t>
      </w:r>
      <w:r w:rsidRPr="00EC446F">
        <w:rPr>
          <w:rFonts w:eastAsiaTheme="minorEastAsia"/>
        </w:rPr>
        <w:t xml:space="preserve">.0 </w:t>
      </w:r>
      <w:r>
        <w:fldChar w:fldCharType="begin"/>
      </w:r>
      <w:r>
        <w:instrText>ADDIN BEC{Lee et al., 2026 #45564}</w:instrText>
      </w:r>
      <w:r>
        <w:fldChar w:fldCharType="separate"/>
      </w:r>
      <w:r>
        <w:t>(Lee et al. 2026)</w:t>
      </w:r>
      <w:r>
        <w:fldChar w:fldCharType="end"/>
      </w:r>
      <w:r>
        <w:rPr>
          <w:rFonts w:eastAsiaTheme="minorEastAsia"/>
        </w:rPr>
        <w:t xml:space="preserve">. The model was run across </w:t>
      </w:r>
      <w:r w:rsidRPr="00EC446F">
        <w:rPr>
          <w:rFonts w:eastAsiaTheme="minorEastAsia"/>
        </w:rPr>
        <w:t>8 Markov chains with 10</w:t>
      </w:r>
      <w:r w:rsidRPr="00EC446F">
        <w:rPr>
          <w:rFonts w:eastAsiaTheme="minorEastAsia"/>
          <w:vertAlign w:val="superscript"/>
        </w:rPr>
        <w:t>4</w:t>
      </w:r>
      <w:r w:rsidRPr="00EC446F">
        <w:rPr>
          <w:rFonts w:eastAsiaTheme="minorEastAsia"/>
        </w:rPr>
        <w:t xml:space="preserve"> warmup and sampling iterations each</w:t>
      </w:r>
      <w:r>
        <w:rPr>
          <w:rFonts w:eastAsiaTheme="minorEastAsia"/>
        </w:rPr>
        <w:t>, resulting in 8</w:t>
      </w:r>
      <w:r w:rsidRPr="0062726C">
        <w:rPr>
          <w:rFonts w:eastAsiaTheme="minorEastAsia"/>
        </w:rPr>
        <w:t>×</w:t>
      </w:r>
      <w:r>
        <w:rPr>
          <w:rFonts w:eastAsiaTheme="minorEastAsia"/>
        </w:rPr>
        <w:t>10</w:t>
      </w:r>
      <w:r w:rsidRPr="0062726C">
        <w:rPr>
          <w:rFonts w:eastAsiaTheme="minorEastAsia"/>
          <w:vertAlign w:val="superscript"/>
        </w:rPr>
        <w:t>4</w:t>
      </w:r>
      <w:r>
        <w:rPr>
          <w:rFonts w:eastAsiaTheme="minorEastAsia"/>
        </w:rPr>
        <w:t xml:space="preserve"> posterior samples for each parameter, and diagnosed using </w:t>
      </w:r>
      <m:oMath>
        <m:acc>
          <m:accPr>
            <m:ctrlPr>
              <w:rPr>
                <w:rFonts w:ascii="Cambria Math" w:eastAsiaTheme="minorEastAsia" w:hAnsi="Cambria Math"/>
                <w:i/>
              </w:rPr>
            </m:ctrlPr>
          </m:accPr>
          <m:e>
            <m:r>
              <m:rPr>
                <m:nor/>
              </m:rPr>
              <w:rPr>
                <w:rFonts w:eastAsiaTheme="minorEastAsia"/>
                <w:i/>
                <w:iCs/>
              </w:rPr>
              <m:t>R</m:t>
            </m:r>
          </m:e>
        </m:acc>
      </m:oMath>
      <w:r w:rsidRPr="00EC446F">
        <w:rPr>
          <w:rFonts w:eastAsiaTheme="minorEastAsia"/>
        </w:rPr>
        <w:t xml:space="preserve"> scores</w:t>
      </w:r>
      <w:r>
        <w:rPr>
          <w:rFonts w:eastAsiaTheme="minorEastAsia"/>
        </w:rPr>
        <w:t xml:space="preserve"> along with </w:t>
      </w:r>
      <w:r w:rsidRPr="00EC446F">
        <w:rPr>
          <w:rFonts w:eastAsiaTheme="minorEastAsia"/>
        </w:rPr>
        <w:t xml:space="preserve">trace rank </w:t>
      </w:r>
      <w:r>
        <w:rPr>
          <w:rFonts w:eastAsiaTheme="minorEastAsia"/>
        </w:rPr>
        <w:t xml:space="preserve">and </w:t>
      </w:r>
      <w:r w:rsidRPr="00EC446F">
        <w:rPr>
          <w:rFonts w:eastAsiaTheme="minorEastAsia"/>
        </w:rPr>
        <w:t>pair plots.</w:t>
      </w:r>
      <w:r>
        <w:rPr>
          <w:rFonts w:eastAsiaTheme="minorEastAsia"/>
        </w:rPr>
        <w:t xml:space="preserve"> </w:t>
      </w:r>
      <w:r>
        <w:t xml:space="preserve">Data analysis was conducted in </w:t>
      </w:r>
      <w:r w:rsidRPr="00EC446F">
        <w:rPr>
          <w:rFonts w:eastAsiaTheme="minorEastAsia"/>
        </w:rPr>
        <w:t>R v4.5.</w:t>
      </w:r>
      <w:r>
        <w:rPr>
          <w:rFonts w:eastAsiaTheme="minorEastAsia"/>
        </w:rPr>
        <w:t>2</w:t>
      </w:r>
      <w:r w:rsidRPr="00EC446F">
        <w:rPr>
          <w:rFonts w:eastAsiaTheme="minorEastAsia"/>
        </w:rPr>
        <w:t xml:space="preserve"> </w:t>
      </w:r>
      <w:r>
        <w:fldChar w:fldCharType="begin"/>
      </w:r>
      <w:r>
        <w:instrText>ADDIN BEC{R Core Team, 2026 #9949}</w:instrText>
      </w:r>
      <w:r>
        <w:fldChar w:fldCharType="separate"/>
      </w:r>
      <w:r>
        <w:t>(R Core Team 2026)</w:t>
      </w:r>
      <w:r>
        <w:fldChar w:fldCharType="end"/>
      </w:r>
      <w:r>
        <w:t xml:space="preserve"> </w:t>
      </w:r>
      <w:r w:rsidRPr="00EC446F">
        <w:rPr>
          <w:rFonts w:eastAsiaTheme="minorEastAsia"/>
        </w:rPr>
        <w:t>within the integrated development environment RStudio v</w:t>
      </w:r>
      <w:r w:rsidRPr="0062726C">
        <w:rPr>
          <w:rFonts w:eastAsiaTheme="minorEastAsia"/>
          <w:color w:val="000000"/>
        </w:rPr>
        <w:t>2026.</w:t>
      </w:r>
      <w:r w:rsidRPr="008E620F">
        <w:rPr>
          <w:rFonts w:eastAsiaTheme="minorEastAsia"/>
          <w:color w:val="000000"/>
        </w:rPr>
        <w:t>01.1+403</w:t>
      </w:r>
      <w:r>
        <w:rPr>
          <w:rFonts w:eastAsiaTheme="minorEastAsia"/>
          <w:color w:val="000000"/>
        </w:rPr>
        <w:t xml:space="preserve"> </w:t>
      </w:r>
      <w:r>
        <w:fldChar w:fldCharType="begin"/>
      </w:r>
      <w:r>
        <w:instrText>ADDIN BEC{RStudio Team, 2026 #92912}</w:instrText>
      </w:r>
      <w:r>
        <w:fldChar w:fldCharType="separate"/>
      </w:r>
      <w:r>
        <w:t>(RStudio Team 2026)</w:t>
      </w:r>
      <w:r>
        <w:fldChar w:fldCharType="end"/>
      </w:r>
      <w:r>
        <w:rPr>
          <w:rFonts w:eastAsiaTheme="minorEastAsia"/>
          <w:color w:val="000000"/>
        </w:rPr>
        <w:t xml:space="preserve"> </w:t>
      </w:r>
      <w:r w:rsidRPr="0062726C">
        <w:t xml:space="preserve">which communicates with CmdStan via the </w:t>
      </w:r>
      <w:r w:rsidRPr="0062726C">
        <w:rPr>
          <w:rFonts w:eastAsiaTheme="minorEastAsia"/>
        </w:rPr>
        <w:t xml:space="preserve">interface cmdstanr v0.9.0 </w:t>
      </w:r>
      <w:r>
        <w:fldChar w:fldCharType="begin"/>
      </w:r>
      <w:r>
        <w:instrText>ADDIN BEC{Gabry et al., 2025 #10453}</w:instrText>
      </w:r>
      <w:r>
        <w:fldChar w:fldCharType="separate"/>
      </w:r>
      <w:r>
        <w:t>(Gabry et al. 2025)</w:t>
      </w:r>
      <w:r>
        <w:fldChar w:fldCharType="end"/>
      </w:r>
      <w:r>
        <w:t>.</w:t>
      </w:r>
      <w:r w:rsidRPr="0051138B">
        <w:t xml:space="preserve"> </w:t>
      </w:r>
      <w:r>
        <w:t xml:space="preserve">Data analysis was facilitated by </w:t>
      </w:r>
      <w:r w:rsidRPr="00EC446F">
        <w:rPr>
          <w:rFonts w:eastAsiaTheme="minorEastAsia"/>
        </w:rPr>
        <w:t xml:space="preserve">the tidyverse package family v2.0.0 </w:t>
      </w:r>
      <w:r>
        <w:fldChar w:fldCharType="begin"/>
      </w:r>
      <w:r>
        <w:instrText>ADDIN BEC{Wickham et al., 2019 #66555}</w:instrText>
      </w:r>
      <w:r>
        <w:fldChar w:fldCharType="separate"/>
      </w:r>
      <w:r>
        <w:t>(Wickham et al. 2019)</w:t>
      </w:r>
      <w:r>
        <w:fldChar w:fldCharType="end"/>
      </w:r>
      <w:r>
        <w:rPr>
          <w:rFonts w:eastAsiaTheme="minorEastAsia"/>
        </w:rPr>
        <w:t xml:space="preserve">, </w:t>
      </w:r>
      <w:r w:rsidRPr="00EC446F">
        <w:rPr>
          <w:rFonts w:eastAsiaTheme="minorEastAsia"/>
        </w:rPr>
        <w:t xml:space="preserve">tidybayes v3.0.7 </w:t>
      </w:r>
      <w:r>
        <w:fldChar w:fldCharType="begin"/>
      </w:r>
      <w:r>
        <w:instrText>ADDIN BEC{Kay, 2024 #27001}</w:instrText>
      </w:r>
      <w:r>
        <w:fldChar w:fldCharType="separate"/>
      </w:r>
      <w:r>
        <w:t>(Kay 2024)</w:t>
      </w:r>
      <w:r>
        <w:fldChar w:fldCharType="end"/>
      </w:r>
      <w:r>
        <w:t xml:space="preserve">, </w:t>
      </w:r>
      <w:r w:rsidRPr="00EC446F">
        <w:rPr>
          <w:rFonts w:eastAsiaTheme="minorEastAsia"/>
        </w:rPr>
        <w:t xml:space="preserve">bayesplot v1.14.0 </w:t>
      </w:r>
      <w:r>
        <w:fldChar w:fldCharType="begin"/>
      </w:r>
      <w:r>
        <w:instrText>ADDIN BEC{Gabry et al., 2019 #66883}</w:instrText>
      </w:r>
      <w:r>
        <w:fldChar w:fldCharType="separate"/>
      </w:r>
      <w:r>
        <w:t>(Gabry et al. 2019)</w:t>
      </w:r>
      <w:r>
        <w:fldChar w:fldCharType="end"/>
      </w:r>
      <w:r>
        <w:t xml:space="preserve">, </w:t>
      </w:r>
      <w:r w:rsidRPr="00FC0FB4">
        <w:t>here v1.0.2</w:t>
      </w:r>
      <w:r>
        <w:t xml:space="preserve"> </w:t>
      </w:r>
      <w:r>
        <w:fldChar w:fldCharType="begin"/>
      </w:r>
      <w:r>
        <w:instrText>ADDIN BEC{Mьller, 2025 #63058}</w:instrText>
      </w:r>
      <w:r>
        <w:fldChar w:fldCharType="separate"/>
      </w:r>
      <w:r>
        <w:t>(Müller 2025)</w:t>
      </w:r>
      <w:r>
        <w:fldChar w:fldCharType="end"/>
      </w:r>
      <w:r w:rsidRPr="00FC0FB4">
        <w:t xml:space="preserve">, ggh4x v0.3.1 </w:t>
      </w:r>
      <w:r>
        <w:fldChar w:fldCharType="begin"/>
      </w:r>
      <w:r>
        <w:instrText>ADDIN BEC{van den Brand, 2025 #26515}</w:instrText>
      </w:r>
      <w:r>
        <w:fldChar w:fldCharType="separate"/>
      </w:r>
      <w:r>
        <w:t>(van den Brand 2025)</w:t>
      </w:r>
      <w:r>
        <w:fldChar w:fldCharType="end"/>
      </w:r>
      <w:r>
        <w:t xml:space="preserve">, </w:t>
      </w:r>
      <w:r w:rsidRPr="00FC0FB4">
        <w:t xml:space="preserve">patchwork v1.3.2 </w:t>
      </w:r>
      <w:r>
        <w:fldChar w:fldCharType="begin"/>
      </w:r>
      <w:r>
        <w:instrText>ADDIN BEC{Pedersen, 2025 #5745}</w:instrText>
      </w:r>
      <w:r>
        <w:fldChar w:fldCharType="separate"/>
      </w:r>
      <w:r>
        <w:t>(Pedersen 2025)</w:t>
      </w:r>
      <w:r>
        <w:fldChar w:fldCharType="end"/>
      </w:r>
      <w:r w:rsidRPr="00FC0FB4">
        <w:t xml:space="preserve"> and officer v0.7.0 </w:t>
      </w:r>
      <w:r>
        <w:fldChar w:fldCharType="begin"/>
      </w:r>
      <w:r>
        <w:instrText>ADDIN BEC{Gohel et al., 2025 #30579}</w:instrText>
      </w:r>
      <w:r>
        <w:fldChar w:fldCharType="separate"/>
      </w:r>
      <w:r>
        <w:t>(Gohel et al. 2025)</w:t>
      </w:r>
      <w:r>
        <w:fldChar w:fldCharType="end"/>
      </w:r>
      <w:r w:rsidRPr="00EC446F">
        <w:rPr>
          <w:rFonts w:eastAsiaTheme="minorEastAsia"/>
        </w:rPr>
        <w:t xml:space="preserve">. See </w:t>
      </w:r>
      <w:hyperlink r:id="rId20" w:history="1">
        <w:r w:rsidRPr="0051138B">
          <w:rPr>
            <w:rStyle w:val="Hyperlink"/>
            <w:rFonts w:eastAsiaTheme="minorEastAsia"/>
            <w:color w:val="auto"/>
            <w:lang w:bidi="he-IL"/>
          </w:rPr>
          <w:t>github.com/lukaseamus/kelp-burial</w:t>
        </w:r>
      </w:hyperlink>
      <w:r w:rsidRPr="00EC446F">
        <w:rPr>
          <w:rFonts w:eastAsiaTheme="minorEastAsia"/>
        </w:rPr>
        <w:t xml:space="preserve"> for </w:t>
      </w:r>
      <w:r>
        <w:rPr>
          <w:rFonts w:eastAsiaTheme="minorEastAsia"/>
        </w:rPr>
        <w:t>data, annotated code and diagnostic plots</w:t>
      </w:r>
      <w:r w:rsidRPr="00EC446F">
        <w:rPr>
          <w:rFonts w:eastAsiaTheme="minorEastAsia"/>
        </w:rPr>
        <w:t>.</w:t>
      </w:r>
    </w:p>
    <w:p w14:paraId="04972A8A" w14:textId="77777777" w:rsidR="004B30BC" w:rsidRPr="00256DE8" w:rsidRDefault="004B30BC" w:rsidP="004B30BC"/>
    <w:p w14:paraId="3647AACD" w14:textId="77777777" w:rsidR="004B30BC" w:rsidRPr="00256DE8" w:rsidRDefault="004B30BC" w:rsidP="004B30BC">
      <w:pPr>
        <w:rPr>
          <w:b/>
          <w:bCs/>
        </w:rPr>
      </w:pPr>
      <w:r w:rsidRPr="00256DE8">
        <w:rPr>
          <w:b/>
          <w:bCs/>
        </w:rPr>
        <w:t>Results</w:t>
      </w:r>
    </w:p>
    <w:p w14:paraId="76705CED" w14:textId="77777777" w:rsidR="004B30BC" w:rsidRDefault="004B30BC" w:rsidP="004B30BC"/>
    <w:p w14:paraId="4FA9E3DC" w14:textId="77777777" w:rsidR="004B30BC" w:rsidRPr="00256DE8" w:rsidRDefault="004B30BC" w:rsidP="004B30BC">
      <w:r>
        <w:lastRenderedPageBreak/>
        <w:t>Baseline carbon stock and sediment characteristics</w:t>
      </w:r>
    </w:p>
    <w:p w14:paraId="43976130" w14:textId="77777777" w:rsidR="004B30BC" w:rsidRPr="00256DE8" w:rsidRDefault="004B30BC" w:rsidP="004B30BC"/>
    <w:p w14:paraId="2178485B" w14:textId="77777777" w:rsidR="004B30BC" w:rsidRPr="00256DE8" w:rsidRDefault="004B30BC" w:rsidP="004B30BC">
      <w:r w:rsidRPr="00256DE8">
        <w:rPr>
          <w:b/>
          <w:bCs/>
        </w:rPr>
        <w:t>Table 2</w:t>
      </w:r>
      <w:r w:rsidRPr="00256DE8">
        <w:t>. Baseline sediment</w:t>
      </w:r>
      <w:r>
        <w:t xml:space="preserve"> granulometry, inorganic and organic carbon contents and natural </w:t>
      </w:r>
      <w:r w:rsidRPr="00201801">
        <w:rPr>
          <w:vertAlign w:val="superscript"/>
        </w:rPr>
        <w:t>13</w:t>
      </w:r>
      <w:r>
        <w:t>C abundance</w:t>
      </w:r>
      <w:r w:rsidRPr="00256DE8">
        <w:t>. All estimates are given as mean ± standard deviation (n). δ</w:t>
      </w:r>
      <w:r w:rsidRPr="00256DE8">
        <w:rPr>
          <w:vertAlign w:val="superscript"/>
        </w:rPr>
        <w:t>13</w:t>
      </w:r>
      <w:r w:rsidRPr="00256DE8">
        <w:t>C</w:t>
      </w:r>
      <w:r w:rsidRPr="00256DE8">
        <w:rPr>
          <w:vertAlign w:val="subscript"/>
        </w:rPr>
        <w:t>org</w:t>
      </w:r>
      <w:r w:rsidRPr="00256DE8">
        <w:t xml:space="preserve"> is given relative to Vienna Peedee belemnite (VPDB).</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3"/>
        <w:gridCol w:w="1825"/>
        <w:gridCol w:w="1755"/>
        <w:gridCol w:w="2139"/>
        <w:gridCol w:w="1834"/>
      </w:tblGrid>
      <w:tr w:rsidR="004B30BC" w:rsidRPr="00256DE8" w14:paraId="47438755" w14:textId="77777777" w:rsidTr="00371E9E">
        <w:tc>
          <w:tcPr>
            <w:tcW w:w="816" w:type="pct"/>
            <w:tcBorders>
              <w:top w:val="single" w:sz="4" w:space="0" w:color="auto"/>
              <w:bottom w:val="single" w:sz="4" w:space="0" w:color="auto"/>
            </w:tcBorders>
          </w:tcPr>
          <w:p w14:paraId="1E7C7D56" w14:textId="77777777" w:rsidR="004B30BC" w:rsidRPr="00256DE8" w:rsidRDefault="004B30BC" w:rsidP="00371E9E">
            <w:pPr>
              <w:rPr>
                <w:b/>
                <w:bCs/>
              </w:rPr>
            </w:pPr>
            <w:r w:rsidRPr="00256DE8">
              <w:rPr>
                <w:b/>
                <w:bCs/>
              </w:rPr>
              <w:t>Sediment</w:t>
            </w:r>
          </w:p>
        </w:tc>
        <w:tc>
          <w:tcPr>
            <w:tcW w:w="1011" w:type="pct"/>
            <w:tcBorders>
              <w:top w:val="single" w:sz="4" w:space="0" w:color="auto"/>
              <w:bottom w:val="single" w:sz="4" w:space="0" w:color="auto"/>
            </w:tcBorders>
          </w:tcPr>
          <w:p w14:paraId="28E12183" w14:textId="77777777" w:rsidR="004B30BC" w:rsidRPr="00256DE8" w:rsidRDefault="004B30BC" w:rsidP="00371E9E">
            <w:pPr>
              <w:rPr>
                <w:b/>
                <w:bCs/>
              </w:rPr>
            </w:pPr>
            <w:r w:rsidRPr="00256DE8">
              <w:rPr>
                <w:b/>
                <w:bCs/>
              </w:rPr>
              <w:t>Size (log</w:t>
            </w:r>
            <w:r w:rsidRPr="00256DE8">
              <w:rPr>
                <w:b/>
                <w:bCs/>
                <w:vertAlign w:val="subscript"/>
              </w:rPr>
              <w:t>10</w:t>
            </w:r>
            <w:r w:rsidRPr="00256DE8">
              <w:rPr>
                <w:b/>
                <w:bCs/>
              </w:rPr>
              <w:t xml:space="preserve"> µm)</w:t>
            </w:r>
          </w:p>
        </w:tc>
        <w:tc>
          <w:tcPr>
            <w:tcW w:w="972" w:type="pct"/>
            <w:tcBorders>
              <w:top w:val="single" w:sz="4" w:space="0" w:color="auto"/>
              <w:bottom w:val="single" w:sz="4" w:space="0" w:color="auto"/>
            </w:tcBorders>
          </w:tcPr>
          <w:p w14:paraId="5FCF6D30" w14:textId="77777777" w:rsidR="004B30BC" w:rsidRPr="00256DE8" w:rsidRDefault="004B30BC" w:rsidP="00371E9E">
            <w:pPr>
              <w:rPr>
                <w:b/>
                <w:bCs/>
              </w:rPr>
            </w:pPr>
            <w:r w:rsidRPr="00256DE8">
              <w:rPr>
                <w:b/>
                <w:bCs/>
              </w:rPr>
              <w:t>C</w:t>
            </w:r>
            <w:r w:rsidRPr="00256DE8">
              <w:rPr>
                <w:b/>
                <w:bCs/>
                <w:vertAlign w:val="subscript"/>
              </w:rPr>
              <w:t>inorg</w:t>
            </w:r>
            <w:r w:rsidRPr="00256DE8">
              <w:rPr>
                <w:b/>
                <w:bCs/>
              </w:rPr>
              <w:t xml:space="preserve"> (%)</w:t>
            </w:r>
          </w:p>
        </w:tc>
        <w:tc>
          <w:tcPr>
            <w:tcW w:w="1185" w:type="pct"/>
            <w:tcBorders>
              <w:top w:val="single" w:sz="4" w:space="0" w:color="auto"/>
              <w:bottom w:val="single" w:sz="4" w:space="0" w:color="auto"/>
            </w:tcBorders>
          </w:tcPr>
          <w:p w14:paraId="339CB908" w14:textId="77777777" w:rsidR="004B30BC" w:rsidRPr="00256DE8" w:rsidRDefault="004B30BC" w:rsidP="00371E9E">
            <w:pPr>
              <w:rPr>
                <w:b/>
                <w:bCs/>
              </w:rPr>
            </w:pPr>
            <w:r w:rsidRPr="00256DE8">
              <w:rPr>
                <w:b/>
                <w:bCs/>
              </w:rPr>
              <w:t>C</w:t>
            </w:r>
            <w:r w:rsidRPr="00256DE8">
              <w:rPr>
                <w:b/>
                <w:bCs/>
                <w:vertAlign w:val="subscript"/>
              </w:rPr>
              <w:t>org</w:t>
            </w:r>
            <w:r w:rsidRPr="00256DE8">
              <w:rPr>
                <w:b/>
                <w:bCs/>
              </w:rPr>
              <w:t xml:space="preserve"> (%)</w:t>
            </w:r>
          </w:p>
        </w:tc>
        <w:tc>
          <w:tcPr>
            <w:tcW w:w="1016" w:type="pct"/>
            <w:tcBorders>
              <w:top w:val="single" w:sz="4" w:space="0" w:color="auto"/>
              <w:bottom w:val="single" w:sz="4" w:space="0" w:color="auto"/>
            </w:tcBorders>
          </w:tcPr>
          <w:p w14:paraId="1E7345A5" w14:textId="77777777" w:rsidR="004B30BC" w:rsidRPr="00256DE8" w:rsidRDefault="004B30BC" w:rsidP="00371E9E">
            <w:pPr>
              <w:rPr>
                <w:b/>
                <w:bCs/>
              </w:rPr>
            </w:pPr>
            <w:r w:rsidRPr="00256DE8">
              <w:rPr>
                <w:b/>
                <w:bCs/>
              </w:rPr>
              <w:t>δ</w:t>
            </w:r>
            <w:r w:rsidRPr="00256DE8">
              <w:rPr>
                <w:b/>
                <w:bCs/>
                <w:vertAlign w:val="superscript"/>
              </w:rPr>
              <w:t>13</w:t>
            </w:r>
            <w:r w:rsidRPr="00256DE8">
              <w:rPr>
                <w:b/>
                <w:bCs/>
              </w:rPr>
              <w:t>C</w:t>
            </w:r>
            <w:r w:rsidRPr="00256DE8">
              <w:rPr>
                <w:b/>
                <w:bCs/>
                <w:vertAlign w:val="subscript"/>
              </w:rPr>
              <w:t>org</w:t>
            </w:r>
            <w:r w:rsidRPr="00256DE8">
              <w:rPr>
                <w:b/>
                <w:bCs/>
              </w:rPr>
              <w:t xml:space="preserve"> (‰)</w:t>
            </w:r>
          </w:p>
        </w:tc>
      </w:tr>
      <w:tr w:rsidR="004B30BC" w:rsidRPr="00256DE8" w14:paraId="205DA314" w14:textId="77777777" w:rsidTr="00371E9E">
        <w:tc>
          <w:tcPr>
            <w:tcW w:w="816" w:type="pct"/>
            <w:tcBorders>
              <w:top w:val="single" w:sz="4" w:space="0" w:color="auto"/>
            </w:tcBorders>
          </w:tcPr>
          <w:p w14:paraId="04ABB128" w14:textId="77777777" w:rsidR="004B30BC" w:rsidRPr="00256DE8" w:rsidRDefault="004B30BC" w:rsidP="00371E9E">
            <w:r w:rsidRPr="00256DE8">
              <w:t>Coarse sand</w:t>
            </w:r>
          </w:p>
        </w:tc>
        <w:tc>
          <w:tcPr>
            <w:tcW w:w="1011" w:type="pct"/>
            <w:tcBorders>
              <w:top w:val="single" w:sz="4" w:space="0" w:color="auto"/>
            </w:tcBorders>
          </w:tcPr>
          <w:p w14:paraId="49B806E0" w14:textId="77777777" w:rsidR="004B30BC" w:rsidRPr="00256DE8" w:rsidRDefault="004B30BC" w:rsidP="00371E9E">
            <w:r w:rsidRPr="00256DE8">
              <w:t>2.7 ± 0.17 (21)</w:t>
            </w:r>
          </w:p>
        </w:tc>
        <w:tc>
          <w:tcPr>
            <w:tcW w:w="972" w:type="pct"/>
            <w:tcBorders>
              <w:top w:val="single" w:sz="4" w:space="0" w:color="auto"/>
            </w:tcBorders>
          </w:tcPr>
          <w:p w14:paraId="33EC93D2" w14:textId="77777777" w:rsidR="004B30BC" w:rsidRPr="00256DE8" w:rsidRDefault="004B30BC" w:rsidP="00371E9E">
            <w:r w:rsidRPr="00256DE8">
              <w:t>6.8 ± 0.42 (21)</w:t>
            </w:r>
          </w:p>
        </w:tc>
        <w:tc>
          <w:tcPr>
            <w:tcW w:w="1185" w:type="pct"/>
            <w:tcBorders>
              <w:top w:val="single" w:sz="4" w:space="0" w:color="auto"/>
            </w:tcBorders>
          </w:tcPr>
          <w:p w14:paraId="15EFADF7" w14:textId="77777777" w:rsidR="004B30BC" w:rsidRPr="00256DE8" w:rsidRDefault="004B30BC" w:rsidP="00371E9E">
            <w:r w:rsidRPr="00256DE8">
              <w:t>0.059 ± 0.012 (10)</w:t>
            </w:r>
          </w:p>
        </w:tc>
        <w:tc>
          <w:tcPr>
            <w:tcW w:w="1016" w:type="pct"/>
            <w:tcBorders>
              <w:top w:val="single" w:sz="4" w:space="0" w:color="auto"/>
            </w:tcBorders>
          </w:tcPr>
          <w:p w14:paraId="26F1ABEE" w14:textId="77777777" w:rsidR="004B30BC" w:rsidRPr="00256DE8" w:rsidRDefault="004B30BC" w:rsidP="00371E9E">
            <w:r w:rsidRPr="00256DE8">
              <w:t>−20 ± 0.29 (10)</w:t>
            </w:r>
          </w:p>
        </w:tc>
      </w:tr>
      <w:tr w:rsidR="004B30BC" w:rsidRPr="00256DE8" w14:paraId="19AFB432" w14:textId="77777777" w:rsidTr="00371E9E">
        <w:tc>
          <w:tcPr>
            <w:tcW w:w="816" w:type="pct"/>
          </w:tcPr>
          <w:p w14:paraId="4345F308" w14:textId="77777777" w:rsidR="004B30BC" w:rsidRPr="00256DE8" w:rsidRDefault="004B30BC" w:rsidP="00371E9E">
            <w:r w:rsidRPr="00256DE8">
              <w:t>Fine sand</w:t>
            </w:r>
          </w:p>
        </w:tc>
        <w:tc>
          <w:tcPr>
            <w:tcW w:w="1011" w:type="pct"/>
          </w:tcPr>
          <w:p w14:paraId="6D895FA8" w14:textId="77777777" w:rsidR="004B30BC" w:rsidRPr="00256DE8" w:rsidRDefault="004B30BC" w:rsidP="00371E9E">
            <w:r w:rsidRPr="00256DE8">
              <w:t>2.3 ± 0.62 (21)</w:t>
            </w:r>
          </w:p>
        </w:tc>
        <w:tc>
          <w:tcPr>
            <w:tcW w:w="972" w:type="pct"/>
          </w:tcPr>
          <w:p w14:paraId="4A27A37F" w14:textId="77777777" w:rsidR="004B30BC" w:rsidRPr="00256DE8" w:rsidRDefault="004B30BC" w:rsidP="00371E9E">
            <w:r w:rsidRPr="00256DE8">
              <w:t>9 ± 1 (84)</w:t>
            </w:r>
          </w:p>
        </w:tc>
        <w:tc>
          <w:tcPr>
            <w:tcW w:w="1185" w:type="pct"/>
          </w:tcPr>
          <w:p w14:paraId="6DB81587" w14:textId="77777777" w:rsidR="004B30BC" w:rsidRPr="00256DE8" w:rsidRDefault="004B30BC" w:rsidP="00371E9E">
            <w:r w:rsidRPr="00256DE8">
              <w:t>0.82 ± 0.34 (35)</w:t>
            </w:r>
          </w:p>
        </w:tc>
        <w:tc>
          <w:tcPr>
            <w:tcW w:w="1016" w:type="pct"/>
          </w:tcPr>
          <w:p w14:paraId="4A1EC671" w14:textId="77777777" w:rsidR="004B30BC" w:rsidRPr="00256DE8" w:rsidRDefault="004B30BC" w:rsidP="00371E9E">
            <w:r w:rsidRPr="00256DE8">
              <w:t>−17 ± 0.83 (35)</w:t>
            </w:r>
          </w:p>
        </w:tc>
      </w:tr>
      <w:tr w:rsidR="004B30BC" w:rsidRPr="00256DE8" w14:paraId="581E1EF3" w14:textId="77777777" w:rsidTr="00371E9E">
        <w:tc>
          <w:tcPr>
            <w:tcW w:w="816" w:type="pct"/>
            <w:tcBorders>
              <w:bottom w:val="single" w:sz="4" w:space="0" w:color="auto"/>
            </w:tcBorders>
          </w:tcPr>
          <w:p w14:paraId="04A09F29" w14:textId="77777777" w:rsidR="004B30BC" w:rsidRPr="00256DE8" w:rsidRDefault="004B30BC" w:rsidP="00371E9E">
            <w:r w:rsidRPr="00256DE8">
              <w:t>Silt</w:t>
            </w:r>
          </w:p>
        </w:tc>
        <w:tc>
          <w:tcPr>
            <w:tcW w:w="1011" w:type="pct"/>
            <w:tcBorders>
              <w:bottom w:val="single" w:sz="4" w:space="0" w:color="auto"/>
            </w:tcBorders>
          </w:tcPr>
          <w:p w14:paraId="210695D4" w14:textId="77777777" w:rsidR="004B30BC" w:rsidRPr="00256DE8" w:rsidRDefault="004B30BC" w:rsidP="00371E9E">
            <w:r w:rsidRPr="00256DE8">
              <w:t>1.4 ± 0.58 (3)</w:t>
            </w:r>
          </w:p>
        </w:tc>
        <w:tc>
          <w:tcPr>
            <w:tcW w:w="972" w:type="pct"/>
            <w:tcBorders>
              <w:bottom w:val="single" w:sz="4" w:space="0" w:color="auto"/>
            </w:tcBorders>
          </w:tcPr>
          <w:p w14:paraId="14AEA6C2" w14:textId="77777777" w:rsidR="004B30BC" w:rsidRPr="00256DE8" w:rsidRDefault="004B30BC" w:rsidP="00371E9E">
            <w:r w:rsidRPr="00256DE8">
              <w:t>1.3 ± 0.13 (62)</w:t>
            </w:r>
          </w:p>
        </w:tc>
        <w:tc>
          <w:tcPr>
            <w:tcW w:w="1185" w:type="pct"/>
            <w:tcBorders>
              <w:bottom w:val="single" w:sz="4" w:space="0" w:color="auto"/>
            </w:tcBorders>
          </w:tcPr>
          <w:p w14:paraId="0B40118F" w14:textId="77777777" w:rsidR="004B30BC" w:rsidRPr="00256DE8" w:rsidRDefault="004B30BC" w:rsidP="00371E9E">
            <w:r w:rsidRPr="00256DE8">
              <w:t>2.8 ± 0.27 (61)</w:t>
            </w:r>
          </w:p>
        </w:tc>
        <w:tc>
          <w:tcPr>
            <w:tcW w:w="1016" w:type="pct"/>
            <w:tcBorders>
              <w:bottom w:val="single" w:sz="4" w:space="0" w:color="auto"/>
            </w:tcBorders>
          </w:tcPr>
          <w:p w14:paraId="33EE4D74" w14:textId="77777777" w:rsidR="004B30BC" w:rsidRPr="00256DE8" w:rsidRDefault="004B30BC" w:rsidP="00371E9E">
            <w:r w:rsidRPr="00256DE8">
              <w:t>−26 ± 0.28 (61)</w:t>
            </w:r>
          </w:p>
        </w:tc>
      </w:tr>
    </w:tbl>
    <w:p w14:paraId="169638E1" w14:textId="77777777" w:rsidR="004B30BC" w:rsidRPr="00256DE8" w:rsidRDefault="004B30BC" w:rsidP="004B30BC">
      <w:pPr>
        <w:rPr>
          <w:sz w:val="20"/>
          <w:szCs w:val="20"/>
        </w:rPr>
      </w:pPr>
    </w:p>
    <w:p w14:paraId="1C10D918" w14:textId="77777777" w:rsidR="004B30BC" w:rsidRPr="00DC793B" w:rsidRDefault="004B30BC" w:rsidP="004B30BC"/>
    <w:p w14:paraId="4D6540E3" w14:textId="77777777" w:rsidR="004B30BC" w:rsidRDefault="004B30BC" w:rsidP="004B30BC">
      <w:r w:rsidRPr="00DC793B">
        <w:t>Fractional contribution of kelp</w:t>
      </w:r>
    </w:p>
    <w:p w14:paraId="40773622" w14:textId="77777777" w:rsidR="004B30BC" w:rsidRDefault="004B30BC" w:rsidP="004B30BC"/>
    <w:p w14:paraId="38647EE2" w14:textId="77777777" w:rsidR="004B30BC" w:rsidRDefault="004B30BC" w:rsidP="004B30BC">
      <w:r>
        <w:t xml:space="preserve">Bioturbators </w:t>
      </w:r>
    </w:p>
    <w:p w14:paraId="0264775A" w14:textId="77777777" w:rsidR="004B30BC" w:rsidRDefault="004B30BC" w:rsidP="004B30BC"/>
    <w:p w14:paraId="6343639A" w14:textId="77777777" w:rsidR="004B30BC" w:rsidRDefault="004B30BC" w:rsidP="004B30BC">
      <w:r>
        <w:t xml:space="preserve">Proportion of remaining kelp </w:t>
      </w:r>
    </w:p>
    <w:p w14:paraId="2B50F5B9" w14:textId="77777777" w:rsidR="004B30BC" w:rsidRDefault="004B30BC" w:rsidP="004B30BC"/>
    <w:p w14:paraId="5BEF7E77" w14:textId="77777777" w:rsidR="004B30BC" w:rsidRPr="00DC793B" w:rsidRDefault="004B30BC" w:rsidP="004B30BC"/>
    <w:p w14:paraId="0DD38748" w14:textId="0003320F" w:rsidR="004B30BC" w:rsidRPr="00256DE8" w:rsidRDefault="004B30BC" w:rsidP="004B30BC">
      <w:r>
        <w:rPr>
          <w:noProof/>
        </w:rPr>
        <w:lastRenderedPageBreak/>
        <w:drawing>
          <wp:anchor distT="0" distB="0" distL="114300" distR="114300" simplePos="0" relativeHeight="251659264" behindDoc="0" locked="0" layoutInCell="1" allowOverlap="1" wp14:anchorId="0C9CF783" wp14:editId="06B59AE0">
            <wp:simplePos x="0" y="0"/>
            <wp:positionH relativeFrom="margin">
              <wp:align>center</wp:align>
            </wp:positionH>
            <wp:positionV relativeFrom="paragraph">
              <wp:posOffset>0</wp:posOffset>
            </wp:positionV>
            <wp:extent cx="5731510" cy="5731510"/>
            <wp:effectExtent l="0" t="0" r="0" b="0"/>
            <wp:wrapTopAndBottom/>
            <wp:docPr id="3857796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56DE8">
        <w:rPr>
          <w:b/>
          <w:bCs/>
        </w:rPr>
        <w:t>Figure 1</w:t>
      </w:r>
      <w:r w:rsidRPr="00256DE8">
        <w:t>. Kelp contribution (</w:t>
      </w:r>
      <w:r w:rsidRPr="00256DE8">
        <w:rPr>
          <w:i/>
          <w:iCs/>
        </w:rPr>
        <w:t>f</w:t>
      </w:r>
      <w:r w:rsidRPr="00256DE8">
        <w:t xml:space="preserve"> </w:t>
      </w:r>
      <w:r>
        <w:t xml:space="preserve">and </w:t>
      </w:r>
      <w:r w:rsidRPr="00DE00FD">
        <w:rPr>
          <w:i/>
          <w:iCs/>
        </w:rPr>
        <w:t>f</w:t>
      </w:r>
      <w:r w:rsidRPr="00DE00FD">
        <w:rPr>
          <w:i/>
          <w:iCs/>
          <w:vertAlign w:val="subscript"/>
        </w:rPr>
        <w:t>E</w:t>
      </w:r>
      <w:r>
        <w:t xml:space="preserve"> </w:t>
      </w:r>
      <w:r w:rsidRPr="00256DE8">
        <w:t>in Equation</w:t>
      </w:r>
      <w:r>
        <w:t>s</w:t>
      </w:r>
      <w:r w:rsidRPr="00256DE8">
        <w:t xml:space="preserve"> 1</w:t>
      </w:r>
      <w:r>
        <w:t xml:space="preserve"> and 2</w:t>
      </w:r>
      <w:r w:rsidRPr="00256DE8">
        <w:t>) to sediment organic carbon (C</w:t>
      </w:r>
      <w:r w:rsidRPr="00256DE8">
        <w:rPr>
          <w:vertAlign w:val="subscript"/>
        </w:rPr>
        <w:t>org</w:t>
      </w:r>
      <w:r w:rsidRPr="00256DE8">
        <w:t xml:space="preserve">) in response to kelp species (Table 1), sediment </w:t>
      </w:r>
      <w:r>
        <w:t>type</w:t>
      </w:r>
      <w:r w:rsidRPr="00256DE8">
        <w:t xml:space="preserve"> (Table 2), kelp influx load (g dry mass), sediment depth (1-cm horizons) and time since kelp influx. Note the varying response scale across horizons. One sediment core that was inhabited by a burrowing shrimp is highlighted in the 1–2-cm horizon. The effect of its bioturbation can be traced into lower horizons of the same core.</w:t>
      </w:r>
    </w:p>
    <w:p w14:paraId="06F985CA" w14:textId="77777777" w:rsidR="004B30BC" w:rsidRPr="00256DE8" w:rsidRDefault="004B30BC" w:rsidP="004B30BC"/>
    <w:p w14:paraId="2D8E4570" w14:textId="77777777" w:rsidR="004B30BC" w:rsidRPr="00256DE8" w:rsidRDefault="004B30BC" w:rsidP="004B30BC"/>
    <w:p w14:paraId="460AB639" w14:textId="77777777" w:rsidR="004B30BC" w:rsidRPr="00256DE8" w:rsidRDefault="004B30BC" w:rsidP="004B30BC"/>
    <w:p w14:paraId="23FD8F10" w14:textId="77777777" w:rsidR="004B30BC" w:rsidRPr="00256DE8" w:rsidRDefault="004B30BC" w:rsidP="004B30BC"/>
    <w:p w14:paraId="516610EF" w14:textId="77777777" w:rsidR="004B30BC" w:rsidRPr="00256DE8" w:rsidRDefault="004B30BC" w:rsidP="004B30BC"/>
    <w:p w14:paraId="53A47C89" w14:textId="77777777" w:rsidR="004B30BC" w:rsidRPr="00256DE8" w:rsidRDefault="004B30BC" w:rsidP="004B30BC"/>
    <w:p w14:paraId="684A7A32" w14:textId="77777777" w:rsidR="004B30BC" w:rsidRPr="00256DE8" w:rsidRDefault="004B30BC" w:rsidP="004B30BC"/>
    <w:p w14:paraId="0C3EB59F" w14:textId="77777777" w:rsidR="004B30BC" w:rsidRPr="00256DE8" w:rsidRDefault="004B30BC" w:rsidP="004B30BC"/>
    <w:p w14:paraId="5CCA45FD" w14:textId="3AFAC91C" w:rsidR="004B30BC" w:rsidRPr="00256DE8" w:rsidRDefault="004B30BC" w:rsidP="004B30BC">
      <w:r>
        <w:rPr>
          <w:noProof/>
        </w:rPr>
        <w:lastRenderedPageBreak/>
        <w:drawing>
          <wp:anchor distT="0" distB="0" distL="114300" distR="114300" simplePos="0" relativeHeight="251660288" behindDoc="0" locked="0" layoutInCell="1" allowOverlap="1" wp14:anchorId="7CD022B8" wp14:editId="42A1244F">
            <wp:simplePos x="0" y="0"/>
            <wp:positionH relativeFrom="margin">
              <wp:align>center</wp:align>
            </wp:positionH>
            <wp:positionV relativeFrom="paragraph">
              <wp:posOffset>0</wp:posOffset>
            </wp:positionV>
            <wp:extent cx="5731510" cy="5731510"/>
            <wp:effectExtent l="0" t="0" r="0" b="0"/>
            <wp:wrapTopAndBottom/>
            <wp:docPr id="9968963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56DE8">
        <w:rPr>
          <w:b/>
          <w:bCs/>
        </w:rPr>
        <w:t>Figure 2</w:t>
      </w:r>
      <w:r w:rsidRPr="00256DE8">
        <w:t>. Remaining fraction of added kelp (</w:t>
      </w:r>
      <w:r w:rsidRPr="00256DE8">
        <w:rPr>
          <w:i/>
          <w:iCs/>
        </w:rPr>
        <w:t>p</w:t>
      </w:r>
      <w:r w:rsidRPr="00256DE8">
        <w:t xml:space="preserve"> in Equation </w:t>
      </w:r>
      <w:r>
        <w:t>3</w:t>
      </w:r>
      <w:r w:rsidRPr="00256DE8">
        <w:t xml:space="preserve">) in response to kelp species (Table 1), sediment </w:t>
      </w:r>
      <w:r>
        <w:t>type</w:t>
      </w:r>
      <w:r w:rsidRPr="00256DE8">
        <w:t xml:space="preserve"> (Table 2), kelp influx load (g dry mass), sediment depth (1-cm horizons) and time since kelp influx. Note the varying response scale across horizons. Sediment cores with notable effects of observed bioturbators are highlighted in the 1–2-cm horizon. In two cases the effect of bioturbation can be traced into lower horizons of the same core.</w:t>
      </w:r>
    </w:p>
    <w:p w14:paraId="56EBE1B6" w14:textId="77777777" w:rsidR="004B30BC" w:rsidRPr="00256DE8" w:rsidRDefault="004B30BC" w:rsidP="004B30BC">
      <w:pPr>
        <w:rPr>
          <w:sz w:val="20"/>
          <w:szCs w:val="20"/>
        </w:rPr>
      </w:pPr>
    </w:p>
    <w:p w14:paraId="323EE50D" w14:textId="77777777" w:rsidR="004B30BC" w:rsidRPr="00256DE8" w:rsidRDefault="004B30BC" w:rsidP="004B30BC">
      <w:pPr>
        <w:rPr>
          <w:sz w:val="20"/>
          <w:szCs w:val="20"/>
        </w:rPr>
      </w:pPr>
    </w:p>
    <w:p w14:paraId="31E5E6B6" w14:textId="409BD6DE" w:rsidR="004B30BC" w:rsidRPr="00256DE8" w:rsidRDefault="004B30BC" w:rsidP="004B30BC">
      <w:pPr>
        <w:rPr>
          <w:sz w:val="20"/>
          <w:szCs w:val="20"/>
        </w:rPr>
      </w:pPr>
      <w:r>
        <w:rPr>
          <w:noProof/>
        </w:rPr>
        <w:lastRenderedPageBreak/>
        <w:drawing>
          <wp:anchor distT="0" distB="0" distL="114300" distR="114300" simplePos="0" relativeHeight="251661312" behindDoc="0" locked="0" layoutInCell="1" allowOverlap="1" wp14:anchorId="57D0EDA5" wp14:editId="39F9D637">
            <wp:simplePos x="0" y="0"/>
            <wp:positionH relativeFrom="margin">
              <wp:align>center</wp:align>
            </wp:positionH>
            <wp:positionV relativeFrom="paragraph">
              <wp:posOffset>0</wp:posOffset>
            </wp:positionV>
            <wp:extent cx="5731510" cy="4167505"/>
            <wp:effectExtent l="0" t="0" r="0" b="0"/>
            <wp:wrapTopAndBottom/>
            <wp:docPr id="16582839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1675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56DE8">
        <w:rPr>
          <w:b/>
          <w:bCs/>
        </w:rPr>
        <w:t>Figure 3</w:t>
      </w:r>
      <w:r w:rsidRPr="00256DE8">
        <w:t xml:space="preserve">. Remaining fraction of added kelp across horizons (Σ </w:t>
      </w:r>
      <w:r w:rsidRPr="00256DE8">
        <w:rPr>
          <w:i/>
          <w:iCs/>
        </w:rPr>
        <w:t>p</w:t>
      </w:r>
      <w:r w:rsidRPr="00256DE8">
        <w:t xml:space="preserve">, Equation </w:t>
      </w:r>
      <w:r>
        <w:t>3</w:t>
      </w:r>
      <w:r w:rsidRPr="00256DE8">
        <w:t xml:space="preserve">) in response to kelp species (Table 1), sediment </w:t>
      </w:r>
      <w:r>
        <w:t>type</w:t>
      </w:r>
      <w:r w:rsidRPr="00256DE8">
        <w:t xml:space="preserve"> (Table 2), kelp influx load (g dry mass) and days since kelp influx. Only bioturbation by the burrowing shrimp is notable at the sediment core level. Lines and ribbons are medians and the central 50, 80 and 90% of probability for predictions of new observations </w:t>
      </w:r>
      <w:r>
        <w:t xml:space="preserve">of </w:t>
      </w:r>
      <w:r w:rsidRPr="00256DE8">
        <w:t xml:space="preserve">Σ </w:t>
      </w:r>
      <w:r w:rsidRPr="00256DE8">
        <w:rPr>
          <w:i/>
          <w:iCs/>
        </w:rPr>
        <w:t>p</w:t>
      </w:r>
      <w:r w:rsidRPr="00256DE8">
        <w:t xml:space="preserve"> (Equation </w:t>
      </w:r>
      <w:r>
        <w:t>4</w:t>
      </w:r>
      <w:r w:rsidRPr="00256DE8">
        <w:t>). Distributions are kernel density estimates of posteriors for half-life (</w:t>
      </w:r>
      <w:r w:rsidRPr="00FC0FB4">
        <w:rPr>
          <w:i/>
          <w:iCs/>
        </w:rPr>
        <w:t>t</w:t>
      </w:r>
      <w:r w:rsidRPr="00FC0FB4">
        <w:rPr>
          <w:vertAlign w:val="subscript"/>
        </w:rPr>
        <w:t>½</w:t>
      </w:r>
      <w:r w:rsidRPr="00FC0FB4">
        <w:t xml:space="preserve"> = ln 2 / </w:t>
      </w:r>
      <w:r w:rsidRPr="00FC0FB4">
        <w:rPr>
          <w:i/>
          <w:iCs/>
        </w:rPr>
        <w:t>k</w:t>
      </w:r>
      <w:r>
        <w:t xml:space="preserve"> derived from </w:t>
      </w:r>
      <w:r w:rsidRPr="00812B53">
        <w:rPr>
          <w:i/>
          <w:iCs/>
        </w:rPr>
        <w:t>k</w:t>
      </w:r>
      <w:r>
        <w:t xml:space="preserve"> in</w:t>
      </w:r>
      <w:r w:rsidRPr="00256DE8">
        <w:t xml:space="preserve"> Equation 4) and </w:t>
      </w:r>
      <w:r>
        <w:t xml:space="preserve">remaining carbon </w:t>
      </w:r>
      <w:r w:rsidRPr="00256DE8">
        <w:t>(</w:t>
      </w:r>
      <w:r w:rsidRPr="00256DE8">
        <w:rPr>
          <w:i/>
          <w:iCs/>
        </w:rPr>
        <w:t>r</w:t>
      </w:r>
      <w:r w:rsidRPr="00256DE8">
        <w:t xml:space="preserve"> in Equation 4).</w:t>
      </w:r>
    </w:p>
    <w:p w14:paraId="5BD0966D" w14:textId="77777777" w:rsidR="004B30BC" w:rsidRPr="00256DE8" w:rsidRDefault="004B30BC" w:rsidP="004B30BC"/>
    <w:p w14:paraId="6C27CA48" w14:textId="77777777" w:rsidR="004B30BC" w:rsidRDefault="004B30BC" w:rsidP="004B30BC"/>
    <w:p w14:paraId="4D882192" w14:textId="77777777" w:rsidR="004B30BC" w:rsidRDefault="004B30BC" w:rsidP="004B30BC">
      <w:r>
        <w:t>Sum remaining (Table 3)</w:t>
      </w:r>
    </w:p>
    <w:p w14:paraId="7A7CA9CA" w14:textId="77777777" w:rsidR="004B30BC" w:rsidRPr="00256DE8" w:rsidRDefault="004B30BC" w:rsidP="004B30BC"/>
    <w:p w14:paraId="1B8A9CBA" w14:textId="77777777" w:rsidR="004B30BC" w:rsidRDefault="004B30BC" w:rsidP="004B30BC"/>
    <w:p w14:paraId="2FAB4617" w14:textId="77777777" w:rsidR="004B30BC" w:rsidRDefault="004B30BC" w:rsidP="004B30BC">
      <w:r>
        <w:t xml:space="preserve">The slope </w:t>
      </w:r>
      <w:r w:rsidRPr="00486D38">
        <w:rPr>
          <w:i/>
          <w:iCs/>
        </w:rPr>
        <w:t>β</w:t>
      </w:r>
      <w:r w:rsidRPr="00486D38">
        <w:t xml:space="preserve"> </w:t>
      </w:r>
      <w:r>
        <w:t xml:space="preserve">(Equation 4) of the log exponential decay rate over kelp influx load is expected to be negative because influx is thought to overwhelm consumption at some threshold in a closed system. The slope </w:t>
      </w:r>
      <w:r w:rsidRPr="00247CEC">
        <w:rPr>
          <w:i/>
          <w:iCs/>
        </w:rPr>
        <w:t>δ</w:t>
      </w:r>
      <w:r>
        <w:t xml:space="preserve"> (Equation 4) of the logit refractory fraction</w:t>
      </w:r>
      <w:r w:rsidRPr="00247CEC">
        <w:t xml:space="preserve"> </w:t>
      </w:r>
      <w:r>
        <w:t xml:space="preserve">over kelp load is expected to be positive by the same rationale. However, we found only a 41% chance of negative </w:t>
      </w:r>
      <w:r w:rsidRPr="00486D38">
        <w:rPr>
          <w:i/>
          <w:iCs/>
        </w:rPr>
        <w:t>β</w:t>
      </w:r>
      <w:r>
        <w:t xml:space="preserve"> and a 71% chance of positive </w:t>
      </w:r>
      <w:r w:rsidRPr="00247CEC">
        <w:rPr>
          <w:i/>
          <w:iCs/>
        </w:rPr>
        <w:t>δ</w:t>
      </w:r>
      <w:r>
        <w:t xml:space="preserve">. Generally, there seems to be no effect of carbon load on exponential decay – </w:t>
      </w:r>
      <w:r w:rsidRPr="00486D38">
        <w:rPr>
          <w:i/>
          <w:iCs/>
        </w:rPr>
        <w:t>β</w:t>
      </w:r>
      <w:r w:rsidRPr="0017419D">
        <w:t xml:space="preserve"> </w:t>
      </w:r>
      <w:r>
        <w:t xml:space="preserve">= </w:t>
      </w:r>
      <w:r w:rsidRPr="0017419D">
        <w:t>0.0034 ± 0.041 (</w:t>
      </w:r>
      <w:r>
        <w:t xml:space="preserve">median = </w:t>
      </w:r>
      <w:r w:rsidRPr="0017419D">
        <w:t>0.0068)</w:t>
      </w:r>
      <w:r>
        <w:t xml:space="preserve"> – and the remaining amount at the end of the experiment – </w:t>
      </w:r>
      <w:r w:rsidRPr="00247CEC">
        <w:rPr>
          <w:i/>
          <w:iCs/>
        </w:rPr>
        <w:t>δ</w:t>
      </w:r>
      <w:r>
        <w:t xml:space="preserve"> = </w:t>
      </w:r>
      <w:r w:rsidRPr="0017419D">
        <w:t>0.0062 ± 0.012 (0.0063)</w:t>
      </w:r>
      <w:r>
        <w:t xml:space="preserve"> (Figure 3). Across kelp species and sediments for a kelp load of 10 g we predict the labile fraction to decay at an exponential rate of </w:t>
      </w:r>
      <w:r w:rsidRPr="0017419D">
        <w:t>0.54 ± 0.47 (0.44)</w:t>
      </w:r>
      <w:r>
        <w:t xml:space="preserve"> day</w:t>
      </w:r>
      <w:r w:rsidRPr="0062107D">
        <w:rPr>
          <w:vertAlign w:val="superscript"/>
        </w:rPr>
        <w:t>−1</w:t>
      </w:r>
      <w:r>
        <w:t xml:space="preserve"> and reach half of its initial mass after </w:t>
      </w:r>
      <w:r w:rsidRPr="0017419D">
        <w:t>2 ± 2 (1.6)</w:t>
      </w:r>
      <w:r>
        <w:t xml:space="preserve"> days with a putative refractory fraction of </w:t>
      </w:r>
      <w:r w:rsidRPr="0017419D">
        <w:t>11 ± 5.5 (10)</w:t>
      </w:r>
      <w:r>
        <w:t xml:space="preserve"> %.</w:t>
      </w:r>
    </w:p>
    <w:p w14:paraId="58ACB4E0" w14:textId="77777777" w:rsidR="004B30BC" w:rsidRDefault="004B30BC" w:rsidP="004B30BC"/>
    <w:p w14:paraId="74A3CB04" w14:textId="77777777" w:rsidR="004B30BC" w:rsidRDefault="004B30BC" w:rsidP="004B30BC">
      <w:r w:rsidRPr="00256DE8">
        <w:rPr>
          <w:b/>
          <w:bCs/>
        </w:rPr>
        <w:t xml:space="preserve">Table </w:t>
      </w:r>
      <w:r>
        <w:rPr>
          <w:b/>
          <w:bCs/>
        </w:rPr>
        <w:t>3</w:t>
      </w:r>
      <w:r w:rsidRPr="00256DE8">
        <w:t xml:space="preserve">. </w:t>
      </w:r>
      <w:r>
        <w:t xml:space="preserve">Kelp decomposition in response to kelp species, sediment type and kelp influx load. Kelp addition is given as g dry mass per core and corresponding areal carbon load (mean ± standard deviation, n = 10, </w:t>
      </w:r>
      <w:r w:rsidRPr="00256DE8">
        <w:t>cf. Table 1</w:t>
      </w:r>
      <w:r>
        <w:t xml:space="preserve">). Decomposition is summarised as the exponential </w:t>
      </w:r>
      <w:r>
        <w:lastRenderedPageBreak/>
        <w:t xml:space="preserve">decay rate </w:t>
      </w:r>
      <w:r w:rsidRPr="0018789A">
        <w:rPr>
          <w:i/>
          <w:iCs/>
        </w:rPr>
        <w:t>k</w:t>
      </w:r>
      <w:r>
        <w:t xml:space="preserve"> and derived half-life </w:t>
      </w:r>
      <w:r w:rsidRPr="0018789A">
        <w:rPr>
          <w:i/>
          <w:iCs/>
        </w:rPr>
        <w:t>t</w:t>
      </w:r>
      <w:r w:rsidRPr="0018789A">
        <w:rPr>
          <w:vertAlign w:val="subscript"/>
        </w:rPr>
        <w:t>½</w:t>
      </w:r>
      <w:r>
        <w:t xml:space="preserve"> of the labile fraction and the putative refractory fraction </w:t>
      </w:r>
      <w:r w:rsidRPr="0018789A">
        <w:rPr>
          <w:i/>
          <w:iCs/>
        </w:rPr>
        <w:t>r</w:t>
      </w:r>
      <w:r>
        <w:t xml:space="preserve"> (Equation 4). Parameter estimates </w:t>
      </w:r>
      <w:r w:rsidRPr="00256DE8">
        <w:t>are given as mean ± standard deviation</w:t>
      </w:r>
      <w:r>
        <w:t xml:space="preserve"> of 8</w:t>
      </w:r>
      <w:r w:rsidRPr="00B25EC1">
        <w:t>×</w:t>
      </w:r>
      <w:r>
        <w:t>10</w:t>
      </w:r>
      <w:r w:rsidRPr="00B25EC1">
        <w:rPr>
          <w:vertAlign w:val="superscript"/>
        </w:rPr>
        <w:t>4</w:t>
      </w:r>
      <w:r>
        <w:t xml:space="preserve"> posterior samples. For right-skewed </w:t>
      </w:r>
      <w:r w:rsidRPr="00577753">
        <w:rPr>
          <w:i/>
          <w:iCs/>
        </w:rPr>
        <w:t>k</w:t>
      </w:r>
      <w:r>
        <w:t xml:space="preserve"> and </w:t>
      </w:r>
      <w:r w:rsidRPr="0018789A">
        <w:rPr>
          <w:i/>
          <w:iCs/>
        </w:rPr>
        <w:t>t</w:t>
      </w:r>
      <w:r w:rsidRPr="0018789A">
        <w:rPr>
          <w:vertAlign w:val="subscript"/>
        </w:rPr>
        <w:t>½</w:t>
      </w:r>
      <w:r>
        <w:t>, medians are additionally given in parentheses.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6"/>
        <w:gridCol w:w="1754"/>
        <w:gridCol w:w="1948"/>
        <w:gridCol w:w="1708"/>
        <w:gridCol w:w="1188"/>
      </w:tblGrid>
      <w:tr w:rsidR="004B30BC" w14:paraId="3737EBF8" w14:textId="77777777" w:rsidTr="00371E9E">
        <w:tc>
          <w:tcPr>
            <w:tcW w:w="0" w:type="auto"/>
            <w:tcBorders>
              <w:top w:val="single" w:sz="4" w:space="0" w:color="auto"/>
              <w:bottom w:val="single" w:sz="4" w:space="0" w:color="auto"/>
            </w:tcBorders>
          </w:tcPr>
          <w:p w14:paraId="4AB049E5" w14:textId="77777777" w:rsidR="004B30BC" w:rsidRPr="0018789A" w:rsidRDefault="004B30BC" w:rsidP="00371E9E">
            <w:pPr>
              <w:rPr>
                <w:b/>
                <w:bCs/>
              </w:rPr>
            </w:pPr>
          </w:p>
        </w:tc>
        <w:tc>
          <w:tcPr>
            <w:tcW w:w="0" w:type="auto"/>
            <w:tcBorders>
              <w:top w:val="single" w:sz="4" w:space="0" w:color="auto"/>
              <w:bottom w:val="single" w:sz="4" w:space="0" w:color="auto"/>
            </w:tcBorders>
          </w:tcPr>
          <w:p w14:paraId="680FB02E" w14:textId="77777777" w:rsidR="004B30BC" w:rsidRPr="0018789A" w:rsidRDefault="004B30BC" w:rsidP="00371E9E">
            <w:pPr>
              <w:rPr>
                <w:b/>
                <w:bCs/>
              </w:rPr>
            </w:pPr>
            <w:r w:rsidRPr="0018789A">
              <w:rPr>
                <w:b/>
                <w:bCs/>
              </w:rPr>
              <w:t>Load (g C m</w:t>
            </w:r>
            <w:r w:rsidRPr="0018789A">
              <w:rPr>
                <w:b/>
                <w:bCs/>
                <w:vertAlign w:val="superscript"/>
              </w:rPr>
              <w:t>−2</w:t>
            </w:r>
            <w:r w:rsidRPr="0018789A">
              <w:rPr>
                <w:b/>
                <w:bCs/>
              </w:rPr>
              <w:t>)</w:t>
            </w:r>
          </w:p>
        </w:tc>
        <w:tc>
          <w:tcPr>
            <w:tcW w:w="0" w:type="auto"/>
            <w:tcBorders>
              <w:top w:val="single" w:sz="4" w:space="0" w:color="auto"/>
              <w:bottom w:val="single" w:sz="4" w:space="0" w:color="auto"/>
            </w:tcBorders>
          </w:tcPr>
          <w:p w14:paraId="3CE6B452" w14:textId="77777777" w:rsidR="004B30BC" w:rsidRPr="0018789A" w:rsidRDefault="004B30BC" w:rsidP="00371E9E">
            <w:pPr>
              <w:rPr>
                <w:b/>
                <w:bCs/>
              </w:rPr>
            </w:pPr>
            <w:r w:rsidRPr="0018789A">
              <w:rPr>
                <w:b/>
                <w:bCs/>
                <w:i/>
                <w:iCs/>
              </w:rPr>
              <w:t>k</w:t>
            </w:r>
            <w:r w:rsidRPr="0018789A">
              <w:rPr>
                <w:b/>
                <w:bCs/>
              </w:rPr>
              <w:t xml:space="preserve"> (day</w:t>
            </w:r>
            <w:r w:rsidRPr="0018789A">
              <w:rPr>
                <w:b/>
                <w:bCs/>
                <w:vertAlign w:val="superscript"/>
              </w:rPr>
              <w:t>−1</w:t>
            </w:r>
            <w:r w:rsidRPr="0018789A">
              <w:rPr>
                <w:b/>
                <w:bCs/>
              </w:rPr>
              <w:t>)</w:t>
            </w:r>
          </w:p>
        </w:tc>
        <w:tc>
          <w:tcPr>
            <w:tcW w:w="0" w:type="auto"/>
            <w:tcBorders>
              <w:top w:val="single" w:sz="4" w:space="0" w:color="auto"/>
              <w:bottom w:val="single" w:sz="4" w:space="0" w:color="auto"/>
            </w:tcBorders>
          </w:tcPr>
          <w:p w14:paraId="79A07EEF" w14:textId="77777777" w:rsidR="004B30BC" w:rsidRPr="0018789A" w:rsidRDefault="004B30BC" w:rsidP="00371E9E">
            <w:pPr>
              <w:rPr>
                <w:b/>
                <w:bCs/>
              </w:rPr>
            </w:pPr>
            <w:r w:rsidRPr="0018789A">
              <w:rPr>
                <w:b/>
                <w:bCs/>
                <w:i/>
                <w:iCs/>
              </w:rPr>
              <w:t>t</w:t>
            </w:r>
            <w:r w:rsidRPr="0018789A">
              <w:rPr>
                <w:b/>
                <w:bCs/>
                <w:vertAlign w:val="subscript"/>
              </w:rPr>
              <w:t>½</w:t>
            </w:r>
            <w:r w:rsidRPr="0018789A">
              <w:rPr>
                <w:b/>
                <w:bCs/>
              </w:rPr>
              <w:t xml:space="preserve"> (days)</w:t>
            </w:r>
          </w:p>
        </w:tc>
        <w:tc>
          <w:tcPr>
            <w:tcW w:w="0" w:type="auto"/>
            <w:tcBorders>
              <w:top w:val="single" w:sz="4" w:space="0" w:color="auto"/>
              <w:bottom w:val="single" w:sz="4" w:space="0" w:color="auto"/>
            </w:tcBorders>
          </w:tcPr>
          <w:p w14:paraId="1D328C2A" w14:textId="77777777" w:rsidR="004B30BC" w:rsidRPr="0018789A" w:rsidRDefault="004B30BC" w:rsidP="00371E9E">
            <w:pPr>
              <w:rPr>
                <w:b/>
                <w:bCs/>
              </w:rPr>
            </w:pPr>
            <w:r w:rsidRPr="0018789A">
              <w:rPr>
                <w:b/>
                <w:bCs/>
                <w:i/>
                <w:iCs/>
              </w:rPr>
              <w:t>r</w:t>
            </w:r>
            <w:r w:rsidRPr="0018789A">
              <w:rPr>
                <w:b/>
                <w:bCs/>
              </w:rPr>
              <w:t xml:space="preserve"> (%)</w:t>
            </w:r>
          </w:p>
        </w:tc>
      </w:tr>
      <w:tr w:rsidR="004B30BC" w14:paraId="7D9D1868" w14:textId="77777777" w:rsidTr="00371E9E">
        <w:tc>
          <w:tcPr>
            <w:tcW w:w="0" w:type="auto"/>
            <w:tcBorders>
              <w:top w:val="single" w:sz="4" w:space="0" w:color="auto"/>
            </w:tcBorders>
          </w:tcPr>
          <w:p w14:paraId="77645239" w14:textId="77777777" w:rsidR="004B30BC" w:rsidRPr="003E3822" w:rsidRDefault="004B30BC" w:rsidP="00371E9E">
            <w:pPr>
              <w:rPr>
                <w:i/>
                <w:iCs/>
              </w:rPr>
            </w:pPr>
            <w:r w:rsidRPr="003E3822">
              <w:rPr>
                <w:i/>
                <w:iCs/>
              </w:rPr>
              <w:t>Ecklonia radiata</w:t>
            </w:r>
          </w:p>
        </w:tc>
        <w:tc>
          <w:tcPr>
            <w:tcW w:w="0" w:type="auto"/>
            <w:tcBorders>
              <w:top w:val="single" w:sz="4" w:space="0" w:color="auto"/>
            </w:tcBorders>
          </w:tcPr>
          <w:p w14:paraId="5EB33956" w14:textId="77777777" w:rsidR="004B30BC" w:rsidRDefault="004B30BC" w:rsidP="00371E9E"/>
        </w:tc>
        <w:tc>
          <w:tcPr>
            <w:tcW w:w="0" w:type="auto"/>
            <w:tcBorders>
              <w:top w:val="single" w:sz="4" w:space="0" w:color="auto"/>
            </w:tcBorders>
          </w:tcPr>
          <w:p w14:paraId="1CAB6FFC" w14:textId="77777777" w:rsidR="004B30BC" w:rsidRDefault="004B30BC" w:rsidP="00371E9E"/>
        </w:tc>
        <w:tc>
          <w:tcPr>
            <w:tcW w:w="0" w:type="auto"/>
            <w:tcBorders>
              <w:top w:val="single" w:sz="4" w:space="0" w:color="auto"/>
            </w:tcBorders>
          </w:tcPr>
          <w:p w14:paraId="77F3E4EB" w14:textId="77777777" w:rsidR="004B30BC" w:rsidRDefault="004B30BC" w:rsidP="00371E9E"/>
        </w:tc>
        <w:tc>
          <w:tcPr>
            <w:tcW w:w="0" w:type="auto"/>
            <w:tcBorders>
              <w:top w:val="single" w:sz="4" w:space="0" w:color="auto"/>
            </w:tcBorders>
          </w:tcPr>
          <w:p w14:paraId="62A20B6C" w14:textId="77777777" w:rsidR="004B30BC" w:rsidRDefault="004B30BC" w:rsidP="00371E9E"/>
        </w:tc>
      </w:tr>
      <w:tr w:rsidR="004B30BC" w14:paraId="2C42E3C6" w14:textId="77777777" w:rsidTr="00371E9E">
        <w:tc>
          <w:tcPr>
            <w:tcW w:w="0" w:type="auto"/>
          </w:tcPr>
          <w:p w14:paraId="0EBE3662" w14:textId="77777777" w:rsidR="004B30BC" w:rsidRDefault="004B30BC" w:rsidP="00371E9E">
            <w:r>
              <w:t>Coarse sand + 10 g</w:t>
            </w:r>
          </w:p>
        </w:tc>
        <w:tc>
          <w:tcPr>
            <w:tcW w:w="0" w:type="auto"/>
          </w:tcPr>
          <w:p w14:paraId="323916F5" w14:textId="77777777" w:rsidR="004B30BC" w:rsidRDefault="004B30BC" w:rsidP="00371E9E">
            <w:r>
              <w:t>425 ± 5.6</w:t>
            </w:r>
          </w:p>
        </w:tc>
        <w:tc>
          <w:tcPr>
            <w:tcW w:w="0" w:type="auto"/>
          </w:tcPr>
          <w:p w14:paraId="5332882C" w14:textId="77777777" w:rsidR="004B30BC" w:rsidRDefault="004B30BC" w:rsidP="00371E9E">
            <w:r>
              <w:t>0.53 ± 0.46 (0.43)</w:t>
            </w:r>
          </w:p>
        </w:tc>
        <w:tc>
          <w:tcPr>
            <w:tcW w:w="0" w:type="auto"/>
          </w:tcPr>
          <w:p w14:paraId="549EF1A6" w14:textId="77777777" w:rsidR="004B30BC" w:rsidRDefault="004B30BC" w:rsidP="00371E9E">
            <w:r>
              <w:t>2 ± 1.4 (1.6)</w:t>
            </w:r>
          </w:p>
        </w:tc>
        <w:tc>
          <w:tcPr>
            <w:tcW w:w="0" w:type="auto"/>
          </w:tcPr>
          <w:p w14:paraId="70A95C32" w14:textId="77777777" w:rsidR="004B30BC" w:rsidRDefault="004B30BC" w:rsidP="00371E9E">
            <w:r>
              <w:t>7.3 ± 0.82</w:t>
            </w:r>
          </w:p>
        </w:tc>
      </w:tr>
      <w:tr w:rsidR="004B30BC" w14:paraId="00E280BE" w14:textId="77777777" w:rsidTr="00371E9E">
        <w:tc>
          <w:tcPr>
            <w:tcW w:w="0" w:type="auto"/>
          </w:tcPr>
          <w:p w14:paraId="1D28F547" w14:textId="77777777" w:rsidR="004B30BC" w:rsidRDefault="004B30BC" w:rsidP="00371E9E">
            <w:r>
              <w:t>Fine sand + 10 g</w:t>
            </w:r>
          </w:p>
        </w:tc>
        <w:tc>
          <w:tcPr>
            <w:tcW w:w="0" w:type="auto"/>
          </w:tcPr>
          <w:p w14:paraId="4756702C" w14:textId="77777777" w:rsidR="004B30BC" w:rsidRDefault="004B30BC" w:rsidP="00371E9E">
            <w:r>
              <w:t>425 ± 5.6</w:t>
            </w:r>
          </w:p>
        </w:tc>
        <w:tc>
          <w:tcPr>
            <w:tcW w:w="0" w:type="auto"/>
          </w:tcPr>
          <w:p w14:paraId="5A1A177B" w14:textId="77777777" w:rsidR="004B30BC" w:rsidRDefault="004B30BC" w:rsidP="00371E9E">
            <w:r>
              <w:t>0.54 ± 0.46 (0.44)</w:t>
            </w:r>
          </w:p>
        </w:tc>
        <w:tc>
          <w:tcPr>
            <w:tcW w:w="0" w:type="auto"/>
          </w:tcPr>
          <w:p w14:paraId="3603BF2C" w14:textId="77777777" w:rsidR="004B30BC" w:rsidRDefault="004B30BC" w:rsidP="00371E9E">
            <w:r>
              <w:t>2 ± 1.5 (1.6)</w:t>
            </w:r>
          </w:p>
        </w:tc>
        <w:tc>
          <w:tcPr>
            <w:tcW w:w="0" w:type="auto"/>
          </w:tcPr>
          <w:p w14:paraId="48C9CDA1" w14:textId="77777777" w:rsidR="004B30BC" w:rsidRDefault="004B30BC" w:rsidP="00371E9E">
            <w:r>
              <w:t>7.8 ± 0.94</w:t>
            </w:r>
          </w:p>
        </w:tc>
      </w:tr>
      <w:tr w:rsidR="004B30BC" w14:paraId="677F7684" w14:textId="77777777" w:rsidTr="00371E9E">
        <w:tc>
          <w:tcPr>
            <w:tcW w:w="0" w:type="auto"/>
          </w:tcPr>
          <w:p w14:paraId="0C71B80B" w14:textId="77777777" w:rsidR="004B30BC" w:rsidRPr="003E3822" w:rsidRDefault="004B30BC" w:rsidP="00371E9E">
            <w:pPr>
              <w:rPr>
                <w:i/>
                <w:iCs/>
              </w:rPr>
            </w:pPr>
            <w:r w:rsidRPr="003E3822">
              <w:rPr>
                <w:i/>
                <w:iCs/>
              </w:rPr>
              <w:t>Laminaria hyperborea</w:t>
            </w:r>
          </w:p>
        </w:tc>
        <w:tc>
          <w:tcPr>
            <w:tcW w:w="0" w:type="auto"/>
          </w:tcPr>
          <w:p w14:paraId="01AE2843" w14:textId="77777777" w:rsidR="004B30BC" w:rsidRDefault="004B30BC" w:rsidP="00371E9E"/>
        </w:tc>
        <w:tc>
          <w:tcPr>
            <w:tcW w:w="0" w:type="auto"/>
          </w:tcPr>
          <w:p w14:paraId="114B3C0A" w14:textId="77777777" w:rsidR="004B30BC" w:rsidRDefault="004B30BC" w:rsidP="00371E9E"/>
        </w:tc>
        <w:tc>
          <w:tcPr>
            <w:tcW w:w="0" w:type="auto"/>
          </w:tcPr>
          <w:p w14:paraId="0E4B157B" w14:textId="77777777" w:rsidR="004B30BC" w:rsidRDefault="004B30BC" w:rsidP="00371E9E"/>
        </w:tc>
        <w:tc>
          <w:tcPr>
            <w:tcW w:w="0" w:type="auto"/>
          </w:tcPr>
          <w:p w14:paraId="7183C73D" w14:textId="77777777" w:rsidR="004B30BC" w:rsidRDefault="004B30BC" w:rsidP="00371E9E"/>
        </w:tc>
      </w:tr>
      <w:tr w:rsidR="004B30BC" w14:paraId="0F1C05B4" w14:textId="77777777" w:rsidTr="00371E9E">
        <w:tc>
          <w:tcPr>
            <w:tcW w:w="0" w:type="auto"/>
          </w:tcPr>
          <w:p w14:paraId="1FF29812" w14:textId="77777777" w:rsidR="004B30BC" w:rsidRPr="003E3822" w:rsidRDefault="004B30BC" w:rsidP="00371E9E">
            <w:r>
              <w:t>Silt + 1 g</w:t>
            </w:r>
          </w:p>
        </w:tc>
        <w:tc>
          <w:tcPr>
            <w:tcW w:w="0" w:type="auto"/>
          </w:tcPr>
          <w:p w14:paraId="38C0B684" w14:textId="77777777" w:rsidR="004B30BC" w:rsidRDefault="004B30BC" w:rsidP="00371E9E">
            <w:r>
              <w:t>46 ± 0.62</w:t>
            </w:r>
          </w:p>
        </w:tc>
        <w:tc>
          <w:tcPr>
            <w:tcW w:w="0" w:type="auto"/>
          </w:tcPr>
          <w:p w14:paraId="5426C6D6" w14:textId="77777777" w:rsidR="004B30BC" w:rsidRDefault="004B30BC" w:rsidP="00371E9E">
            <w:r>
              <w:t>0.73 ± 0.91 (0.56)</w:t>
            </w:r>
          </w:p>
        </w:tc>
        <w:tc>
          <w:tcPr>
            <w:tcW w:w="0" w:type="auto"/>
          </w:tcPr>
          <w:p w14:paraId="6EA6D442" w14:textId="77777777" w:rsidR="004B30BC" w:rsidRDefault="004B30BC" w:rsidP="00371E9E">
            <w:r>
              <w:t>1.2 ± 0.42 (1.2)</w:t>
            </w:r>
          </w:p>
        </w:tc>
        <w:tc>
          <w:tcPr>
            <w:tcW w:w="0" w:type="auto"/>
          </w:tcPr>
          <w:p w14:paraId="1129E3FC" w14:textId="77777777" w:rsidR="004B30BC" w:rsidRDefault="004B30BC" w:rsidP="00371E9E">
            <w:r>
              <w:t>14 ± 1.3</w:t>
            </w:r>
          </w:p>
        </w:tc>
      </w:tr>
      <w:tr w:rsidR="004B30BC" w14:paraId="35B03783" w14:textId="77777777" w:rsidTr="00371E9E">
        <w:tc>
          <w:tcPr>
            <w:tcW w:w="0" w:type="auto"/>
          </w:tcPr>
          <w:p w14:paraId="411384FC" w14:textId="77777777" w:rsidR="004B30BC" w:rsidRDefault="004B30BC" w:rsidP="00371E9E">
            <w:r>
              <w:t>Silt + 7.5 g</w:t>
            </w:r>
          </w:p>
        </w:tc>
        <w:tc>
          <w:tcPr>
            <w:tcW w:w="0" w:type="auto"/>
          </w:tcPr>
          <w:p w14:paraId="24E19309" w14:textId="77777777" w:rsidR="004B30BC" w:rsidRDefault="004B30BC" w:rsidP="00371E9E">
            <w:r>
              <w:t>346 ± 4.7</w:t>
            </w:r>
          </w:p>
        </w:tc>
        <w:tc>
          <w:tcPr>
            <w:tcW w:w="0" w:type="auto"/>
          </w:tcPr>
          <w:p w14:paraId="7CD291CA" w14:textId="77777777" w:rsidR="004B30BC" w:rsidRDefault="004B30BC" w:rsidP="00371E9E">
            <w:r>
              <w:t>0.7 ± 0.43 (0.58)</w:t>
            </w:r>
          </w:p>
        </w:tc>
        <w:tc>
          <w:tcPr>
            <w:tcW w:w="0" w:type="auto"/>
          </w:tcPr>
          <w:p w14:paraId="352FE433" w14:textId="77777777" w:rsidR="004B30BC" w:rsidRDefault="004B30BC" w:rsidP="00371E9E">
            <w:r>
              <w:t>1.2 ± 0.36 (1.2)</w:t>
            </w:r>
          </w:p>
        </w:tc>
        <w:tc>
          <w:tcPr>
            <w:tcW w:w="0" w:type="auto"/>
          </w:tcPr>
          <w:p w14:paraId="09524F13" w14:textId="77777777" w:rsidR="004B30BC" w:rsidRDefault="004B30BC" w:rsidP="00371E9E">
            <w:r>
              <w:t>14 ± 1</w:t>
            </w:r>
          </w:p>
        </w:tc>
      </w:tr>
      <w:tr w:rsidR="004B30BC" w14:paraId="5B6A4F80" w14:textId="77777777" w:rsidTr="00371E9E">
        <w:tc>
          <w:tcPr>
            <w:tcW w:w="0" w:type="auto"/>
          </w:tcPr>
          <w:p w14:paraId="444E6B7D" w14:textId="77777777" w:rsidR="004B30BC" w:rsidRDefault="004B30BC" w:rsidP="00371E9E">
            <w:r>
              <w:t>Silt + 15 g</w:t>
            </w:r>
          </w:p>
        </w:tc>
        <w:tc>
          <w:tcPr>
            <w:tcW w:w="0" w:type="auto"/>
          </w:tcPr>
          <w:p w14:paraId="0F7E7E85" w14:textId="77777777" w:rsidR="004B30BC" w:rsidRDefault="004B30BC" w:rsidP="00371E9E">
            <w:r>
              <w:t>692 ± 9.4</w:t>
            </w:r>
          </w:p>
        </w:tc>
        <w:tc>
          <w:tcPr>
            <w:tcW w:w="0" w:type="auto"/>
          </w:tcPr>
          <w:p w14:paraId="02C85B35" w14:textId="77777777" w:rsidR="004B30BC" w:rsidRDefault="004B30BC" w:rsidP="00371E9E">
            <w:r>
              <w:t>0.76 ± 0.62 (0.6)</w:t>
            </w:r>
          </w:p>
        </w:tc>
        <w:tc>
          <w:tcPr>
            <w:tcW w:w="0" w:type="auto"/>
          </w:tcPr>
          <w:p w14:paraId="5B5FBE25" w14:textId="77777777" w:rsidR="004B30BC" w:rsidRDefault="004B30BC" w:rsidP="00371E9E">
            <w:r>
              <w:t>1.2 ± 0.49 (1.2)</w:t>
            </w:r>
          </w:p>
        </w:tc>
        <w:tc>
          <w:tcPr>
            <w:tcW w:w="0" w:type="auto"/>
          </w:tcPr>
          <w:p w14:paraId="030E6CA3" w14:textId="77777777" w:rsidR="004B30BC" w:rsidRDefault="004B30BC" w:rsidP="00371E9E">
            <w:r>
              <w:t>15 ± 1.5</w:t>
            </w:r>
          </w:p>
        </w:tc>
      </w:tr>
      <w:tr w:rsidR="004B30BC" w14:paraId="7B5F7A84" w14:textId="77777777" w:rsidTr="00371E9E">
        <w:tc>
          <w:tcPr>
            <w:tcW w:w="0" w:type="auto"/>
          </w:tcPr>
          <w:p w14:paraId="1878DABD" w14:textId="77777777" w:rsidR="004B30BC" w:rsidRPr="003E3822" w:rsidRDefault="004B30BC" w:rsidP="00371E9E">
            <w:pPr>
              <w:rPr>
                <w:i/>
                <w:iCs/>
              </w:rPr>
            </w:pPr>
            <w:r w:rsidRPr="003E3822">
              <w:rPr>
                <w:i/>
                <w:iCs/>
              </w:rPr>
              <w:t>Laminaria ochroleuca</w:t>
            </w:r>
          </w:p>
        </w:tc>
        <w:tc>
          <w:tcPr>
            <w:tcW w:w="0" w:type="auto"/>
          </w:tcPr>
          <w:p w14:paraId="6F6C4B17" w14:textId="77777777" w:rsidR="004B30BC" w:rsidRDefault="004B30BC" w:rsidP="00371E9E"/>
        </w:tc>
        <w:tc>
          <w:tcPr>
            <w:tcW w:w="0" w:type="auto"/>
          </w:tcPr>
          <w:p w14:paraId="2889A7AB" w14:textId="77777777" w:rsidR="004B30BC" w:rsidRDefault="004B30BC" w:rsidP="00371E9E"/>
        </w:tc>
        <w:tc>
          <w:tcPr>
            <w:tcW w:w="0" w:type="auto"/>
          </w:tcPr>
          <w:p w14:paraId="43F21DC4" w14:textId="77777777" w:rsidR="004B30BC" w:rsidRDefault="004B30BC" w:rsidP="00371E9E"/>
        </w:tc>
        <w:tc>
          <w:tcPr>
            <w:tcW w:w="0" w:type="auto"/>
          </w:tcPr>
          <w:p w14:paraId="3A6CCF74" w14:textId="77777777" w:rsidR="004B30BC" w:rsidRDefault="004B30BC" w:rsidP="00371E9E"/>
        </w:tc>
      </w:tr>
      <w:tr w:rsidR="004B30BC" w14:paraId="7933668A" w14:textId="77777777" w:rsidTr="00371E9E">
        <w:tc>
          <w:tcPr>
            <w:tcW w:w="0" w:type="auto"/>
          </w:tcPr>
          <w:p w14:paraId="18EC10F1" w14:textId="77777777" w:rsidR="004B30BC" w:rsidRDefault="004B30BC" w:rsidP="00371E9E">
            <w:r>
              <w:t>Silt + 1 g</w:t>
            </w:r>
          </w:p>
        </w:tc>
        <w:tc>
          <w:tcPr>
            <w:tcW w:w="0" w:type="auto"/>
          </w:tcPr>
          <w:p w14:paraId="3352B21C" w14:textId="77777777" w:rsidR="004B30BC" w:rsidRDefault="004B30BC" w:rsidP="00371E9E">
            <w:r>
              <w:t>35 ± 1.1</w:t>
            </w:r>
          </w:p>
        </w:tc>
        <w:tc>
          <w:tcPr>
            <w:tcW w:w="0" w:type="auto"/>
          </w:tcPr>
          <w:p w14:paraId="0687BDBB" w14:textId="77777777" w:rsidR="004B30BC" w:rsidRDefault="004B30BC" w:rsidP="00371E9E">
            <w:r>
              <w:t>0.57 ± 0.93 (0.38)</w:t>
            </w:r>
          </w:p>
        </w:tc>
        <w:tc>
          <w:tcPr>
            <w:tcW w:w="0" w:type="auto"/>
          </w:tcPr>
          <w:p w14:paraId="20867572" w14:textId="77777777" w:rsidR="004B30BC" w:rsidRDefault="004B30BC" w:rsidP="00371E9E">
            <w:r>
              <w:t>1.7 ± 0.63 (1.8)</w:t>
            </w:r>
          </w:p>
        </w:tc>
        <w:tc>
          <w:tcPr>
            <w:tcW w:w="0" w:type="auto"/>
          </w:tcPr>
          <w:p w14:paraId="615446F7" w14:textId="77777777" w:rsidR="004B30BC" w:rsidRDefault="004B30BC" w:rsidP="00371E9E">
            <w:r>
              <w:t>14 ± 1.5</w:t>
            </w:r>
          </w:p>
        </w:tc>
      </w:tr>
      <w:tr w:rsidR="004B30BC" w14:paraId="5F44411B" w14:textId="77777777" w:rsidTr="00371E9E">
        <w:tc>
          <w:tcPr>
            <w:tcW w:w="0" w:type="auto"/>
          </w:tcPr>
          <w:p w14:paraId="43F1C327" w14:textId="77777777" w:rsidR="004B30BC" w:rsidRDefault="004B30BC" w:rsidP="00371E9E">
            <w:r>
              <w:t>Silt + 7.5 g</w:t>
            </w:r>
          </w:p>
        </w:tc>
        <w:tc>
          <w:tcPr>
            <w:tcW w:w="0" w:type="auto"/>
          </w:tcPr>
          <w:p w14:paraId="2CD89526" w14:textId="77777777" w:rsidR="004B30BC" w:rsidRDefault="004B30BC" w:rsidP="00371E9E">
            <w:r>
              <w:t>262 ± 7.9</w:t>
            </w:r>
          </w:p>
        </w:tc>
        <w:tc>
          <w:tcPr>
            <w:tcW w:w="0" w:type="auto"/>
          </w:tcPr>
          <w:p w14:paraId="0BDE8E73" w14:textId="77777777" w:rsidR="004B30BC" w:rsidRDefault="004B30BC" w:rsidP="00371E9E">
            <w:r>
              <w:t>0.5 ± 0.39 (0.41)</w:t>
            </w:r>
          </w:p>
        </w:tc>
        <w:tc>
          <w:tcPr>
            <w:tcW w:w="0" w:type="auto"/>
          </w:tcPr>
          <w:p w14:paraId="740B9BBB" w14:textId="77777777" w:rsidR="004B30BC" w:rsidRDefault="004B30BC" w:rsidP="00371E9E">
            <w:r>
              <w:t>1.6 ± 0.46 (1.7)</w:t>
            </w:r>
          </w:p>
        </w:tc>
        <w:tc>
          <w:tcPr>
            <w:tcW w:w="0" w:type="auto"/>
          </w:tcPr>
          <w:p w14:paraId="7C62397C" w14:textId="77777777" w:rsidR="004B30BC" w:rsidRDefault="004B30BC" w:rsidP="00371E9E">
            <w:r>
              <w:t>14 ± 1.2</w:t>
            </w:r>
          </w:p>
        </w:tc>
      </w:tr>
      <w:tr w:rsidR="004B30BC" w14:paraId="2994F88F" w14:textId="77777777" w:rsidTr="00371E9E">
        <w:tc>
          <w:tcPr>
            <w:tcW w:w="0" w:type="auto"/>
            <w:tcBorders>
              <w:bottom w:val="single" w:sz="4" w:space="0" w:color="auto"/>
            </w:tcBorders>
          </w:tcPr>
          <w:p w14:paraId="58829AC6" w14:textId="77777777" w:rsidR="004B30BC" w:rsidRDefault="004B30BC" w:rsidP="00371E9E">
            <w:r>
              <w:t>Silt + 15 g</w:t>
            </w:r>
          </w:p>
        </w:tc>
        <w:tc>
          <w:tcPr>
            <w:tcW w:w="0" w:type="auto"/>
            <w:tcBorders>
              <w:bottom w:val="single" w:sz="4" w:space="0" w:color="auto"/>
            </w:tcBorders>
          </w:tcPr>
          <w:p w14:paraId="25788256" w14:textId="77777777" w:rsidR="004B30BC" w:rsidRDefault="004B30BC" w:rsidP="00371E9E">
            <w:r>
              <w:t>524 ± 16</w:t>
            </w:r>
          </w:p>
        </w:tc>
        <w:tc>
          <w:tcPr>
            <w:tcW w:w="0" w:type="auto"/>
            <w:tcBorders>
              <w:bottom w:val="single" w:sz="4" w:space="0" w:color="auto"/>
            </w:tcBorders>
          </w:tcPr>
          <w:p w14:paraId="1B2CE002" w14:textId="77777777" w:rsidR="004B30BC" w:rsidRDefault="004B30BC" w:rsidP="00371E9E">
            <w:r>
              <w:t>0.52 ± 0.48 (0.43)</w:t>
            </w:r>
          </w:p>
        </w:tc>
        <w:tc>
          <w:tcPr>
            <w:tcW w:w="0" w:type="auto"/>
            <w:tcBorders>
              <w:bottom w:val="single" w:sz="4" w:space="0" w:color="auto"/>
            </w:tcBorders>
          </w:tcPr>
          <w:p w14:paraId="239A5A23" w14:textId="77777777" w:rsidR="004B30BC" w:rsidRDefault="004B30BC" w:rsidP="00371E9E">
            <w:r>
              <w:t>1.6 ± 0.49 (1.6)</w:t>
            </w:r>
          </w:p>
        </w:tc>
        <w:tc>
          <w:tcPr>
            <w:tcW w:w="0" w:type="auto"/>
            <w:tcBorders>
              <w:bottom w:val="single" w:sz="4" w:space="0" w:color="auto"/>
            </w:tcBorders>
          </w:tcPr>
          <w:p w14:paraId="7380A709" w14:textId="77777777" w:rsidR="004B30BC" w:rsidRDefault="004B30BC" w:rsidP="00371E9E">
            <w:r>
              <w:t>15 ± 1.5</w:t>
            </w:r>
          </w:p>
        </w:tc>
      </w:tr>
    </w:tbl>
    <w:p w14:paraId="53105C31" w14:textId="77777777" w:rsidR="004B30BC" w:rsidRDefault="004B30BC" w:rsidP="004B30BC"/>
    <w:p w14:paraId="35ADA043" w14:textId="77777777" w:rsidR="004B30BC" w:rsidRDefault="004B30BC" w:rsidP="004B30BC"/>
    <w:p w14:paraId="60EA09B9" w14:textId="77777777" w:rsidR="004B30BC" w:rsidRDefault="004B30BC" w:rsidP="004B30BC">
      <w:r>
        <w:t>Carbon stock remaining</w:t>
      </w:r>
    </w:p>
    <w:p w14:paraId="0D83E0D1" w14:textId="77777777" w:rsidR="004B30BC" w:rsidRPr="00256DE8" w:rsidRDefault="004B30BC" w:rsidP="004B30BC"/>
    <w:p w14:paraId="175466E7" w14:textId="7F72FFEC" w:rsidR="004B30BC" w:rsidRPr="00256DE8" w:rsidRDefault="004B30BC" w:rsidP="004B30BC">
      <w:r>
        <w:rPr>
          <w:noProof/>
        </w:rPr>
        <w:drawing>
          <wp:anchor distT="0" distB="0" distL="114300" distR="114300" simplePos="0" relativeHeight="251662336" behindDoc="0" locked="0" layoutInCell="1" allowOverlap="1" wp14:anchorId="0539B613" wp14:editId="737F8DE2">
            <wp:simplePos x="0" y="0"/>
            <wp:positionH relativeFrom="margin">
              <wp:align>center</wp:align>
            </wp:positionH>
            <wp:positionV relativeFrom="paragraph">
              <wp:posOffset>1270</wp:posOffset>
            </wp:positionV>
            <wp:extent cx="5731510" cy="3128010"/>
            <wp:effectExtent l="0" t="0" r="0" b="0"/>
            <wp:wrapTopAndBottom/>
            <wp:docPr id="8516827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1280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56DE8">
        <w:rPr>
          <w:b/>
          <w:bCs/>
        </w:rPr>
        <w:t>Figure 4</w:t>
      </w:r>
      <w:r w:rsidRPr="00256DE8">
        <w:t xml:space="preserve">. Absolute kelp carbon remaining in core on final sampling day (day 111, 120 and 28 for coarse sand, fine sand and silt) in response to kelp species (Table 1), sediment </w:t>
      </w:r>
      <w:r>
        <w:t>type</w:t>
      </w:r>
      <w:r w:rsidRPr="00256DE8">
        <w:t xml:space="preserve"> (Table 2), kelp influx load (g dry mass) and sediment depth (1-cm horizons). Note the varying response scale across kelp influx loads.</w:t>
      </w:r>
      <w:r>
        <w:t xml:space="preserve"> See Table 3 for</w:t>
      </w:r>
      <w:r w:rsidRPr="00256DE8">
        <w:t xml:space="preserve"> </w:t>
      </w:r>
      <w:r>
        <w:t>c</w:t>
      </w:r>
      <w:r w:rsidRPr="00256DE8">
        <w:t xml:space="preserve">orresponding </w:t>
      </w:r>
      <w:r>
        <w:t xml:space="preserve">areal </w:t>
      </w:r>
      <w:r w:rsidRPr="00256DE8">
        <w:t>carbon loads. Baseline carbon stocks for coarse sand, fine sand and silt are 8.9 ± 1.7 (n = 10), 82 ± 37 (n = 32) and 230 ± 35 (n = 61) g C m</w:t>
      </w:r>
      <w:r w:rsidRPr="00256DE8">
        <w:rPr>
          <w:vertAlign w:val="superscript"/>
        </w:rPr>
        <w:t>−2</w:t>
      </w:r>
      <w:r w:rsidRPr="00256DE8">
        <w:t xml:space="preserve"> per 1-cm horizon (cf. Table 2).</w:t>
      </w:r>
    </w:p>
    <w:p w14:paraId="1BFC6F81" w14:textId="77777777" w:rsidR="004B30BC" w:rsidRPr="00256DE8" w:rsidRDefault="004B30BC" w:rsidP="004B30BC"/>
    <w:p w14:paraId="3E4E7B8F" w14:textId="77777777" w:rsidR="004B30BC" w:rsidRPr="00256DE8" w:rsidRDefault="004B30BC" w:rsidP="004B30BC">
      <w:pPr>
        <w:rPr>
          <w:b/>
          <w:bCs/>
        </w:rPr>
      </w:pPr>
      <w:commentRangeStart w:id="7"/>
      <w:r w:rsidRPr="00256DE8">
        <w:rPr>
          <w:b/>
          <w:bCs/>
        </w:rPr>
        <w:t>Discussion</w:t>
      </w:r>
      <w:commentRangeEnd w:id="7"/>
      <w:r w:rsidRPr="00256DE8">
        <w:rPr>
          <w:rStyle w:val="CommentReference"/>
          <w:b/>
          <w:bCs/>
          <w:sz w:val="24"/>
          <w:szCs w:val="24"/>
        </w:rPr>
        <w:commentReference w:id="7"/>
      </w:r>
    </w:p>
    <w:p w14:paraId="63E6F2AA" w14:textId="77777777" w:rsidR="004B30BC" w:rsidRDefault="004B30BC" w:rsidP="004B30BC"/>
    <w:p w14:paraId="2DF85C2B" w14:textId="77777777" w:rsidR="004B30BC" w:rsidRDefault="004B30BC" w:rsidP="004B30BC"/>
    <w:p w14:paraId="2BF4B37E" w14:textId="77777777" w:rsidR="004B30BC" w:rsidRDefault="004B30BC" w:rsidP="004B30BC"/>
    <w:p w14:paraId="6596A264" w14:textId="77777777" w:rsidR="004B30BC" w:rsidRPr="00DC793B" w:rsidRDefault="004B30BC" w:rsidP="004B30BC"/>
    <w:p w14:paraId="5EE0CA51" w14:textId="77777777" w:rsidR="004B30BC" w:rsidRPr="00DC793B" w:rsidRDefault="004B30BC" w:rsidP="004B30BC"/>
    <w:p w14:paraId="70BE6628" w14:textId="77777777" w:rsidR="004B30BC" w:rsidRDefault="004B30BC" w:rsidP="004B30BC">
      <w:pPr>
        <w:rPr>
          <w:b/>
          <w:bCs/>
        </w:rPr>
      </w:pPr>
      <w:r>
        <w:rPr>
          <w:b/>
          <w:bCs/>
        </w:rPr>
        <w:lastRenderedPageBreak/>
        <w:t>Author contributions</w:t>
      </w:r>
    </w:p>
    <w:p w14:paraId="5361F97A" w14:textId="77777777" w:rsidR="004B30BC" w:rsidRDefault="004B30BC" w:rsidP="004B30BC">
      <w:r>
        <w:t>L.S.W., G.S., A.M.Q., K.F.-D. and T.W. first discussed the idea and L.S.W. designed the experiments. L.S.W. carried out the experiment in Australia. Hosted and supported by A.M.Q., L.S.W. carried out the experiment in the UK. L.S.W. collected and analysed all data and wrote the manuscript. All authors edited and approved the final manuscript. L.S.W. provided funding.</w:t>
      </w:r>
    </w:p>
    <w:p w14:paraId="70AC9B34" w14:textId="77777777" w:rsidR="004B30BC" w:rsidRPr="00A856AB" w:rsidRDefault="004B30BC" w:rsidP="004B30BC"/>
    <w:p w14:paraId="28CB0A96" w14:textId="77777777" w:rsidR="004B30BC" w:rsidRDefault="004B30BC" w:rsidP="004B30BC">
      <w:pPr>
        <w:rPr>
          <w:b/>
          <w:bCs/>
        </w:rPr>
      </w:pPr>
      <w:r>
        <w:rPr>
          <w:b/>
          <w:bCs/>
        </w:rPr>
        <w:t>Conflicts</w:t>
      </w:r>
    </w:p>
    <w:p w14:paraId="1061D72A" w14:textId="77777777" w:rsidR="004B30BC" w:rsidRPr="009B50DA" w:rsidRDefault="004B30BC" w:rsidP="004B30BC">
      <w:r w:rsidRPr="009B50DA">
        <w:t xml:space="preserve">We declare no </w:t>
      </w:r>
      <w:r>
        <w:t>conflicts of interest.</w:t>
      </w:r>
    </w:p>
    <w:p w14:paraId="1488225A" w14:textId="77777777" w:rsidR="004B30BC" w:rsidRPr="00256DE8" w:rsidRDefault="004B30BC" w:rsidP="004B30BC">
      <w:pPr>
        <w:rPr>
          <w:b/>
          <w:bCs/>
        </w:rPr>
      </w:pPr>
      <w:commentRangeStart w:id="8"/>
    </w:p>
    <w:p w14:paraId="459AA419" w14:textId="77777777" w:rsidR="004B30BC" w:rsidRPr="00256DE8" w:rsidRDefault="004B30BC" w:rsidP="004B30BC">
      <w:pPr>
        <w:rPr>
          <w:b/>
          <w:bCs/>
        </w:rPr>
      </w:pPr>
      <w:r w:rsidRPr="00256DE8">
        <w:rPr>
          <w:b/>
          <w:bCs/>
        </w:rPr>
        <w:t>Acknowledgements</w:t>
      </w:r>
      <w:commentRangeEnd w:id="8"/>
      <w:r w:rsidRPr="00256DE8">
        <w:rPr>
          <w:rStyle w:val="CommentReference"/>
          <w:b/>
          <w:bCs/>
          <w:sz w:val="24"/>
          <w:szCs w:val="24"/>
        </w:rPr>
        <w:commentReference w:id="8"/>
      </w:r>
    </w:p>
    <w:p w14:paraId="58961EE9" w14:textId="77777777" w:rsidR="004B30BC" w:rsidRPr="00256DE8" w:rsidRDefault="004B30BC" w:rsidP="004B30BC">
      <w:r w:rsidRPr="00256DE8">
        <w:t xml:space="preserve">Tom Roberts, </w:t>
      </w:r>
      <w:r>
        <w:t xml:space="preserve">Pippa Attwell, </w:t>
      </w:r>
      <w:r w:rsidRPr="00256DE8">
        <w:t xml:space="preserve">Tom Mesher, Christine Pascoe, </w:t>
      </w:r>
      <w:r>
        <w:t xml:space="preserve">Louise McNeill, </w:t>
      </w:r>
      <w:r w:rsidRPr="00256DE8">
        <w:t xml:space="preserve">Andy Foggo, Hayley McIlwraith, Océane Atlan, Taylor Simpkins, Brayden Cockerell, Nimisha Nair, Grace Edwards, Chunbo Liu, </w:t>
      </w:r>
      <w:r>
        <w:t>Narendra Pati, Peter Hughes, Tahlia Bassett, Vassilis Kitidis, Lily Anna Stokes, Guy Hooper, Matthew Dodd, Mark Wilson, John Keesing, Mat Vanderklift, Douglas Ford, Kate Bowler</w:t>
      </w:r>
    </w:p>
    <w:p w14:paraId="122CA398" w14:textId="77777777" w:rsidR="004B30BC" w:rsidRDefault="004B30BC" w:rsidP="004B30BC">
      <w:pPr>
        <w:rPr>
          <w:b/>
          <w:bCs/>
        </w:rPr>
      </w:pPr>
    </w:p>
    <w:p w14:paraId="558CB49E" w14:textId="77777777" w:rsidR="004B30BC" w:rsidRPr="004245BA" w:rsidRDefault="004B30BC" w:rsidP="004B30BC">
      <w:pPr>
        <w:rPr>
          <w:b/>
          <w:bCs/>
        </w:rPr>
      </w:pPr>
      <w:r w:rsidRPr="004245BA">
        <w:rPr>
          <w:b/>
          <w:bCs/>
        </w:rPr>
        <w:t>Funding</w:t>
      </w:r>
    </w:p>
    <w:p w14:paraId="11F9E64C" w14:textId="77777777" w:rsidR="004B30BC" w:rsidRPr="009300A5" w:rsidRDefault="004B30BC" w:rsidP="004B30BC">
      <w:pPr>
        <w:rPr>
          <w:rFonts w:eastAsiaTheme="minorEastAsia"/>
          <w:b/>
          <w:bCs/>
        </w:rPr>
      </w:pPr>
      <w:r w:rsidRPr="009300A5">
        <w:rPr>
          <w:rFonts w:eastAsiaTheme="minorEastAsia"/>
        </w:rPr>
        <w:t>This work was supported by the Forrest Research Foundation Scholarship</w:t>
      </w:r>
      <w:r>
        <w:rPr>
          <w:rFonts w:eastAsiaTheme="minorEastAsia"/>
        </w:rPr>
        <w:t xml:space="preserve">, </w:t>
      </w:r>
      <w:r w:rsidRPr="009300A5">
        <w:rPr>
          <w:rFonts w:eastAsiaTheme="minorEastAsia"/>
        </w:rPr>
        <w:t>Australian Government Research Training Program Scholarship</w:t>
      </w:r>
      <w:r>
        <w:rPr>
          <w:rFonts w:eastAsiaTheme="minorEastAsia"/>
        </w:rPr>
        <w:t>, Ecological Society of Australia Holsworth Wildlife Research Endowment and Oceans Institute Robson &amp; Robertson Award awarded to L.S.W</w:t>
      </w:r>
      <w:r w:rsidRPr="009300A5">
        <w:rPr>
          <w:rFonts w:eastAsiaTheme="minorEastAsia"/>
        </w:rPr>
        <w:t>.</w:t>
      </w:r>
    </w:p>
    <w:p w14:paraId="3B049D5E" w14:textId="77777777" w:rsidR="004B30BC" w:rsidRDefault="004B30BC" w:rsidP="004B30BC">
      <w:pPr>
        <w:rPr>
          <w:b/>
          <w:bCs/>
        </w:rPr>
      </w:pPr>
    </w:p>
    <w:p w14:paraId="3B15FBFC" w14:textId="77777777" w:rsidR="004B30BC" w:rsidRDefault="004B30BC" w:rsidP="004B30BC">
      <w:pPr>
        <w:rPr>
          <w:b/>
          <w:bCs/>
        </w:rPr>
      </w:pPr>
      <w:r>
        <w:rPr>
          <w:b/>
          <w:bCs/>
        </w:rPr>
        <w:t>Data and code availability</w:t>
      </w:r>
    </w:p>
    <w:p w14:paraId="5570CE68" w14:textId="77777777" w:rsidR="004B30BC" w:rsidRPr="00D57E8D" w:rsidRDefault="004B30BC" w:rsidP="004B30BC">
      <w:pPr>
        <w:rPr>
          <w:rFonts w:eastAsiaTheme="minorEastAsia"/>
        </w:rPr>
      </w:pPr>
      <w:r w:rsidRPr="001E6D5A">
        <w:rPr>
          <w:rFonts w:eastAsiaTheme="minorEastAsia"/>
          <w:lang w:bidi="he-IL"/>
        </w:rPr>
        <w:t xml:space="preserve">Data and code to reproduce this </w:t>
      </w:r>
      <w:r>
        <w:rPr>
          <w:rFonts w:eastAsiaTheme="minorEastAsia"/>
          <w:lang w:bidi="he-IL"/>
        </w:rPr>
        <w:t>study</w:t>
      </w:r>
      <w:r w:rsidRPr="001E6D5A">
        <w:rPr>
          <w:rFonts w:eastAsiaTheme="minorEastAsia"/>
          <w:lang w:bidi="he-IL"/>
        </w:rPr>
        <w:t xml:space="preserve"> are </w:t>
      </w:r>
      <w:r w:rsidRPr="0051138B">
        <w:rPr>
          <w:rFonts w:eastAsiaTheme="minorEastAsia"/>
          <w:lang w:bidi="he-IL"/>
        </w:rPr>
        <w:t xml:space="preserve">available at </w:t>
      </w:r>
      <w:hyperlink r:id="rId25" w:history="1">
        <w:r w:rsidRPr="0051138B">
          <w:rPr>
            <w:rStyle w:val="Hyperlink"/>
            <w:rFonts w:eastAsiaTheme="minorEastAsia"/>
            <w:color w:val="auto"/>
            <w:lang w:bidi="he-IL"/>
          </w:rPr>
          <w:t>github.com/lukaseamus/kelp-burial</w:t>
        </w:r>
      </w:hyperlink>
      <w:r w:rsidRPr="0051138B">
        <w:rPr>
          <w:rFonts w:eastAsiaTheme="minorEastAsia"/>
        </w:rPr>
        <w:t>.</w:t>
      </w:r>
    </w:p>
    <w:p w14:paraId="63AB6025" w14:textId="77777777" w:rsidR="004B30BC" w:rsidRPr="00256DE8" w:rsidRDefault="004B30BC" w:rsidP="004B30BC">
      <w:pPr>
        <w:rPr>
          <w:b/>
          <w:bCs/>
        </w:rPr>
      </w:pPr>
    </w:p>
    <w:p w14:paraId="409448A7" w14:textId="77777777" w:rsidR="004B30BC" w:rsidRPr="00256DE8" w:rsidRDefault="004B30BC" w:rsidP="004B30BC">
      <w:pPr>
        <w:rPr>
          <w:b/>
          <w:bCs/>
        </w:rPr>
      </w:pPr>
      <w:r w:rsidRPr="00256DE8">
        <w:rPr>
          <w:b/>
          <w:bCs/>
        </w:rPr>
        <w:t>References</w:t>
      </w:r>
    </w:p>
    <w:p w14:paraId="13B40703" w14:textId="77777777" w:rsidR="004B30BC" w:rsidRDefault="004B30BC" w:rsidP="004B30BC">
      <w:pPr>
        <w:tabs>
          <w:tab w:val="left" w:pos="560"/>
        </w:tabs>
        <w:ind w:left="540" w:hanging="540"/>
        <w:rPr>
          <w:rFonts w:ascii="Arial" w:hAnsi="Arial"/>
          <w:sz w:val="26"/>
          <w:lang w:eastAsia="en-US"/>
        </w:rPr>
      </w:pPr>
      <w:r>
        <w:fldChar w:fldCharType="begin"/>
      </w:r>
      <w:r>
        <w:instrText>ADDIN BB</w:instrText>
      </w:r>
      <w:r>
        <w:fldChar w:fldCharType="separate"/>
      </w:r>
      <w:r>
        <w:rPr>
          <w:lang w:eastAsia="en-US"/>
        </w:rPr>
        <w:t>Abdullah MI, Fredriksen S, Christie H (2017) The impact of the kelp (</w:t>
      </w:r>
      <w:r>
        <w:rPr>
          <w:i/>
          <w:lang w:eastAsia="en-US"/>
        </w:rPr>
        <w:t>Laminaria hyperborea</w:t>
      </w:r>
      <w:r>
        <w:rPr>
          <w:lang w:eastAsia="en-US"/>
        </w:rPr>
        <w:t xml:space="preserve">) forest on the organic matter content in sediment of the west coast of Norway. </w:t>
      </w:r>
      <w:r>
        <w:rPr>
          <w:i/>
          <w:lang w:eastAsia="en-US"/>
        </w:rPr>
        <w:t>Mar Biol Res</w:t>
      </w:r>
      <w:r>
        <w:rPr>
          <w:lang w:eastAsia="en-US"/>
        </w:rPr>
        <w:t xml:space="preserve"> 13, 151–160. 10.1080/17451000.2016.1240369.</w:t>
      </w:r>
    </w:p>
    <w:p w14:paraId="7C7DB77B" w14:textId="77777777" w:rsidR="004B30BC" w:rsidRDefault="004B30BC" w:rsidP="004B30BC">
      <w:pPr>
        <w:tabs>
          <w:tab w:val="left" w:pos="560"/>
        </w:tabs>
        <w:ind w:left="540" w:hanging="540"/>
        <w:rPr>
          <w:rFonts w:ascii="Arial" w:hAnsi="Arial"/>
          <w:sz w:val="26"/>
          <w:lang w:eastAsia="en-US"/>
        </w:rPr>
      </w:pPr>
      <w:r>
        <w:rPr>
          <w:lang w:eastAsia="en-US"/>
        </w:rPr>
        <w:t xml:space="preserve">Andersen FO, Kristensen E (1992) The importance of benthic macrofauna in decomposition of microalgae in a coastal marine sediment. </w:t>
      </w:r>
      <w:r>
        <w:rPr>
          <w:i/>
          <w:lang w:eastAsia="en-US"/>
        </w:rPr>
        <w:t>Limnology and Oceanography</w:t>
      </w:r>
      <w:r>
        <w:rPr>
          <w:lang w:eastAsia="en-US"/>
        </w:rPr>
        <w:t xml:space="preserve"> 37, 1392–1403. https://aslopubs.onlinelibrary.wiley.com/doi/pdfdirect/10.4319/lo.1992.37.7.1392.</w:t>
      </w:r>
    </w:p>
    <w:p w14:paraId="7DF4EF21" w14:textId="77777777" w:rsidR="004B30BC" w:rsidRDefault="004B30BC" w:rsidP="004B30BC">
      <w:pPr>
        <w:tabs>
          <w:tab w:val="left" w:pos="560"/>
        </w:tabs>
        <w:ind w:left="540" w:hanging="540"/>
        <w:rPr>
          <w:rFonts w:ascii="Arial" w:hAnsi="Arial"/>
          <w:sz w:val="26"/>
          <w:lang w:eastAsia="en-US"/>
        </w:rPr>
      </w:pPr>
      <w:r>
        <w:rPr>
          <w:lang w:eastAsia="en-US"/>
        </w:rPr>
        <w:t xml:space="preserve">Aromokeye DA, Willis-Poratti G, Wunder LC, Yin X, Wendt J, Richter-Heitmann T, Henkel S, Vázquez S, Elvert M, Mac Cormack W et al. (2021) Macroalgae degradation promotes microbial iron reduction via electron shuttling in coastal Antarctic sediments. </w:t>
      </w:r>
      <w:r>
        <w:rPr>
          <w:i/>
          <w:lang w:eastAsia="en-US"/>
        </w:rPr>
        <w:t>Environ Int</w:t>
      </w:r>
      <w:r>
        <w:rPr>
          <w:lang w:eastAsia="en-US"/>
        </w:rPr>
        <w:t xml:space="preserve"> 156, 106602. https://pubmed.ncbi.nlm.nih.gov/34051435.</w:t>
      </w:r>
    </w:p>
    <w:p w14:paraId="3886B229" w14:textId="77777777" w:rsidR="004B30BC" w:rsidRDefault="004B30BC" w:rsidP="004B30BC">
      <w:pPr>
        <w:tabs>
          <w:tab w:val="left" w:pos="560"/>
        </w:tabs>
        <w:ind w:left="540" w:hanging="540"/>
        <w:rPr>
          <w:rFonts w:ascii="Arial" w:hAnsi="Arial"/>
          <w:sz w:val="26"/>
          <w:lang w:eastAsia="en-US"/>
        </w:rPr>
      </w:pPr>
      <w:r>
        <w:rPr>
          <w:lang w:eastAsia="en-US"/>
        </w:rPr>
        <w:t xml:space="preserve">Banta GT, Pedersen MF, Nielsen SL (2004) Decomposition of marine primary producers: consequences for nutrient recycling and retention in coastal ecosystems. Nielsen SL, Banta GT, Pedersen MF (eds.) </w:t>
      </w:r>
      <w:r>
        <w:rPr>
          <w:i/>
          <w:lang w:eastAsia="en-US"/>
        </w:rPr>
        <w:t>Estuarine nutrient cycling: the influence of primary producers</w:t>
      </w:r>
      <w:r>
        <w:rPr>
          <w:lang w:eastAsia="en-US"/>
        </w:rPr>
        <w:t>, 187–216. https://doi.org/10.1007/978-1-4020-3021-5_7.</w:t>
      </w:r>
    </w:p>
    <w:p w14:paraId="226D9B66" w14:textId="77777777" w:rsidR="004B30BC" w:rsidRDefault="004B30BC" w:rsidP="004B30BC">
      <w:pPr>
        <w:tabs>
          <w:tab w:val="left" w:pos="560"/>
        </w:tabs>
        <w:ind w:left="540" w:hanging="540"/>
        <w:rPr>
          <w:rFonts w:ascii="Arial" w:hAnsi="Arial"/>
          <w:sz w:val="26"/>
          <w:lang w:eastAsia="en-US"/>
        </w:rPr>
      </w:pPr>
      <w:r>
        <w:rPr>
          <w:lang w:eastAsia="en-US"/>
        </w:rPr>
        <w:t xml:space="preserve">Bartsch I, Wiencke C, Bischof K, Buchholz CM, Buck BH, Eggert A, Feuerpfeil P, Hanelt D, Jacobsen S, Karez R et al. (2008) </w:t>
      </w:r>
      <w:r>
        <w:rPr>
          <w:rFonts w:ascii="Helvetica" w:hAnsi="Helvetica"/>
          <w:lang w:eastAsia="en-US"/>
        </w:rPr>
        <w:t xml:space="preserve">The genus </w:t>
      </w:r>
      <w:r>
        <w:rPr>
          <w:rFonts w:ascii="Helvetica" w:hAnsi="Helvetica"/>
          <w:i/>
          <w:lang w:eastAsia="en-US"/>
        </w:rPr>
        <w:t>Laminaria</w:t>
      </w:r>
      <w:r>
        <w:rPr>
          <w:rFonts w:ascii="Helvetica" w:hAnsi="Helvetica"/>
          <w:lang w:eastAsia="en-US"/>
        </w:rPr>
        <w:t xml:space="preserve"> </w:t>
      </w:r>
      <w:r>
        <w:rPr>
          <w:rFonts w:ascii="Helvetica" w:hAnsi="Helvetica"/>
          <w:i/>
          <w:lang w:eastAsia="en-US"/>
        </w:rPr>
        <w:t>sensu lato</w:t>
      </w:r>
      <w:r>
        <w:rPr>
          <w:rFonts w:ascii="Helvetica" w:hAnsi="Helvetica"/>
          <w:lang w:eastAsia="en-US"/>
        </w:rPr>
        <w:t>: recent insights and developments</w:t>
      </w:r>
      <w:r>
        <w:rPr>
          <w:lang w:eastAsia="en-US"/>
        </w:rPr>
        <w:t xml:space="preserve">. </w:t>
      </w:r>
      <w:r>
        <w:rPr>
          <w:i/>
          <w:lang w:eastAsia="en-US"/>
        </w:rPr>
        <w:t>Eur J Phycol</w:t>
      </w:r>
      <w:r>
        <w:rPr>
          <w:lang w:eastAsia="en-US"/>
        </w:rPr>
        <w:t xml:space="preserve"> 43, 1–86. 10.1080/09670260701711376.</w:t>
      </w:r>
    </w:p>
    <w:p w14:paraId="61EF5CFD" w14:textId="77777777" w:rsidR="004B30BC" w:rsidRDefault="004B30BC" w:rsidP="004B30BC">
      <w:pPr>
        <w:tabs>
          <w:tab w:val="left" w:pos="560"/>
        </w:tabs>
        <w:ind w:left="540" w:hanging="540"/>
        <w:rPr>
          <w:rFonts w:ascii="Arial" w:hAnsi="Arial"/>
          <w:sz w:val="26"/>
          <w:lang w:eastAsia="en-US"/>
        </w:rPr>
      </w:pPr>
      <w:r>
        <w:rPr>
          <w:lang w:eastAsia="en-US"/>
        </w:rPr>
        <w:t xml:space="preserve">Blain CO, Hansen SC, Shears NT (2021) Coastal darkening substantially limits the contribution of kelp to coastal carbon cycles. </w:t>
      </w:r>
      <w:r>
        <w:rPr>
          <w:i/>
          <w:lang w:eastAsia="en-US"/>
        </w:rPr>
        <w:t>Glob Chang Biol</w:t>
      </w:r>
      <w:r>
        <w:rPr>
          <w:lang w:eastAsia="en-US"/>
        </w:rPr>
        <w:t xml:space="preserve"> 27, 5547–5563. 10.1111/gcb.15837.</w:t>
      </w:r>
    </w:p>
    <w:p w14:paraId="36CF33F2" w14:textId="77777777" w:rsidR="004B30BC" w:rsidRDefault="004B30BC" w:rsidP="004B30BC">
      <w:pPr>
        <w:tabs>
          <w:tab w:val="left" w:pos="560"/>
        </w:tabs>
        <w:ind w:left="540" w:hanging="540"/>
        <w:rPr>
          <w:rFonts w:ascii="Arial" w:hAnsi="Arial"/>
          <w:sz w:val="26"/>
          <w:lang w:eastAsia="en-US"/>
        </w:rPr>
      </w:pPr>
      <w:r>
        <w:rPr>
          <w:lang w:eastAsia="en-US"/>
        </w:rPr>
        <w:lastRenderedPageBreak/>
        <w:t xml:space="preserve">Boldreel EH, Attard KM, Hancke K, Glud RN (2023) Microbial degradation dynamics of farmed kelp deposits from Saccharina latissima and Alaria esculenta. </w:t>
      </w:r>
      <w:r>
        <w:rPr>
          <w:i/>
          <w:lang w:eastAsia="en-US"/>
        </w:rPr>
        <w:t>Marine Ecology Progress Series</w:t>
      </w:r>
      <w:r>
        <w:rPr>
          <w:lang w:eastAsia="en-US"/>
        </w:rPr>
        <w:t xml:space="preserve"> 709, 1–15. https://www.int-res.com/abstracts/meps/v709/p1-15.</w:t>
      </w:r>
    </w:p>
    <w:p w14:paraId="4608A32E" w14:textId="77777777" w:rsidR="004B30BC" w:rsidRDefault="004B30BC" w:rsidP="004B30BC">
      <w:pPr>
        <w:tabs>
          <w:tab w:val="left" w:pos="560"/>
        </w:tabs>
        <w:ind w:left="540" w:hanging="540"/>
        <w:rPr>
          <w:rFonts w:ascii="Arial" w:hAnsi="Arial"/>
          <w:sz w:val="26"/>
          <w:lang w:eastAsia="en-US"/>
        </w:rPr>
      </w:pPr>
      <w:r>
        <w:rPr>
          <w:lang w:eastAsia="en-US"/>
        </w:rPr>
        <w:t xml:space="preserve">Borger ED, Tiano J, Braeckman U, Ysebaert T, Soetaert K (2020) Biological and biogeochemical methods for estimating bioirrigation: a case study in the Oosterschelde estuary. </w:t>
      </w:r>
      <w:r>
        <w:rPr>
          <w:i/>
          <w:lang w:eastAsia="en-US"/>
        </w:rPr>
        <w:t>Biogeosciences</w:t>
      </w:r>
      <w:r>
        <w:rPr>
          <w:lang w:eastAsia="en-US"/>
        </w:rPr>
        <w:t xml:space="preserve"> 17, 1701–1715. https://bg.copernicus.org/articles/17/1701/2020.</w:t>
      </w:r>
    </w:p>
    <w:p w14:paraId="5468F480" w14:textId="77777777" w:rsidR="004B30BC" w:rsidRDefault="004B30BC" w:rsidP="004B30BC">
      <w:pPr>
        <w:tabs>
          <w:tab w:val="left" w:pos="560"/>
        </w:tabs>
        <w:ind w:left="540" w:hanging="540"/>
        <w:rPr>
          <w:rFonts w:ascii="Arial" w:hAnsi="Arial"/>
          <w:sz w:val="26"/>
          <w:lang w:eastAsia="en-US"/>
        </w:rPr>
      </w:pPr>
      <w:r>
        <w:rPr>
          <w:lang w:eastAsia="en-US"/>
        </w:rPr>
        <w:t xml:space="preserve">Bossert A, von der Heyden S, Colling J, Ndhlovu A (2024) Partitioning the sources of sediment organic carbon in South African seagrass meadows. </w:t>
      </w:r>
      <w:r>
        <w:rPr>
          <w:i/>
          <w:lang w:eastAsia="en-US"/>
        </w:rPr>
        <w:t>African Journal of Marine Science</w:t>
      </w:r>
      <w:r>
        <w:rPr>
          <w:lang w:eastAsia="en-US"/>
        </w:rPr>
        <w:t xml:space="preserve"> 46, 169–175. https://doi.org/10.2989/1814232x.2024.2370867.</w:t>
      </w:r>
    </w:p>
    <w:p w14:paraId="5978B5B4" w14:textId="77777777" w:rsidR="004B30BC" w:rsidRDefault="004B30BC" w:rsidP="004B30BC">
      <w:pPr>
        <w:tabs>
          <w:tab w:val="left" w:pos="560"/>
        </w:tabs>
        <w:ind w:left="540" w:hanging="540"/>
        <w:rPr>
          <w:rFonts w:ascii="Arial" w:hAnsi="Arial"/>
          <w:sz w:val="26"/>
          <w:lang w:eastAsia="en-US"/>
        </w:rPr>
      </w:pPr>
      <w:r>
        <w:rPr>
          <w:lang w:eastAsia="en-US"/>
        </w:rPr>
        <w:t xml:space="preserve">Braeckman U, Pasotti F, Vázquez S, Zacher K, Hoffmann R, Elvert M, Marchant H, Buckner C, Quartino ML, Mác Cormack W et al. (2019) Degradation of macroalgal detritus in shallow coastal Antarctic sediments. </w:t>
      </w:r>
      <w:r>
        <w:rPr>
          <w:i/>
          <w:lang w:eastAsia="en-US"/>
        </w:rPr>
        <w:t>Limnol Oceanogr</w:t>
      </w:r>
      <w:r>
        <w:rPr>
          <w:lang w:eastAsia="en-US"/>
        </w:rPr>
        <w:t xml:space="preserve"> 64, 1423–1441. 10.1002/lno.11125.</w:t>
      </w:r>
    </w:p>
    <w:p w14:paraId="06DFA71E" w14:textId="77777777" w:rsidR="004B30BC" w:rsidRDefault="004B30BC" w:rsidP="004B30BC">
      <w:pPr>
        <w:tabs>
          <w:tab w:val="left" w:pos="560"/>
        </w:tabs>
        <w:ind w:left="540" w:hanging="540"/>
        <w:rPr>
          <w:rFonts w:ascii="Arial" w:hAnsi="Arial"/>
          <w:sz w:val="26"/>
          <w:lang w:eastAsia="en-US"/>
        </w:rPr>
      </w:pPr>
      <w:r>
        <w:rPr>
          <w:lang w:eastAsia="en-US"/>
        </w:rPr>
        <w:t xml:space="preserve">Canvin MC, King NG, Moore PJ, Smale DA (2026) Determining the contribution of temperate seaweed farming to local sedimentary carbon stocks and climate change mitigation. </w:t>
      </w:r>
      <w:r>
        <w:rPr>
          <w:i/>
          <w:lang w:eastAsia="en-US"/>
        </w:rPr>
        <w:t>Marine Pollution Bulletin</w:t>
      </w:r>
      <w:r>
        <w:rPr>
          <w:lang w:eastAsia="en-US"/>
        </w:rPr>
        <w:t xml:space="preserve"> 225, 119283. https://doi.org/10.1016/j.marpolbul.2026.119283.</w:t>
      </w:r>
    </w:p>
    <w:p w14:paraId="4D1ACC84" w14:textId="77777777" w:rsidR="004B30BC" w:rsidRDefault="004B30BC" w:rsidP="004B30BC">
      <w:pPr>
        <w:tabs>
          <w:tab w:val="left" w:pos="560"/>
        </w:tabs>
        <w:ind w:left="540" w:hanging="540"/>
        <w:rPr>
          <w:rFonts w:ascii="Arial" w:hAnsi="Arial"/>
          <w:sz w:val="26"/>
          <w:lang w:eastAsia="en-US"/>
        </w:rPr>
      </w:pPr>
      <w:r>
        <w:rPr>
          <w:lang w:eastAsia="en-US"/>
        </w:rPr>
        <w:t xml:space="preserve">Carpenter B, Gelman A, Hoffman MD, Lee D, Goodrich B, Betancourt M, Brubaker M, Guo J, Li P, Riddell A (2017) Stan: a probabilistic programming language. </w:t>
      </w:r>
      <w:r>
        <w:rPr>
          <w:i/>
          <w:lang w:eastAsia="en-US"/>
        </w:rPr>
        <w:t>Journal of Statistical Software</w:t>
      </w:r>
      <w:r>
        <w:rPr>
          <w:lang w:eastAsia="en-US"/>
        </w:rPr>
        <w:t xml:space="preserve"> 76, 1–32. https://doi.org/10.18637/jss.v076.i01.</w:t>
      </w:r>
    </w:p>
    <w:p w14:paraId="1824BAA6" w14:textId="77777777" w:rsidR="004B30BC" w:rsidRDefault="004B30BC" w:rsidP="004B30BC">
      <w:pPr>
        <w:tabs>
          <w:tab w:val="left" w:pos="560"/>
        </w:tabs>
        <w:ind w:left="540" w:hanging="540"/>
        <w:rPr>
          <w:rFonts w:ascii="Arial" w:hAnsi="Arial"/>
          <w:sz w:val="26"/>
          <w:lang w:eastAsia="en-US"/>
        </w:rPr>
      </w:pPr>
      <w:r>
        <w:rPr>
          <w:lang w:eastAsia="en-US"/>
        </w:rPr>
        <w:t xml:space="preserve">Chynel M, Abril G, Narayaninsamy M, Deirmendjian L, Guérin F, Dromard C, Meziane T (2024) Sargassum beaching on mangrove sediments shifts microbial and crab metabolisms and enhances blue carbon storage. </w:t>
      </w:r>
      <w:r>
        <w:rPr>
          <w:i/>
          <w:lang w:eastAsia="en-US"/>
        </w:rPr>
        <w:t>Limnology and Oceanography</w:t>
      </w:r>
      <w:r>
        <w:rPr>
          <w:lang w:eastAsia="en-US"/>
        </w:rPr>
        <w:t xml:space="preserve"> 69, 2941–2953. https://doi.org/10.1002/lno.12725.</w:t>
      </w:r>
    </w:p>
    <w:p w14:paraId="54192BD9" w14:textId="77777777" w:rsidR="004B30BC" w:rsidRDefault="004B30BC" w:rsidP="004B30BC">
      <w:pPr>
        <w:tabs>
          <w:tab w:val="left" w:pos="560"/>
        </w:tabs>
        <w:ind w:left="540" w:hanging="540"/>
        <w:rPr>
          <w:rFonts w:ascii="Arial" w:hAnsi="Arial"/>
          <w:sz w:val="26"/>
          <w:lang w:eastAsia="en-US"/>
        </w:rPr>
      </w:pPr>
      <w:r>
        <w:rPr>
          <w:lang w:eastAsia="en-US"/>
        </w:rPr>
        <w:t xml:space="preserve">Dahl M, Asplund ME, Bergman S, Björk M, Braun S, Löfgren E, Martí E, Masque P, Svensson R, Gullström M (2023) First assessment of seagrass carbon accumulation rates in Sweden: A field study from a fjord system at the Skagerrak coast. </w:t>
      </w:r>
      <w:r>
        <w:rPr>
          <w:i/>
          <w:lang w:eastAsia="en-US"/>
        </w:rPr>
        <w:t>PLOS Climate</w:t>
      </w:r>
      <w:r>
        <w:rPr>
          <w:lang w:eastAsia="en-US"/>
        </w:rPr>
        <w:t xml:space="preserve"> 2, e0000099. https://doi.org/10.1371/journal.pclm.0000099.</w:t>
      </w:r>
    </w:p>
    <w:p w14:paraId="64B410DA" w14:textId="77777777" w:rsidR="004B30BC" w:rsidRDefault="004B30BC" w:rsidP="004B30BC">
      <w:pPr>
        <w:tabs>
          <w:tab w:val="left" w:pos="560"/>
        </w:tabs>
        <w:ind w:left="540" w:hanging="540"/>
        <w:rPr>
          <w:rFonts w:ascii="Arial" w:hAnsi="Arial"/>
          <w:sz w:val="26"/>
          <w:lang w:eastAsia="en-US"/>
        </w:rPr>
      </w:pPr>
      <w:r>
        <w:rPr>
          <w:lang w:eastAsia="en-US"/>
        </w:rPr>
        <w:t xml:space="preserve">Davis TR, Nimbs MJ, Coleman MA (2025) </w:t>
      </w:r>
      <w:r>
        <w:rPr>
          <w:rFonts w:ascii="Helvetica Neue" w:hAnsi="Helvetica Neue"/>
          <w:lang w:eastAsia="en-US"/>
        </w:rPr>
        <w:t>Seasonal and spatial variation in the growth, biomass production, mortality and potential blue carbon production of golden kelp (</w:t>
      </w:r>
      <w:r>
        <w:rPr>
          <w:rFonts w:ascii="Helvetica Neue" w:hAnsi="Helvetica Neue"/>
          <w:i/>
          <w:lang w:eastAsia="en-US"/>
        </w:rPr>
        <w:t>Ecklonia radiata</w:t>
      </w:r>
      <w:r>
        <w:rPr>
          <w:rFonts w:ascii="Helvetica Neue" w:hAnsi="Helvetica Neue"/>
          <w:lang w:eastAsia="en-US"/>
        </w:rPr>
        <w:t>) off Eastern Australia</w:t>
      </w:r>
      <w:r>
        <w:rPr>
          <w:lang w:eastAsia="en-US"/>
        </w:rPr>
        <w:t xml:space="preserve">. </w:t>
      </w:r>
      <w:r>
        <w:rPr>
          <w:i/>
          <w:lang w:eastAsia="en-US"/>
        </w:rPr>
        <w:t>Austral Ecology</w:t>
      </w:r>
      <w:r>
        <w:rPr>
          <w:lang w:eastAsia="en-US"/>
        </w:rPr>
        <w:t xml:space="preserve"> 50, e70120. https://doi.org/10.1111/aec.70120.</w:t>
      </w:r>
    </w:p>
    <w:p w14:paraId="6AF7600C" w14:textId="77777777" w:rsidR="004B30BC" w:rsidRDefault="004B30BC" w:rsidP="004B30BC">
      <w:pPr>
        <w:tabs>
          <w:tab w:val="left" w:pos="560"/>
        </w:tabs>
        <w:ind w:left="540" w:hanging="540"/>
        <w:rPr>
          <w:rFonts w:ascii="Arial" w:hAnsi="Arial"/>
          <w:sz w:val="26"/>
          <w:lang w:eastAsia="en-US"/>
        </w:rPr>
      </w:pPr>
      <w:r>
        <w:rPr>
          <w:lang w:eastAsia="en-US"/>
        </w:rPr>
        <w:t>de Bettignies T, Hébert C, Assis J, Bartsch I, Bekkby T, Christie H, Dahl K, Derrien-Courtel S, Edwards H, Filbee-Dexter K et al. (2021) Case report for kelp forests habitat. OSPAR 787/2021. OSPAR Commission. https://www.ospar.org/documents?v=46871.</w:t>
      </w:r>
    </w:p>
    <w:p w14:paraId="2F2C98EF" w14:textId="77777777" w:rsidR="004B30BC" w:rsidRDefault="004B30BC" w:rsidP="004B30BC">
      <w:pPr>
        <w:tabs>
          <w:tab w:val="left" w:pos="560"/>
        </w:tabs>
        <w:ind w:left="540" w:hanging="540"/>
        <w:rPr>
          <w:rFonts w:ascii="Arial" w:hAnsi="Arial"/>
          <w:sz w:val="26"/>
          <w:lang w:eastAsia="en-US"/>
        </w:rPr>
      </w:pPr>
      <w:r>
        <w:rPr>
          <w:lang w:eastAsia="en-US"/>
        </w:rPr>
        <w:t xml:space="preserve">Dickson AG, Afghan JD, Anderson GC (2003) Reference materials for oceanic CO2 analysis: a method for the certification of total alkalinity. </w:t>
      </w:r>
      <w:r>
        <w:rPr>
          <w:i/>
          <w:lang w:eastAsia="en-US"/>
        </w:rPr>
        <w:t>Marine Chemistry</w:t>
      </w:r>
      <w:r>
        <w:rPr>
          <w:lang w:eastAsia="en-US"/>
        </w:rPr>
        <w:t xml:space="preserve"> 80, 185–197. https://www.sciencedirect.com/science/article/pii/S0304420302001330?casa_token=3vB79MpJKkYAAAAA:w8zPXRi4r0OWwaUDZwzKOHyuEPR4S-095SpZrK0irtklz2uEWFWOTv4vaCkgpW7tXBOaYeO9Dw.</w:t>
      </w:r>
    </w:p>
    <w:p w14:paraId="5CF3C3F1" w14:textId="77777777" w:rsidR="004B30BC" w:rsidRDefault="004B30BC" w:rsidP="004B30BC">
      <w:pPr>
        <w:tabs>
          <w:tab w:val="left" w:pos="560"/>
        </w:tabs>
        <w:ind w:left="540" w:hanging="540"/>
        <w:rPr>
          <w:rFonts w:ascii="Arial" w:hAnsi="Arial"/>
          <w:sz w:val="26"/>
          <w:lang w:eastAsia="en-US"/>
        </w:rPr>
      </w:pPr>
      <w:r>
        <w:rPr>
          <w:lang w:eastAsia="en-US"/>
        </w:rPr>
        <w:t xml:space="preserve">Duarte CM, Delgado-Huertas A, Marti E, Gasser B, Martin IS, Cousteau A, Neumeyer F, Reilly-Cayten M, Boyce J, Kuwae T (2025) Carbon burial in sediments below seaweed farms matches that of Blue Carbon habitats. </w:t>
      </w:r>
      <w:r>
        <w:rPr>
          <w:i/>
          <w:lang w:eastAsia="en-US"/>
        </w:rPr>
        <w:t>Nature Climate Change</w:t>
      </w:r>
      <w:r>
        <w:rPr>
          <w:lang w:eastAsia="en-US"/>
        </w:rPr>
        <w:t xml:space="preserve"> 15, 180–187. https://doi.org/10.1038/s41558-024-02238-1.</w:t>
      </w:r>
    </w:p>
    <w:p w14:paraId="0EB0DA75" w14:textId="77777777" w:rsidR="004B30BC" w:rsidRDefault="004B30BC" w:rsidP="004B30BC">
      <w:pPr>
        <w:tabs>
          <w:tab w:val="left" w:pos="560"/>
        </w:tabs>
        <w:ind w:left="540" w:hanging="540"/>
        <w:rPr>
          <w:rFonts w:ascii="Arial" w:hAnsi="Arial"/>
          <w:sz w:val="26"/>
          <w:lang w:eastAsia="en-US"/>
        </w:rPr>
      </w:pPr>
      <w:r>
        <w:rPr>
          <w:lang w:eastAsia="en-US"/>
        </w:rPr>
        <w:t xml:space="preserve">Duarte CM, Losada IJ, Hendriks IE, Mazarrasa I, Marbà N (2013) The role of coastal plant communities for climate change mitigation and adaptation. </w:t>
      </w:r>
      <w:r>
        <w:rPr>
          <w:i/>
          <w:lang w:eastAsia="en-US"/>
        </w:rPr>
        <w:t>Nat Clim Chang</w:t>
      </w:r>
      <w:r>
        <w:rPr>
          <w:lang w:eastAsia="en-US"/>
        </w:rPr>
        <w:t xml:space="preserve"> 3, 961–968. 10.1038/nclimate1970.</w:t>
      </w:r>
    </w:p>
    <w:p w14:paraId="31B96F2E" w14:textId="77777777" w:rsidR="004B30BC" w:rsidRDefault="004B30BC" w:rsidP="004B30BC">
      <w:pPr>
        <w:tabs>
          <w:tab w:val="left" w:pos="560"/>
        </w:tabs>
        <w:ind w:left="540" w:hanging="540"/>
        <w:rPr>
          <w:rFonts w:ascii="Arial" w:hAnsi="Arial"/>
          <w:sz w:val="26"/>
          <w:lang w:eastAsia="en-US"/>
        </w:rPr>
      </w:pPr>
      <w:r>
        <w:rPr>
          <w:lang w:eastAsia="en-US"/>
        </w:rPr>
        <w:lastRenderedPageBreak/>
        <w:t xml:space="preserve">Filbee-Dexter K, Wernberg T (2020) Substantial blue carbon in overlooked Australian kelp forests. </w:t>
      </w:r>
      <w:r>
        <w:rPr>
          <w:i/>
          <w:lang w:eastAsia="en-US"/>
        </w:rPr>
        <w:t>Sci Rep</w:t>
      </w:r>
      <w:r>
        <w:rPr>
          <w:lang w:eastAsia="en-US"/>
        </w:rPr>
        <w:t xml:space="preserve"> 10, 12341. 10.1038/s41598-020-69258-7.</w:t>
      </w:r>
    </w:p>
    <w:p w14:paraId="31EB05CA" w14:textId="77777777" w:rsidR="004B30BC" w:rsidRDefault="004B30BC" w:rsidP="004B30BC">
      <w:pPr>
        <w:tabs>
          <w:tab w:val="left" w:pos="560"/>
        </w:tabs>
        <w:ind w:left="540" w:hanging="540"/>
        <w:rPr>
          <w:rFonts w:ascii="Arial" w:hAnsi="Arial"/>
          <w:sz w:val="26"/>
          <w:lang w:eastAsia="en-US"/>
        </w:rPr>
      </w:pPr>
      <w:r>
        <w:rPr>
          <w:lang w:eastAsia="en-US"/>
        </w:rPr>
        <w:t xml:space="preserve">Filbee-Dexter K, Pessarrodona A, Pedersen MF, Wernberg T, Duarte CM, Assis J, Bekkby T, Burrows MT, Carlson DF, Gattuso J-P (2024) Carbon export from seaweed forests to deep ocean sinks. </w:t>
      </w:r>
      <w:r>
        <w:rPr>
          <w:i/>
          <w:lang w:eastAsia="en-US"/>
        </w:rPr>
        <w:t>Nature Geoscience</w:t>
      </w:r>
      <w:r>
        <w:rPr>
          <w:lang w:eastAsia="en-US"/>
        </w:rPr>
        <w:t xml:space="preserve"> 17, 552–559. https://doi.org/10.1038/s41561-024-01449-7.</w:t>
      </w:r>
    </w:p>
    <w:p w14:paraId="2049D433" w14:textId="77777777" w:rsidR="004B30BC" w:rsidRDefault="004B30BC" w:rsidP="004B30BC">
      <w:pPr>
        <w:tabs>
          <w:tab w:val="left" w:pos="560"/>
        </w:tabs>
        <w:ind w:left="540" w:hanging="540"/>
        <w:rPr>
          <w:rFonts w:ascii="Arial" w:hAnsi="Arial"/>
          <w:sz w:val="26"/>
          <w:lang w:eastAsia="en-US"/>
        </w:rPr>
      </w:pPr>
      <w:r>
        <w:rPr>
          <w:lang w:eastAsia="en-US"/>
        </w:rPr>
        <w:t xml:space="preserve">Franco JN, Sainz Meyer H, Babe Ó, Martins M, Reis B, Sanchez-Gallego Á, Lemos MFL, Dolbeth M, Sousa-Pinto I, Arenas F (2025) Potential blue carbon in the fringe of southern European kelp forests. </w:t>
      </w:r>
      <w:r>
        <w:rPr>
          <w:i/>
          <w:lang w:eastAsia="en-US"/>
        </w:rPr>
        <w:t>Scientific Reports</w:t>
      </w:r>
      <w:r>
        <w:rPr>
          <w:lang w:eastAsia="en-US"/>
        </w:rPr>
        <w:t xml:space="preserve"> 15, 29573. https://doi.org/10.1038/s41598-025-09361-9.</w:t>
      </w:r>
    </w:p>
    <w:p w14:paraId="4B5E7CBF" w14:textId="77777777" w:rsidR="004B30BC" w:rsidRDefault="004B30BC" w:rsidP="004B30BC">
      <w:pPr>
        <w:tabs>
          <w:tab w:val="left" w:pos="560"/>
        </w:tabs>
        <w:ind w:left="540" w:hanging="540"/>
        <w:rPr>
          <w:rFonts w:ascii="Arial" w:hAnsi="Arial"/>
          <w:sz w:val="26"/>
          <w:lang w:eastAsia="en-US"/>
        </w:rPr>
      </w:pPr>
      <w:r>
        <w:rPr>
          <w:lang w:eastAsia="en-US"/>
        </w:rPr>
        <w:t>Frigstad H, Gundersen H, Andersen GS, Borgersen G, Kvile KØ, Krause-Jensen D, Boström C, Bekkby T, Anglès d’Auriac M, Ruus A (2021) Blue Carbon–climate adaptation, CO2 uptake and sequestration of carbon in Nordic blue forests: Results from the Nordic Blue Carbon Project​. https://www.diva-portal.org/smash/record.jsf?pid=diva2:1525372.</w:t>
      </w:r>
    </w:p>
    <w:p w14:paraId="02E48B86" w14:textId="77777777" w:rsidR="004B30BC" w:rsidRDefault="004B30BC" w:rsidP="004B30BC">
      <w:pPr>
        <w:tabs>
          <w:tab w:val="left" w:pos="560"/>
        </w:tabs>
        <w:ind w:left="540" w:hanging="540"/>
        <w:rPr>
          <w:rFonts w:ascii="Arial" w:hAnsi="Arial"/>
          <w:sz w:val="26"/>
          <w:lang w:eastAsia="en-US"/>
        </w:rPr>
      </w:pPr>
      <w:r>
        <w:rPr>
          <w:lang w:eastAsia="en-US"/>
        </w:rPr>
        <w:t xml:space="preserve">Frontier N, de Bettignies F, Foggo A, Davoult D (2021) Sustained productivity and respiration of degrading kelp detritus in the shallow benthos: detached or broken, but not dead. </w:t>
      </w:r>
      <w:r>
        <w:rPr>
          <w:i/>
          <w:lang w:eastAsia="en-US"/>
        </w:rPr>
        <w:t>Marine Environmental Research</w:t>
      </w:r>
      <w:r>
        <w:rPr>
          <w:lang w:eastAsia="en-US"/>
        </w:rPr>
        <w:t xml:space="preserve"> 166, 105277. https://doi.org/10.1016/j.marenvres.2021.105277.</w:t>
      </w:r>
    </w:p>
    <w:p w14:paraId="14C948E2" w14:textId="77777777" w:rsidR="004B30BC" w:rsidRDefault="004B30BC" w:rsidP="004B30BC">
      <w:pPr>
        <w:tabs>
          <w:tab w:val="left" w:pos="560"/>
        </w:tabs>
        <w:ind w:left="540" w:hanging="540"/>
        <w:rPr>
          <w:rFonts w:ascii="Arial" w:hAnsi="Arial"/>
          <w:sz w:val="26"/>
          <w:lang w:eastAsia="en-US"/>
        </w:rPr>
      </w:pPr>
      <w:r>
        <w:rPr>
          <w:lang w:eastAsia="en-US"/>
        </w:rPr>
        <w:t xml:space="preserve">Frontier N, Mulas M, Foggo A, Smale DA (2022) The influence of light and temperature on detritus degradation rates for kelp species with contrasting thermal affinities. </w:t>
      </w:r>
      <w:r>
        <w:rPr>
          <w:i/>
          <w:lang w:eastAsia="en-US"/>
        </w:rPr>
        <w:t>Marine Environmental Research</w:t>
      </w:r>
      <w:r>
        <w:rPr>
          <w:lang w:eastAsia="en-US"/>
        </w:rPr>
        <w:t xml:space="preserve"> 173, 105529. https://doi.org/10.1016/j.marenvres.2021.105529.</w:t>
      </w:r>
    </w:p>
    <w:p w14:paraId="08FDB83C" w14:textId="77777777" w:rsidR="004B30BC" w:rsidRDefault="004B30BC" w:rsidP="004B30BC">
      <w:pPr>
        <w:tabs>
          <w:tab w:val="left" w:pos="560"/>
        </w:tabs>
        <w:ind w:left="540" w:hanging="540"/>
        <w:rPr>
          <w:rFonts w:ascii="Arial" w:hAnsi="Arial"/>
          <w:sz w:val="26"/>
          <w:lang w:eastAsia="en-US"/>
        </w:rPr>
      </w:pPr>
      <w:r>
        <w:rPr>
          <w:lang w:eastAsia="en-US"/>
        </w:rPr>
        <w:t xml:space="preserve">Fry B (2006) Stable isotope ecology. Springer. </w:t>
      </w:r>
    </w:p>
    <w:p w14:paraId="08918DC6" w14:textId="77777777" w:rsidR="004B30BC" w:rsidRDefault="004B30BC" w:rsidP="004B30BC">
      <w:pPr>
        <w:tabs>
          <w:tab w:val="left" w:pos="560"/>
        </w:tabs>
        <w:ind w:left="540" w:hanging="540"/>
        <w:rPr>
          <w:rFonts w:ascii="Arial" w:hAnsi="Arial"/>
          <w:sz w:val="26"/>
          <w:lang w:eastAsia="en-US"/>
        </w:rPr>
      </w:pPr>
      <w:r>
        <w:rPr>
          <w:lang w:eastAsia="en-US"/>
        </w:rPr>
        <w:t>Gabry J, Češnovar R, Johnson A, Bronder S (2025) cmdstanr: R Interface to ‘CmdStan’. https://mc-stan.org/cmdstanr.</w:t>
      </w:r>
    </w:p>
    <w:p w14:paraId="52F88C57" w14:textId="77777777" w:rsidR="004B30BC" w:rsidRDefault="004B30BC" w:rsidP="004B30BC">
      <w:pPr>
        <w:tabs>
          <w:tab w:val="left" w:pos="560"/>
        </w:tabs>
        <w:ind w:left="540" w:hanging="540"/>
        <w:rPr>
          <w:rFonts w:ascii="Arial" w:hAnsi="Arial"/>
          <w:sz w:val="26"/>
          <w:lang w:eastAsia="en-US"/>
        </w:rPr>
      </w:pPr>
      <w:r>
        <w:rPr>
          <w:lang w:eastAsia="en-US"/>
        </w:rPr>
        <w:t xml:space="preserve">Gabry J, Simpson D, Vehtari A, Betancourt M, Gelman A (2019) Visualization in Bayesian workflow. </w:t>
      </w:r>
      <w:r>
        <w:rPr>
          <w:i/>
          <w:lang w:eastAsia="en-US"/>
        </w:rPr>
        <w:t>Journal of the Royal Statistical Society Series A: Statistics in Society</w:t>
      </w:r>
      <w:r>
        <w:rPr>
          <w:lang w:eastAsia="en-US"/>
        </w:rPr>
        <w:t xml:space="preserve"> 182, 389–402. https://doi.org/10.1111/rssa.12378.</w:t>
      </w:r>
    </w:p>
    <w:p w14:paraId="242CD447" w14:textId="77777777" w:rsidR="004B30BC" w:rsidRDefault="004B30BC" w:rsidP="004B30BC">
      <w:pPr>
        <w:tabs>
          <w:tab w:val="left" w:pos="560"/>
        </w:tabs>
        <w:ind w:left="540" w:hanging="540"/>
        <w:rPr>
          <w:rFonts w:ascii="Arial" w:hAnsi="Arial"/>
          <w:sz w:val="26"/>
          <w:lang w:eastAsia="en-US"/>
        </w:rPr>
      </w:pPr>
      <w:r>
        <w:rPr>
          <w:lang w:eastAsia="en-US"/>
        </w:rPr>
        <w:t xml:space="preserve">Gan Y, Zhang XT, Zhu MX, Li T, Cao XY (2025) Experimental degradation of Ulva prolifera in sand sediments: Implications for dissolved carbon and alkalinity export from green-tide macroalgae buried in sandy intertidal zones. </w:t>
      </w:r>
      <w:r>
        <w:rPr>
          <w:i/>
          <w:lang w:eastAsia="en-US"/>
        </w:rPr>
        <w:t>Mar Environ Res</w:t>
      </w:r>
      <w:r>
        <w:rPr>
          <w:lang w:eastAsia="en-US"/>
        </w:rPr>
        <w:t xml:space="preserve"> 209, 107216. https://pubmed.ncbi.nlm.nih.gov/40378606.</w:t>
      </w:r>
    </w:p>
    <w:p w14:paraId="66D86622" w14:textId="77777777" w:rsidR="004B30BC" w:rsidRDefault="004B30BC" w:rsidP="004B30BC">
      <w:pPr>
        <w:tabs>
          <w:tab w:val="left" w:pos="560"/>
        </w:tabs>
        <w:ind w:left="540" w:hanging="540"/>
        <w:rPr>
          <w:rFonts w:ascii="Arial" w:hAnsi="Arial"/>
          <w:sz w:val="26"/>
          <w:lang w:eastAsia="en-US"/>
        </w:rPr>
      </w:pPr>
      <w:r>
        <w:rPr>
          <w:lang w:eastAsia="en-US"/>
        </w:rPr>
        <w:t xml:space="preserve">García-Robledo E, Corzo A, de Lomas JG, van Bergeijk SA (2008) Biogeochemical effects of macroalgal decomposition on intertidal microbenthos: a microcosm experiment. </w:t>
      </w:r>
      <w:r>
        <w:rPr>
          <w:i/>
          <w:lang w:eastAsia="en-US"/>
        </w:rPr>
        <w:t>Marine Ecology Progress Series</w:t>
      </w:r>
      <w:r>
        <w:rPr>
          <w:lang w:eastAsia="en-US"/>
        </w:rPr>
        <w:t xml:space="preserve"> 356, 139–151. http://dx.doi.org/10.3354/meps07287.</w:t>
      </w:r>
    </w:p>
    <w:p w14:paraId="16D304FD" w14:textId="77777777" w:rsidR="004B30BC" w:rsidRDefault="004B30BC" w:rsidP="004B30BC">
      <w:pPr>
        <w:tabs>
          <w:tab w:val="left" w:pos="560"/>
        </w:tabs>
        <w:ind w:left="540" w:hanging="540"/>
        <w:rPr>
          <w:rFonts w:ascii="Arial" w:hAnsi="Arial"/>
          <w:sz w:val="26"/>
          <w:lang w:eastAsia="en-US"/>
        </w:rPr>
      </w:pPr>
      <w:r>
        <w:rPr>
          <w:lang w:eastAsia="en-US"/>
        </w:rPr>
        <w:t xml:space="preserve">Gattuso J-P, Lavigne H (2009) Approaches and software tools to investigate the impact of ocean acidification. </w:t>
      </w:r>
      <w:r>
        <w:rPr>
          <w:i/>
          <w:lang w:eastAsia="en-US"/>
        </w:rPr>
        <w:t>Biogeosciences</w:t>
      </w:r>
      <w:r>
        <w:rPr>
          <w:lang w:eastAsia="en-US"/>
        </w:rPr>
        <w:t xml:space="preserve"> 6, 2121–2133. https://bg.copernicus.org/articles/6/2121/2009.</w:t>
      </w:r>
    </w:p>
    <w:p w14:paraId="38732132" w14:textId="77777777" w:rsidR="004B30BC" w:rsidRDefault="004B30BC" w:rsidP="004B30BC">
      <w:pPr>
        <w:tabs>
          <w:tab w:val="left" w:pos="560"/>
        </w:tabs>
        <w:ind w:left="540" w:hanging="540"/>
        <w:rPr>
          <w:rFonts w:ascii="Arial" w:hAnsi="Arial"/>
          <w:sz w:val="26"/>
          <w:lang w:eastAsia="en-US"/>
        </w:rPr>
      </w:pPr>
      <w:r>
        <w:rPr>
          <w:lang w:eastAsia="en-US"/>
        </w:rPr>
        <w:t xml:space="preserve">Geraldi NR, Ortega A, Serrano O, Macreadie PI, Lovelock CE, Krause-Jensen D, Kennedy H, Lavery PS, Pace ML, Kaal J et al. (2019) Fingerprinting blue carbon: rationale and tools to determine the source of organic carbon in marine depositional environments. </w:t>
      </w:r>
      <w:r>
        <w:rPr>
          <w:i/>
          <w:lang w:eastAsia="en-US"/>
        </w:rPr>
        <w:t>Front Mar Sci</w:t>
      </w:r>
      <w:r>
        <w:rPr>
          <w:lang w:eastAsia="en-US"/>
        </w:rPr>
        <w:t xml:space="preserve"> 6, 263. 10.3389/fmars.2019.00263.</w:t>
      </w:r>
    </w:p>
    <w:p w14:paraId="33CD595A" w14:textId="77777777" w:rsidR="004B30BC" w:rsidRDefault="004B30BC" w:rsidP="004B30BC">
      <w:pPr>
        <w:tabs>
          <w:tab w:val="left" w:pos="560"/>
        </w:tabs>
        <w:ind w:left="540" w:hanging="540"/>
        <w:rPr>
          <w:rFonts w:ascii="Arial" w:hAnsi="Arial"/>
          <w:sz w:val="26"/>
          <w:lang w:eastAsia="en-US"/>
        </w:rPr>
      </w:pPr>
      <w:r>
        <w:rPr>
          <w:lang w:eastAsia="en-US"/>
        </w:rPr>
        <w:t>Gohel D, Moog S, Heckmann M (2025) officer: manipulation of Microsoft Word and PowerPoint documents. https://ardata-fr.github.io/officeverse.</w:t>
      </w:r>
    </w:p>
    <w:p w14:paraId="67E99188" w14:textId="77777777" w:rsidR="004B30BC" w:rsidRDefault="004B30BC" w:rsidP="004B30BC">
      <w:pPr>
        <w:tabs>
          <w:tab w:val="left" w:pos="560"/>
        </w:tabs>
        <w:ind w:left="540" w:hanging="540"/>
        <w:rPr>
          <w:rFonts w:ascii="Arial" w:hAnsi="Arial"/>
          <w:sz w:val="26"/>
          <w:lang w:eastAsia="en-US"/>
        </w:rPr>
      </w:pPr>
      <w:r>
        <w:rPr>
          <w:lang w:eastAsia="en-US"/>
        </w:rPr>
        <w:t xml:space="preserve">Greiner JT, Wilkinson GM, McGlathery KJ, Emery KA (2016) Sources of sediment carbon sequestered in restored seagrass meadows. </w:t>
      </w:r>
      <w:r>
        <w:rPr>
          <w:i/>
          <w:lang w:eastAsia="en-US"/>
        </w:rPr>
        <w:t>Marine Ecology Progress Series</w:t>
      </w:r>
      <w:r>
        <w:rPr>
          <w:lang w:eastAsia="en-US"/>
        </w:rPr>
        <w:t xml:space="preserve"> 551, 95–105. https://doi.org/10.3354/meps11722.</w:t>
      </w:r>
    </w:p>
    <w:p w14:paraId="06810552" w14:textId="77777777" w:rsidR="004B30BC" w:rsidRDefault="004B30BC" w:rsidP="004B30BC">
      <w:pPr>
        <w:tabs>
          <w:tab w:val="left" w:pos="560"/>
        </w:tabs>
        <w:ind w:left="540" w:hanging="540"/>
        <w:rPr>
          <w:rFonts w:ascii="Arial" w:hAnsi="Arial"/>
          <w:sz w:val="26"/>
          <w:lang w:eastAsia="en-US"/>
        </w:rPr>
      </w:pPr>
      <w:r>
        <w:rPr>
          <w:lang w:eastAsia="en-US"/>
        </w:rPr>
        <w:t xml:space="preserve">Hansen K, Kristensen E (1998) The impact of the polychaete Nereis diversicolor and enrichment with macroalgal (Chaetomorpha linum) detritus on benthic metabolism and nutrient dynamics in organic-poor and organic-rich sediment. </w:t>
      </w:r>
      <w:r>
        <w:rPr>
          <w:i/>
          <w:lang w:eastAsia="en-US"/>
        </w:rPr>
        <w:t xml:space="preserve">Journal of Experimental </w:t>
      </w:r>
      <w:r>
        <w:rPr>
          <w:i/>
          <w:lang w:eastAsia="en-US"/>
        </w:rPr>
        <w:lastRenderedPageBreak/>
        <w:t>Marine Biology and Ecology</w:t>
      </w:r>
      <w:r>
        <w:rPr>
          <w:lang w:eastAsia="en-US"/>
        </w:rPr>
        <w:t xml:space="preserve"> 231, 201–223. https://www.sciencedirect.com/science/article/pii/S0022098198000707.</w:t>
      </w:r>
    </w:p>
    <w:p w14:paraId="1EB5D862" w14:textId="77777777" w:rsidR="004B30BC" w:rsidRDefault="004B30BC" w:rsidP="004B30BC">
      <w:pPr>
        <w:tabs>
          <w:tab w:val="left" w:pos="560"/>
        </w:tabs>
        <w:ind w:left="540" w:hanging="540"/>
        <w:rPr>
          <w:rFonts w:ascii="Arial" w:hAnsi="Arial"/>
          <w:sz w:val="26"/>
          <w:lang w:eastAsia="en-US"/>
        </w:rPr>
      </w:pPr>
      <w:r>
        <w:rPr>
          <w:lang w:eastAsia="en-US"/>
        </w:rPr>
        <w:t xml:space="preserve">Hanson RB, Tenore KR (1981) Microbial metabolism and incorporation by the polychaete Capitella capitata of aerobically and anaerobically decomposed detritus. </w:t>
      </w:r>
      <w:r>
        <w:rPr>
          <w:i/>
          <w:lang w:eastAsia="en-US"/>
        </w:rPr>
        <w:t>Marine Ecology Progress Series</w:t>
      </w:r>
      <w:r>
        <w:rPr>
          <w:lang w:eastAsia="en-US"/>
        </w:rPr>
        <w:t xml:space="preserve"> 6, 299–307. http://gateway.webofknowledge.com/gateway/Gateway.cgi?GWVersion=2&amp;SrcApp=GSSearch&amp;SrcAuth=Scholar&amp;DestApp=WOS_CPL&amp;DestLinkType=CitingArticles&amp;UT=A1981MT31700010&amp;SrcURL=https://scholar.google.com/&amp;SrcDesc=Back+to+Google+Scholar&amp;GSPage=TC.</w:t>
      </w:r>
    </w:p>
    <w:p w14:paraId="413AE6EB" w14:textId="77777777" w:rsidR="004B30BC" w:rsidRDefault="004B30BC" w:rsidP="004B30BC">
      <w:pPr>
        <w:tabs>
          <w:tab w:val="left" w:pos="560"/>
        </w:tabs>
        <w:ind w:left="540" w:hanging="540"/>
        <w:rPr>
          <w:rFonts w:ascii="Arial" w:hAnsi="Arial"/>
          <w:sz w:val="26"/>
          <w:lang w:eastAsia="en-US"/>
        </w:rPr>
      </w:pPr>
      <w:r>
        <w:rPr>
          <w:lang w:eastAsia="en-US"/>
        </w:rPr>
        <w:t xml:space="preserve">Hardison AK, Canuel EA, Anderson IC, Veuger B (2010) Fate of macroalgae in benthic systems: carbon and nitrogen cycling within the microbial community. </w:t>
      </w:r>
      <w:r>
        <w:rPr>
          <w:i/>
          <w:lang w:eastAsia="en-US"/>
        </w:rPr>
        <w:t>Mar Ecol Prog Ser</w:t>
      </w:r>
      <w:r>
        <w:rPr>
          <w:lang w:eastAsia="en-US"/>
        </w:rPr>
        <w:t xml:space="preserve"> 414, 41–55. 10.3354/meps08720.</w:t>
      </w:r>
    </w:p>
    <w:p w14:paraId="0BB98B82" w14:textId="77777777" w:rsidR="004B30BC" w:rsidRDefault="004B30BC" w:rsidP="004B30BC">
      <w:pPr>
        <w:tabs>
          <w:tab w:val="left" w:pos="560"/>
        </w:tabs>
        <w:ind w:left="540" w:hanging="540"/>
        <w:rPr>
          <w:rFonts w:ascii="Arial" w:hAnsi="Arial"/>
          <w:sz w:val="26"/>
          <w:lang w:eastAsia="en-US"/>
        </w:rPr>
      </w:pPr>
      <w:r>
        <w:rPr>
          <w:lang w:eastAsia="en-US"/>
        </w:rPr>
        <w:t xml:space="preserve">Hardison AK, Anderson IC, Canuel EA, Tobias CR, Veuger B (2011) Carbon and nitrogen dynamics in shallow photic systems: Interactions between macroalgae, microalgae, and bacteria. </w:t>
      </w:r>
      <w:r>
        <w:rPr>
          <w:i/>
          <w:lang w:eastAsia="en-US"/>
        </w:rPr>
        <w:t>Limnology and Oceanography</w:t>
      </w:r>
      <w:r>
        <w:rPr>
          <w:lang w:eastAsia="en-US"/>
        </w:rPr>
        <w:t xml:space="preserve"> 56, 1489–1503. https://aslopubs.onlinelibrary.wiley.com/doi/pdf/10.4319/lo.2011.56.4.1489.</w:t>
      </w:r>
    </w:p>
    <w:p w14:paraId="6829AE4D" w14:textId="77777777" w:rsidR="004B30BC" w:rsidRDefault="004B30BC" w:rsidP="004B30BC">
      <w:pPr>
        <w:tabs>
          <w:tab w:val="left" w:pos="560"/>
        </w:tabs>
        <w:ind w:left="540" w:hanging="540"/>
        <w:rPr>
          <w:rFonts w:ascii="Arial" w:hAnsi="Arial"/>
          <w:sz w:val="26"/>
          <w:lang w:eastAsia="en-US"/>
        </w:rPr>
      </w:pPr>
      <w:r>
        <w:rPr>
          <w:lang w:eastAsia="en-US"/>
        </w:rPr>
        <w:t xml:space="preserve">Hardison AK, Canuel EA, Anderson IC, Tobias CR, Veuger B, Waters MN (2013) Microphytobenthos and benthic macroalgae determine sediment organic matter composition in shallow photic sediments. </w:t>
      </w:r>
      <w:r>
        <w:rPr>
          <w:i/>
          <w:lang w:eastAsia="en-US"/>
        </w:rPr>
        <w:t>Biogeosciences</w:t>
      </w:r>
      <w:r>
        <w:rPr>
          <w:lang w:eastAsia="en-US"/>
        </w:rPr>
        <w:t xml:space="preserve"> 10, 5571–5588. https://bg.copernicus.org/articles/10/5571/2013.</w:t>
      </w:r>
    </w:p>
    <w:p w14:paraId="2210A308" w14:textId="77777777" w:rsidR="004B30BC" w:rsidRDefault="004B30BC" w:rsidP="004B30BC">
      <w:pPr>
        <w:tabs>
          <w:tab w:val="left" w:pos="560"/>
        </w:tabs>
        <w:ind w:left="540" w:hanging="540"/>
        <w:rPr>
          <w:rFonts w:ascii="Arial" w:hAnsi="Arial"/>
          <w:sz w:val="26"/>
          <w:lang w:eastAsia="en-US"/>
        </w:rPr>
      </w:pPr>
      <w:r>
        <w:rPr>
          <w:lang w:eastAsia="en-US"/>
        </w:rPr>
        <w:t xml:space="preserve">Hill R, Bellgrove A, Macreadie PI, Petrou K, Beardall J, Steven A, Ralph PJ (2015) Can macroalgae contribute to blue carbon? An Australian perspective. </w:t>
      </w:r>
      <w:r>
        <w:rPr>
          <w:i/>
          <w:lang w:eastAsia="en-US"/>
        </w:rPr>
        <w:t>Limnol Oceanogr</w:t>
      </w:r>
      <w:r>
        <w:rPr>
          <w:lang w:eastAsia="en-US"/>
        </w:rPr>
        <w:t xml:space="preserve"> 60, 1689–1706. http://dx.doi.org/10.1002/lno.10128.</w:t>
      </w:r>
    </w:p>
    <w:p w14:paraId="734B2253" w14:textId="77777777" w:rsidR="004B30BC" w:rsidRDefault="004B30BC" w:rsidP="004B30BC">
      <w:pPr>
        <w:tabs>
          <w:tab w:val="left" w:pos="560"/>
        </w:tabs>
        <w:ind w:left="540" w:hanging="540"/>
        <w:rPr>
          <w:rFonts w:ascii="Arial" w:hAnsi="Arial"/>
          <w:sz w:val="26"/>
          <w:lang w:eastAsia="en-US"/>
        </w:rPr>
      </w:pPr>
      <w:r>
        <w:rPr>
          <w:lang w:eastAsia="en-US"/>
        </w:rPr>
        <w:t xml:space="preserve">Hoppe H-G (1983) Significance of exoenzymatic activities in the ecology of brackish water: measurements by means of methylumbelliferyl-substrates. </w:t>
      </w:r>
      <w:r>
        <w:rPr>
          <w:i/>
          <w:lang w:eastAsia="en-US"/>
        </w:rPr>
        <w:t>Mar Ecol Prog Ser</w:t>
      </w:r>
      <w:r>
        <w:rPr>
          <w:lang w:eastAsia="en-US"/>
        </w:rPr>
        <w:t xml:space="preserve"> 11, 299–308. https://www.jstor.org/stable/44634717.</w:t>
      </w:r>
    </w:p>
    <w:p w14:paraId="2470C1BD" w14:textId="77777777" w:rsidR="004B30BC" w:rsidRDefault="004B30BC" w:rsidP="004B30BC">
      <w:pPr>
        <w:tabs>
          <w:tab w:val="left" w:pos="560"/>
        </w:tabs>
        <w:ind w:left="540" w:hanging="540"/>
        <w:rPr>
          <w:rFonts w:ascii="Arial" w:hAnsi="Arial"/>
          <w:sz w:val="26"/>
          <w:lang w:eastAsia="en-US"/>
        </w:rPr>
      </w:pPr>
      <w:r>
        <w:rPr>
          <w:lang w:eastAsia="en-US"/>
        </w:rPr>
        <w:t xml:space="preserve">Hurd CL, Law CS, Bach LT, Britton D, Hovenden M, Paine ER, Raven JA, Tamsitt V, Boyd PW (2022) Forensic carbon accounting: assessing the role of seaweeds for carbon sequestration. </w:t>
      </w:r>
      <w:r>
        <w:rPr>
          <w:i/>
          <w:lang w:eastAsia="en-US"/>
        </w:rPr>
        <w:t>Journal of Phycology</w:t>
      </w:r>
      <w:r>
        <w:rPr>
          <w:lang w:eastAsia="en-US"/>
        </w:rPr>
        <w:t xml:space="preserve"> https://onlinelibrary.wiley.com/doi/pdf/10.1111/jpy.13249?casa_token=-kpFcKb-Xj0AAAAA:RgsIbr-qCdoEBPNQuHG3voQlDi_Kf3T1DU42qqZnPjfW4RuLoCJErDS4u8C63FGU-6r0qg6OL1_I4wKsIw.</w:t>
      </w:r>
    </w:p>
    <w:p w14:paraId="14C5459B" w14:textId="77777777" w:rsidR="004B30BC" w:rsidRDefault="004B30BC" w:rsidP="004B30BC">
      <w:pPr>
        <w:tabs>
          <w:tab w:val="left" w:pos="560"/>
        </w:tabs>
        <w:ind w:left="540" w:hanging="540"/>
        <w:rPr>
          <w:rFonts w:ascii="Arial" w:hAnsi="Arial"/>
          <w:sz w:val="26"/>
          <w:lang w:eastAsia="en-US"/>
        </w:rPr>
      </w:pPr>
      <w:r>
        <w:rPr>
          <w:lang w:eastAsia="en-US"/>
        </w:rPr>
        <w:t xml:space="preserve">Johannessen SC, Macdonald RW (2016) Geoengineering with seagrasses: is credit due where credit is given? </w:t>
      </w:r>
      <w:r>
        <w:rPr>
          <w:i/>
          <w:lang w:eastAsia="en-US"/>
        </w:rPr>
        <w:t>Environ Res Lett</w:t>
      </w:r>
      <w:r>
        <w:rPr>
          <w:lang w:eastAsia="en-US"/>
        </w:rPr>
        <w:t xml:space="preserve"> 11, 113001. 10.1088/1748-9326/11/11/113001.</w:t>
      </w:r>
    </w:p>
    <w:p w14:paraId="6F0C0BE5" w14:textId="77777777" w:rsidR="004B30BC" w:rsidRDefault="004B30BC" w:rsidP="004B30BC">
      <w:pPr>
        <w:tabs>
          <w:tab w:val="left" w:pos="560"/>
        </w:tabs>
        <w:ind w:left="540" w:hanging="540"/>
        <w:rPr>
          <w:rFonts w:ascii="Arial" w:hAnsi="Arial"/>
          <w:sz w:val="26"/>
          <w:lang w:eastAsia="en-US"/>
        </w:rPr>
      </w:pPr>
      <w:r>
        <w:rPr>
          <w:lang w:eastAsia="en-US"/>
        </w:rPr>
        <w:t xml:space="preserve">Johannessen SC (2022) How can blue carbon burial in seagrass meadows increase long-term, net sequestration of carbon? A critical review. </w:t>
      </w:r>
      <w:r>
        <w:rPr>
          <w:i/>
          <w:lang w:eastAsia="en-US"/>
        </w:rPr>
        <w:t>Environmen Res Lett</w:t>
      </w:r>
      <w:r>
        <w:rPr>
          <w:lang w:eastAsia="en-US"/>
        </w:rPr>
        <w:t xml:space="preserve"> 17, 093004. 10.1088/1748-9326/ac8ab4.</w:t>
      </w:r>
    </w:p>
    <w:p w14:paraId="3C31400F" w14:textId="77777777" w:rsidR="004B30BC" w:rsidRDefault="004B30BC" w:rsidP="004B30BC">
      <w:pPr>
        <w:tabs>
          <w:tab w:val="left" w:pos="560"/>
        </w:tabs>
        <w:ind w:left="540" w:hanging="540"/>
        <w:rPr>
          <w:rFonts w:ascii="Arial" w:hAnsi="Arial"/>
          <w:sz w:val="26"/>
          <w:lang w:eastAsia="en-US"/>
        </w:rPr>
      </w:pPr>
      <w:r>
        <w:rPr>
          <w:lang w:eastAsia="en-US"/>
        </w:rPr>
        <w:t>Kay M (2024) tidybayes: tidy data and geoms for Bayesian models. https://doi.org/10.5281/zenodo.13770114.</w:t>
      </w:r>
    </w:p>
    <w:p w14:paraId="487360A2" w14:textId="77777777" w:rsidR="004B30BC" w:rsidRDefault="004B30BC" w:rsidP="004B30BC">
      <w:pPr>
        <w:tabs>
          <w:tab w:val="left" w:pos="560"/>
        </w:tabs>
        <w:ind w:left="540" w:hanging="540"/>
        <w:rPr>
          <w:rFonts w:ascii="Arial" w:hAnsi="Arial"/>
          <w:sz w:val="26"/>
          <w:lang w:eastAsia="en-US"/>
        </w:rPr>
      </w:pPr>
      <w:r>
        <w:rPr>
          <w:lang w:eastAsia="en-US"/>
        </w:rPr>
        <w:t xml:space="preserve">Kennedy JR, Blain CO (2025) A systematic review of marine macroalgal degradation: toward a better understanding of macroalgal carbon sequestration potential. </w:t>
      </w:r>
      <w:r>
        <w:rPr>
          <w:i/>
          <w:lang w:eastAsia="en-US"/>
        </w:rPr>
        <w:t>Journal of Phycology</w:t>
      </w:r>
      <w:r>
        <w:rPr>
          <w:lang w:eastAsia="en-US"/>
        </w:rPr>
        <w:t xml:space="preserve"> 61, 399–432. https://doi.org/10.1111/jpy.70031.</w:t>
      </w:r>
    </w:p>
    <w:p w14:paraId="0D4EF0E2" w14:textId="77777777" w:rsidR="004B30BC" w:rsidRDefault="004B30BC" w:rsidP="004B30BC">
      <w:pPr>
        <w:tabs>
          <w:tab w:val="left" w:pos="560"/>
        </w:tabs>
        <w:ind w:left="540" w:hanging="540"/>
        <w:rPr>
          <w:rFonts w:ascii="Arial" w:hAnsi="Arial"/>
          <w:sz w:val="26"/>
          <w:lang w:eastAsia="en-US"/>
        </w:rPr>
      </w:pPr>
      <w:r>
        <w:rPr>
          <w:lang w:eastAsia="en-US"/>
        </w:rPr>
        <w:t xml:space="preserve">Krause-Jensen D, Lavery P, Serrano O, Marbà N, Masque P, Duarte CM (2018) Sequestration of macroalgal carbon: the elephant in the blue carbon room. </w:t>
      </w:r>
      <w:r>
        <w:rPr>
          <w:i/>
          <w:lang w:eastAsia="en-US"/>
        </w:rPr>
        <w:t>Biol Lett</w:t>
      </w:r>
      <w:r>
        <w:rPr>
          <w:lang w:eastAsia="en-US"/>
        </w:rPr>
        <w:t xml:space="preserve"> 14, 20180236. 10.1098/rsbl.2018.0236.</w:t>
      </w:r>
    </w:p>
    <w:p w14:paraId="287BD343" w14:textId="77777777" w:rsidR="004B30BC" w:rsidRDefault="004B30BC" w:rsidP="004B30BC">
      <w:pPr>
        <w:tabs>
          <w:tab w:val="left" w:pos="560"/>
        </w:tabs>
        <w:ind w:left="540" w:hanging="540"/>
        <w:rPr>
          <w:rFonts w:ascii="Arial" w:hAnsi="Arial"/>
          <w:sz w:val="26"/>
          <w:lang w:eastAsia="en-US"/>
        </w:rPr>
      </w:pPr>
      <w:r>
        <w:rPr>
          <w:lang w:eastAsia="en-US"/>
        </w:rPr>
        <w:t xml:space="preserve">Krause-Jensen D, Duarte CM (2016) Substantial role of macroalgae in marine carbon sequestration. </w:t>
      </w:r>
      <w:r>
        <w:rPr>
          <w:i/>
          <w:lang w:eastAsia="en-US"/>
        </w:rPr>
        <w:t>Nature Geoscience</w:t>
      </w:r>
      <w:r>
        <w:rPr>
          <w:lang w:eastAsia="en-US"/>
        </w:rPr>
        <w:t xml:space="preserve"> 9, 737–742. https://doi.org/10.1038/ngeo2790.</w:t>
      </w:r>
    </w:p>
    <w:p w14:paraId="31647DEB" w14:textId="77777777" w:rsidR="004B30BC" w:rsidRDefault="004B30BC" w:rsidP="004B30BC">
      <w:pPr>
        <w:tabs>
          <w:tab w:val="left" w:pos="560"/>
        </w:tabs>
        <w:ind w:left="540" w:hanging="540"/>
        <w:rPr>
          <w:rFonts w:ascii="Arial" w:hAnsi="Arial"/>
          <w:sz w:val="26"/>
          <w:lang w:eastAsia="en-US"/>
        </w:rPr>
      </w:pPr>
      <w:r>
        <w:rPr>
          <w:lang w:eastAsia="en-US"/>
        </w:rPr>
        <w:t xml:space="preserve">Kristensen E, Andersen FØ, Blackburn TH (1992) Effects of benthic macrofauna and temperature on degradation of macroalgal detritus: the fate of organic carbon. </w:t>
      </w:r>
      <w:r>
        <w:rPr>
          <w:i/>
          <w:lang w:eastAsia="en-US"/>
        </w:rPr>
        <w:t xml:space="preserve">Limnol </w:t>
      </w:r>
      <w:r>
        <w:rPr>
          <w:i/>
          <w:lang w:eastAsia="en-US"/>
        </w:rPr>
        <w:lastRenderedPageBreak/>
        <w:t>Oceanogr</w:t>
      </w:r>
      <w:r>
        <w:rPr>
          <w:lang w:eastAsia="en-US"/>
        </w:rPr>
        <w:t xml:space="preserve"> 37, 1404–1419. https://aslopubs.onlinelibrary.wiley.com/doi/pdfdirect/10.4319/lo.1992.37.7.1404.</w:t>
      </w:r>
    </w:p>
    <w:p w14:paraId="773F6C45" w14:textId="77777777" w:rsidR="004B30BC" w:rsidRDefault="004B30BC" w:rsidP="004B30BC">
      <w:pPr>
        <w:tabs>
          <w:tab w:val="left" w:pos="560"/>
        </w:tabs>
        <w:ind w:left="540" w:hanging="540"/>
        <w:rPr>
          <w:rFonts w:ascii="Arial" w:hAnsi="Arial"/>
          <w:sz w:val="26"/>
          <w:lang w:eastAsia="en-US"/>
        </w:rPr>
      </w:pPr>
      <w:r>
        <w:rPr>
          <w:lang w:eastAsia="en-US"/>
        </w:rPr>
        <w:t xml:space="preserve">Kristensen E (1994) Decomposition of macroalgae, vascular plants and sediment detritus in seawater: use of stepwise thermogravimetry. </w:t>
      </w:r>
      <w:r>
        <w:rPr>
          <w:i/>
          <w:lang w:eastAsia="en-US"/>
        </w:rPr>
        <w:t>Biogeochemistry</w:t>
      </w:r>
      <w:r>
        <w:rPr>
          <w:lang w:eastAsia="en-US"/>
        </w:rPr>
        <w:t xml:space="preserve"> 26, 1–24. https://link.springer.com/article/10.1007/BF02180401.</w:t>
      </w:r>
    </w:p>
    <w:p w14:paraId="57299358" w14:textId="77777777" w:rsidR="004B30BC" w:rsidRDefault="004B30BC" w:rsidP="004B30BC">
      <w:pPr>
        <w:tabs>
          <w:tab w:val="left" w:pos="560"/>
        </w:tabs>
        <w:ind w:left="540" w:hanging="540"/>
        <w:rPr>
          <w:rFonts w:ascii="Arial" w:hAnsi="Arial"/>
          <w:sz w:val="26"/>
          <w:lang w:eastAsia="en-US"/>
        </w:rPr>
      </w:pPr>
      <w:r>
        <w:rPr>
          <w:lang w:eastAsia="en-US"/>
        </w:rPr>
        <w:t xml:space="preserve">Kristensen E, Penha-Lopes G, Delefosse M, Valdemarsen T, Quintana CO, Banta GT (2012) What is bioturbation? The need for a precise definition for fauna in aquatic sciences. </w:t>
      </w:r>
      <w:r>
        <w:rPr>
          <w:i/>
          <w:lang w:eastAsia="en-US"/>
        </w:rPr>
        <w:t>Marine Ecology Progress Series</w:t>
      </w:r>
      <w:r>
        <w:rPr>
          <w:lang w:eastAsia="en-US"/>
        </w:rPr>
        <w:t xml:space="preserve"> 446, 285–302. http://dx.doi.org/10.3354/meps09506.</w:t>
      </w:r>
    </w:p>
    <w:p w14:paraId="71066F9B" w14:textId="77777777" w:rsidR="004B30BC" w:rsidRDefault="004B30BC" w:rsidP="004B30BC">
      <w:pPr>
        <w:tabs>
          <w:tab w:val="left" w:pos="560"/>
        </w:tabs>
        <w:ind w:left="540" w:hanging="540"/>
        <w:rPr>
          <w:rFonts w:ascii="Arial" w:hAnsi="Arial"/>
          <w:sz w:val="26"/>
          <w:lang w:eastAsia="en-US"/>
        </w:rPr>
      </w:pPr>
      <w:r>
        <w:rPr>
          <w:lang w:eastAsia="en-US"/>
        </w:rPr>
        <w:t xml:space="preserve">Kristensen E, Ahmed SI, Devol AH (1995) Aerobic and anaerobic decomposition of organic matter in marine sediment: which is fastest? </w:t>
      </w:r>
      <w:r>
        <w:rPr>
          <w:i/>
          <w:lang w:eastAsia="en-US"/>
        </w:rPr>
        <w:t>Limnology and oceanography</w:t>
      </w:r>
      <w:r>
        <w:rPr>
          <w:lang w:eastAsia="en-US"/>
        </w:rPr>
        <w:t xml:space="preserve"> 40, 1430–1437. https://aslopubs.onlinelibrary.wiley.com/doi/pdfdirect/10.4319/lo.1995.40.8.1430.</w:t>
      </w:r>
    </w:p>
    <w:p w14:paraId="1EF488F1" w14:textId="77777777" w:rsidR="004B30BC" w:rsidRDefault="004B30BC" w:rsidP="004B30BC">
      <w:pPr>
        <w:tabs>
          <w:tab w:val="left" w:pos="560"/>
        </w:tabs>
        <w:ind w:left="540" w:hanging="540"/>
        <w:rPr>
          <w:rFonts w:ascii="Arial" w:hAnsi="Arial"/>
          <w:sz w:val="26"/>
          <w:lang w:eastAsia="en-US"/>
        </w:rPr>
      </w:pPr>
      <w:r>
        <w:rPr>
          <w:lang w:eastAsia="en-US"/>
        </w:rPr>
        <w:t xml:space="preserve">Kristensen E, Holmer M (2001) Decomposition of plant materials in marine sediment exposed to different electron acceptors (O2, NO3−, and SO42−), with emphasis on substrate origin, degradation kinetics, and the role of bioturbation. </w:t>
      </w:r>
      <w:r>
        <w:rPr>
          <w:i/>
          <w:lang w:eastAsia="en-US"/>
        </w:rPr>
        <w:t>Geochim Cosmochim Acta</w:t>
      </w:r>
      <w:r>
        <w:rPr>
          <w:lang w:eastAsia="en-US"/>
        </w:rPr>
        <w:t xml:space="preserve"> 65, 419–433. https://www.sciencedirect.com/science/article/pii/S0016703700005329?casa_token=isHx8Y1czsMAAAAA:lHhQqYBlXTwyuzRef9Z1wo_YdzbPxGumZuGCDvn1gHMUVixQTfh3iCEHOzktG_dYmvsT3A7QrA.</w:t>
      </w:r>
    </w:p>
    <w:p w14:paraId="26365427" w14:textId="77777777" w:rsidR="004B30BC" w:rsidRDefault="004B30BC" w:rsidP="004B30BC">
      <w:pPr>
        <w:tabs>
          <w:tab w:val="left" w:pos="560"/>
        </w:tabs>
        <w:ind w:left="540" w:hanging="540"/>
        <w:rPr>
          <w:rFonts w:ascii="Arial" w:hAnsi="Arial"/>
          <w:sz w:val="26"/>
          <w:lang w:eastAsia="en-US"/>
        </w:rPr>
      </w:pPr>
      <w:r>
        <w:rPr>
          <w:lang w:eastAsia="en-US"/>
        </w:rPr>
        <w:t xml:space="preserve">Kristensen E, Mikkelsen OL (2003) Impact of the burrow-dwelling polychaete </w:t>
      </w:r>
      <w:r>
        <w:rPr>
          <w:i/>
          <w:lang w:eastAsia="en-US"/>
        </w:rPr>
        <w:t>Nereis diversicolor</w:t>
      </w:r>
      <w:r>
        <w:rPr>
          <w:lang w:eastAsia="en-US"/>
        </w:rPr>
        <w:t xml:space="preserve"> on the degradation of fresh and aged macroalgal detritus in a coastal marine sediment. </w:t>
      </w:r>
      <w:r>
        <w:rPr>
          <w:i/>
          <w:lang w:eastAsia="en-US"/>
        </w:rPr>
        <w:t>Mar Ecol Prog Ser</w:t>
      </w:r>
      <w:r>
        <w:rPr>
          <w:lang w:eastAsia="en-US"/>
        </w:rPr>
        <w:t xml:space="preserve"> 265, 141–153. https://www.int-res.com/abstracts/meps/v265/p141-153.</w:t>
      </w:r>
    </w:p>
    <w:p w14:paraId="0D472467" w14:textId="77777777" w:rsidR="004B30BC" w:rsidRDefault="004B30BC" w:rsidP="004B30BC">
      <w:pPr>
        <w:tabs>
          <w:tab w:val="left" w:pos="560"/>
        </w:tabs>
        <w:ind w:left="540" w:hanging="540"/>
        <w:rPr>
          <w:rFonts w:ascii="Arial" w:hAnsi="Arial"/>
          <w:sz w:val="26"/>
          <w:lang w:eastAsia="en-US"/>
        </w:rPr>
      </w:pPr>
      <w:r>
        <w:rPr>
          <w:lang w:eastAsia="en-US"/>
        </w:rPr>
        <w:t xml:space="preserve">Kristensen E, Flindt MR, Quintana CO (2025) Predicting climate mitigation through carbon burial in blue carbon ecosystems—challenges and pitfalls. </w:t>
      </w:r>
      <w:r>
        <w:rPr>
          <w:i/>
          <w:lang w:eastAsia="en-US"/>
        </w:rPr>
        <w:t>Global Change Biology</w:t>
      </w:r>
      <w:r>
        <w:rPr>
          <w:lang w:eastAsia="en-US"/>
        </w:rPr>
        <w:t xml:space="preserve"> 31, e70022. https://doi.org/10.1111/gcb.70022.</w:t>
      </w:r>
    </w:p>
    <w:p w14:paraId="7D4C3AC9" w14:textId="77777777" w:rsidR="004B30BC" w:rsidRDefault="004B30BC" w:rsidP="004B30BC">
      <w:pPr>
        <w:tabs>
          <w:tab w:val="left" w:pos="560"/>
        </w:tabs>
        <w:ind w:left="540" w:hanging="540"/>
        <w:rPr>
          <w:rFonts w:ascii="Arial" w:hAnsi="Arial"/>
          <w:sz w:val="26"/>
          <w:lang w:eastAsia="en-US"/>
        </w:rPr>
      </w:pPr>
      <w:r>
        <w:rPr>
          <w:lang w:eastAsia="en-US"/>
        </w:rPr>
        <w:t xml:space="preserve">Lee D, Stan buildbot, seantalts, Carpenter B, Morris M, Kucukelbir A, Betancourt M, Tran D, Brubaker M, Bales B et al. (2026) stan-dev/cmdstan. </w:t>
      </w:r>
      <w:r>
        <w:rPr>
          <w:i/>
          <w:lang w:eastAsia="en-US"/>
        </w:rPr>
        <w:t>Zenodo</w:t>
      </w:r>
      <w:r>
        <w:rPr>
          <w:lang w:eastAsia="en-US"/>
        </w:rPr>
        <w:t>. https://doi.org/10.5281/zenodo.598253.</w:t>
      </w:r>
    </w:p>
    <w:p w14:paraId="70783A23" w14:textId="77777777" w:rsidR="004B30BC" w:rsidRDefault="004B30BC" w:rsidP="004B30BC">
      <w:pPr>
        <w:tabs>
          <w:tab w:val="left" w:pos="560"/>
        </w:tabs>
        <w:ind w:left="540" w:hanging="540"/>
        <w:rPr>
          <w:rFonts w:ascii="Arial" w:hAnsi="Arial"/>
          <w:sz w:val="26"/>
          <w:lang w:eastAsia="en-US"/>
        </w:rPr>
      </w:pPr>
      <w:r>
        <w:rPr>
          <w:lang w:eastAsia="en-US"/>
        </w:rPr>
        <w:t xml:space="preserve">Li QQ, Gan Y, Gou ZH, Ren JH, Li T, Zhu MX (2025) Contrasting benthic exports of dissolved carbon and alkalinity from degradation of bloom-forming macroalgae (Ulva prolifera) in muddy versus sandy sediments of coastal sea: Insights from experimental incubations. </w:t>
      </w:r>
      <w:r>
        <w:rPr>
          <w:i/>
          <w:lang w:eastAsia="en-US"/>
        </w:rPr>
        <w:t>Mar Environ Res</w:t>
      </w:r>
      <w:r>
        <w:rPr>
          <w:lang w:eastAsia="en-US"/>
        </w:rPr>
        <w:t xml:space="preserve"> 213, 107685. https://pubmed.ncbi.nlm.nih.gov/41242168.</w:t>
      </w:r>
    </w:p>
    <w:p w14:paraId="4F5B39FD" w14:textId="77777777" w:rsidR="004B30BC" w:rsidRDefault="004B30BC" w:rsidP="004B30BC">
      <w:pPr>
        <w:tabs>
          <w:tab w:val="left" w:pos="560"/>
        </w:tabs>
        <w:ind w:left="540" w:hanging="540"/>
        <w:rPr>
          <w:rFonts w:ascii="Arial" w:hAnsi="Arial"/>
          <w:sz w:val="26"/>
          <w:lang w:eastAsia="en-US"/>
        </w:rPr>
      </w:pPr>
      <w:r>
        <w:rPr>
          <w:lang w:eastAsia="en-US"/>
        </w:rPr>
        <w:t>McElreath R (2020) Statistical rethinking</w:t>
      </w:r>
      <w:r>
        <w:rPr>
          <w:vertAlign w:val="superscript"/>
          <w:lang w:eastAsia="en-US"/>
        </w:rPr>
        <w:t>2</w:t>
      </w:r>
      <w:r>
        <w:rPr>
          <w:lang w:eastAsia="en-US"/>
        </w:rPr>
        <w:t>: a Bayesian course with examples in R and Stan, second edition. Chapman and Hall/CRC. https://doi.org/10.1201/9780429029608.</w:t>
      </w:r>
    </w:p>
    <w:p w14:paraId="79CC80B0" w14:textId="77777777" w:rsidR="004B30BC" w:rsidRDefault="004B30BC" w:rsidP="004B30BC">
      <w:pPr>
        <w:tabs>
          <w:tab w:val="left" w:pos="560"/>
        </w:tabs>
        <w:ind w:left="540" w:hanging="540"/>
        <w:rPr>
          <w:rFonts w:ascii="Arial" w:hAnsi="Arial"/>
          <w:sz w:val="26"/>
          <w:lang w:eastAsia="en-US"/>
        </w:rPr>
      </w:pPr>
      <w:r>
        <w:rPr>
          <w:lang w:eastAsia="en-US"/>
        </w:rPr>
        <w:t xml:space="preserve">Moreda U, Mazarrasa I, Cebrian E, Kaal J, Ricart AM, Serrano E, Serrano O (2024) Role of macroalgal forests within Mediterranean shallow bays in blue carbon storage. </w:t>
      </w:r>
      <w:r>
        <w:rPr>
          <w:i/>
          <w:lang w:eastAsia="en-US"/>
        </w:rPr>
        <w:t>Science of The Total Environment</w:t>
      </w:r>
      <w:r>
        <w:rPr>
          <w:lang w:eastAsia="en-US"/>
        </w:rPr>
        <w:t xml:space="preserve"> 934, 173219. https://www.sciencedirect.com/science/article/pii/S0048969724033667.</w:t>
      </w:r>
    </w:p>
    <w:p w14:paraId="3571E1B7" w14:textId="77777777" w:rsidR="004B30BC" w:rsidRDefault="004B30BC" w:rsidP="004B30BC">
      <w:pPr>
        <w:tabs>
          <w:tab w:val="left" w:pos="560"/>
        </w:tabs>
        <w:ind w:left="540" w:hanging="540"/>
        <w:rPr>
          <w:rFonts w:ascii="Arial" w:hAnsi="Arial"/>
          <w:sz w:val="26"/>
          <w:lang w:eastAsia="en-US"/>
        </w:rPr>
      </w:pPr>
      <w:r>
        <w:rPr>
          <w:lang w:eastAsia="en-US"/>
        </w:rPr>
        <w:t>Müller K (2025) here: a simpler way to find your files. https://here.r-lib.org.</w:t>
      </w:r>
    </w:p>
    <w:p w14:paraId="6CECF408" w14:textId="77777777" w:rsidR="004B30BC" w:rsidRDefault="004B30BC" w:rsidP="004B30BC">
      <w:pPr>
        <w:tabs>
          <w:tab w:val="left" w:pos="560"/>
        </w:tabs>
        <w:ind w:left="540" w:hanging="540"/>
        <w:rPr>
          <w:rFonts w:ascii="Arial" w:hAnsi="Arial"/>
          <w:sz w:val="26"/>
          <w:lang w:eastAsia="en-US"/>
        </w:rPr>
      </w:pPr>
      <w:r>
        <w:rPr>
          <w:lang w:eastAsia="en-US"/>
        </w:rPr>
        <w:t xml:space="preserve">Olson JS (1963) Energy storage and the balance of producers and decomposers in ecological systems. </w:t>
      </w:r>
      <w:r>
        <w:rPr>
          <w:i/>
          <w:lang w:eastAsia="en-US"/>
        </w:rPr>
        <w:t>Ecology</w:t>
      </w:r>
      <w:r>
        <w:rPr>
          <w:lang w:eastAsia="en-US"/>
        </w:rPr>
        <w:t xml:space="preserve"> 44, 322–331. https://doi.org/10.2307/1932179.</w:t>
      </w:r>
    </w:p>
    <w:p w14:paraId="595ACCD8" w14:textId="77777777" w:rsidR="004B30BC" w:rsidRDefault="004B30BC" w:rsidP="004B30BC">
      <w:pPr>
        <w:tabs>
          <w:tab w:val="left" w:pos="560"/>
        </w:tabs>
        <w:ind w:left="540" w:hanging="540"/>
        <w:rPr>
          <w:rFonts w:ascii="Arial" w:hAnsi="Arial"/>
          <w:sz w:val="26"/>
          <w:lang w:eastAsia="en-US"/>
        </w:rPr>
      </w:pPr>
      <w:r>
        <w:rPr>
          <w:lang w:eastAsia="en-US"/>
        </w:rPr>
        <w:t xml:space="preserve">Ørberg SB, Duarte CM, Geraldi NR, Sejr MK, Wegeberg S, Hansen JLS, Krause-Jensen D (2023) Prevalent fingerprint of marine macroalgae in arctic surface sediments. </w:t>
      </w:r>
      <w:r>
        <w:rPr>
          <w:i/>
          <w:lang w:eastAsia="en-US"/>
        </w:rPr>
        <w:t>Sci Total Environ</w:t>
      </w:r>
      <w:r>
        <w:rPr>
          <w:lang w:eastAsia="en-US"/>
        </w:rPr>
        <w:t xml:space="preserve"> 898, 165507. https://pubmed.ncbi.nlm.nih.gov/37442464.</w:t>
      </w:r>
    </w:p>
    <w:p w14:paraId="0B715091" w14:textId="77777777" w:rsidR="004B30BC" w:rsidRDefault="004B30BC" w:rsidP="004B30BC">
      <w:pPr>
        <w:tabs>
          <w:tab w:val="left" w:pos="560"/>
        </w:tabs>
        <w:ind w:left="540" w:hanging="540"/>
        <w:rPr>
          <w:rFonts w:ascii="Arial" w:hAnsi="Arial"/>
          <w:sz w:val="26"/>
          <w:lang w:eastAsia="en-US"/>
        </w:rPr>
      </w:pPr>
      <w:r>
        <w:rPr>
          <w:lang w:eastAsia="en-US"/>
        </w:rPr>
        <w:t xml:space="preserve">Ortega A, Geraldi NR, Alam I, Kamau AA, Acinas SG, Logares R, Gasol JM, Massana R, Krause-Jensen D, Duarte CM (2019) Important contribution of macroalgae to oceanic carbon sequestration. </w:t>
      </w:r>
      <w:r>
        <w:rPr>
          <w:i/>
          <w:lang w:eastAsia="en-US"/>
        </w:rPr>
        <w:t>Nat Geosci</w:t>
      </w:r>
      <w:r>
        <w:rPr>
          <w:lang w:eastAsia="en-US"/>
        </w:rPr>
        <w:t xml:space="preserve"> 12, 748–754. 10.1038/s41561-019-0421-8.</w:t>
      </w:r>
    </w:p>
    <w:p w14:paraId="152C72D7" w14:textId="77777777" w:rsidR="004B30BC" w:rsidRDefault="004B30BC" w:rsidP="004B30BC">
      <w:pPr>
        <w:tabs>
          <w:tab w:val="left" w:pos="560"/>
        </w:tabs>
        <w:ind w:left="540" w:hanging="540"/>
        <w:rPr>
          <w:rFonts w:ascii="Arial" w:hAnsi="Arial"/>
          <w:sz w:val="26"/>
          <w:lang w:eastAsia="en-US"/>
        </w:rPr>
      </w:pPr>
      <w:r>
        <w:rPr>
          <w:lang w:eastAsia="en-US"/>
        </w:rPr>
        <w:lastRenderedPageBreak/>
        <w:t xml:space="preserve">Ortega A, Geraldi NR, Duarte CM (2020) Environmental DNA identifies marine macrophyte contributions to Blue Carbon sediments. </w:t>
      </w:r>
      <w:r>
        <w:rPr>
          <w:i/>
          <w:lang w:eastAsia="en-US"/>
        </w:rPr>
        <w:t>Limnology and Oceanography</w:t>
      </w:r>
      <w:r>
        <w:rPr>
          <w:lang w:eastAsia="en-US"/>
        </w:rPr>
        <w:t xml:space="preserve"> 65, 3139–3149. https://aslopubs.onlinelibrary.wiley.com/doi/pdfdirect/10.1002/lno.11579.</w:t>
      </w:r>
    </w:p>
    <w:p w14:paraId="653E635E" w14:textId="77777777" w:rsidR="004B30BC" w:rsidRDefault="004B30BC" w:rsidP="004B30BC">
      <w:pPr>
        <w:tabs>
          <w:tab w:val="left" w:pos="560"/>
        </w:tabs>
        <w:ind w:left="540" w:hanging="540"/>
        <w:rPr>
          <w:rFonts w:ascii="Arial" w:hAnsi="Arial"/>
          <w:sz w:val="26"/>
          <w:lang w:eastAsia="en-US"/>
        </w:rPr>
      </w:pPr>
      <w:r>
        <w:rPr>
          <w:lang w:eastAsia="en-US"/>
        </w:rPr>
        <w:t xml:space="preserve">Papaspyrou S, Thessalou-Legaki M, Kristensen E (2004) Impact of Pestarella tyrrhena on benthic metabolism in sediment microcosms enriched with seagrass and macroalgal detritus. </w:t>
      </w:r>
      <w:r>
        <w:rPr>
          <w:i/>
          <w:lang w:eastAsia="en-US"/>
        </w:rPr>
        <w:t>Marine Ecology Progress Series</w:t>
      </w:r>
      <w:r>
        <w:rPr>
          <w:lang w:eastAsia="en-US"/>
        </w:rPr>
        <w:t xml:space="preserve"> 281, 165–179. https://www.int-res.com/abstracts/meps/v281/p165-179.</w:t>
      </w:r>
    </w:p>
    <w:p w14:paraId="2576EF02" w14:textId="77777777" w:rsidR="004B30BC" w:rsidRDefault="004B30BC" w:rsidP="004B30BC">
      <w:pPr>
        <w:tabs>
          <w:tab w:val="left" w:pos="560"/>
        </w:tabs>
        <w:ind w:left="540" w:hanging="540"/>
        <w:rPr>
          <w:rFonts w:ascii="Arial" w:hAnsi="Arial"/>
          <w:sz w:val="26"/>
          <w:lang w:eastAsia="en-US"/>
        </w:rPr>
      </w:pPr>
      <w:r>
        <w:rPr>
          <w:lang w:eastAsia="en-US"/>
        </w:rPr>
        <w:t xml:space="preserve">Pascal L, Maire O, Deflandre B, Romero-Ramirez A, Grémare A (2019) Linking behaviours, sediment reworking, bioirrigation and oxygen dynamics in a soft-bottom ecosystem engineer: The mud shrimp Upogebia pusilla (Petagna 1792). </w:t>
      </w:r>
      <w:r>
        <w:rPr>
          <w:i/>
          <w:lang w:eastAsia="en-US"/>
        </w:rPr>
        <w:t>Journal of Experimental Marine Biology and Ecology</w:t>
      </w:r>
      <w:r>
        <w:rPr>
          <w:lang w:eastAsia="en-US"/>
        </w:rPr>
        <w:t xml:space="preserve"> 516, 67–78. https://www.sciencedirect.com/science/article/pii/S0022098118304477?casa_token=y64lpfJLbEQAAAAA:7HqgL1v-eY2O622-ZGoE9AtP9lSRoEU586No51lYk-l17YE_Dz_cYFtD8ImbW5TwTrFBxcz2FHY.</w:t>
      </w:r>
    </w:p>
    <w:p w14:paraId="5EBBDBBE" w14:textId="77777777" w:rsidR="004B30BC" w:rsidRDefault="004B30BC" w:rsidP="004B30BC">
      <w:pPr>
        <w:tabs>
          <w:tab w:val="left" w:pos="560"/>
        </w:tabs>
        <w:ind w:left="540" w:hanging="540"/>
        <w:rPr>
          <w:rFonts w:ascii="Arial" w:hAnsi="Arial"/>
          <w:sz w:val="26"/>
          <w:lang w:eastAsia="en-US"/>
        </w:rPr>
      </w:pPr>
      <w:r>
        <w:rPr>
          <w:lang w:eastAsia="en-US"/>
        </w:rPr>
        <w:t xml:space="preserve">Pedersen MF, Filbee-Dexter K, Norderhaug KM, Fredriksen S, Frisk NL, Fagerli CW, Wernberg T (2020) Detrital carbon production and export in high latitude kelp forests. </w:t>
      </w:r>
      <w:r>
        <w:rPr>
          <w:i/>
          <w:lang w:eastAsia="en-US"/>
        </w:rPr>
        <w:t>Oecologia</w:t>
      </w:r>
      <w:r>
        <w:rPr>
          <w:lang w:eastAsia="en-US"/>
        </w:rPr>
        <w:t xml:space="preserve"> 192, 227–239. 10.1007/s00442-019-04573-z.</w:t>
      </w:r>
    </w:p>
    <w:p w14:paraId="67E9F4D1" w14:textId="77777777" w:rsidR="004B30BC" w:rsidRDefault="004B30BC" w:rsidP="004B30BC">
      <w:pPr>
        <w:tabs>
          <w:tab w:val="left" w:pos="560"/>
        </w:tabs>
        <w:ind w:left="540" w:hanging="540"/>
        <w:rPr>
          <w:rFonts w:ascii="Arial" w:hAnsi="Arial"/>
          <w:sz w:val="26"/>
          <w:lang w:eastAsia="en-US"/>
        </w:rPr>
      </w:pPr>
      <w:r>
        <w:rPr>
          <w:lang w:eastAsia="en-US"/>
        </w:rPr>
        <w:t xml:space="preserve">Pedersen MF, Filbee-Dexter K, Frisk NL, Sárossy Z, Wernberg T (2021) Carbon sequestration potential increased by incomplete anaerobic decomposition of kelp detritus. </w:t>
      </w:r>
      <w:r>
        <w:rPr>
          <w:i/>
          <w:lang w:eastAsia="en-US"/>
        </w:rPr>
        <w:t>Marine Ecology Progress Series</w:t>
      </w:r>
      <w:r>
        <w:rPr>
          <w:lang w:eastAsia="en-US"/>
        </w:rPr>
        <w:t xml:space="preserve"> 660, 53–67. https://doi.org/10.3354/meps13613.</w:t>
      </w:r>
    </w:p>
    <w:p w14:paraId="1561EC3E" w14:textId="77777777" w:rsidR="004B30BC" w:rsidRDefault="004B30BC" w:rsidP="004B30BC">
      <w:pPr>
        <w:tabs>
          <w:tab w:val="left" w:pos="560"/>
        </w:tabs>
        <w:ind w:left="540" w:hanging="540"/>
        <w:rPr>
          <w:rFonts w:ascii="Arial" w:hAnsi="Arial"/>
          <w:sz w:val="26"/>
          <w:lang w:eastAsia="en-US"/>
        </w:rPr>
      </w:pPr>
      <w:r>
        <w:rPr>
          <w:lang w:eastAsia="en-US"/>
        </w:rPr>
        <w:t xml:space="preserve">Pedersen MF, Johnsen KL (2017) Nutrient (N and P) dynamics of the invasive macroalga Gracilaria vermiculophylla: nutrient uptake kinetics and nutrient release through decomposition. </w:t>
      </w:r>
      <w:r>
        <w:rPr>
          <w:i/>
          <w:lang w:eastAsia="en-US"/>
        </w:rPr>
        <w:t>Marine Biology</w:t>
      </w:r>
      <w:r>
        <w:rPr>
          <w:lang w:eastAsia="en-US"/>
        </w:rPr>
        <w:t xml:space="preserve"> 164, 1–12. https://link.springer.com/article/10.1007/s00227-017-3197-7.</w:t>
      </w:r>
    </w:p>
    <w:p w14:paraId="68B0B2BB" w14:textId="77777777" w:rsidR="004B30BC" w:rsidRDefault="004B30BC" w:rsidP="004B30BC">
      <w:pPr>
        <w:tabs>
          <w:tab w:val="left" w:pos="560"/>
        </w:tabs>
        <w:ind w:left="540" w:hanging="540"/>
        <w:rPr>
          <w:rFonts w:ascii="Arial" w:hAnsi="Arial"/>
          <w:sz w:val="26"/>
          <w:lang w:eastAsia="en-US"/>
        </w:rPr>
      </w:pPr>
      <w:r>
        <w:rPr>
          <w:lang w:eastAsia="en-US"/>
        </w:rPr>
        <w:t>Pedersen TL (2025) patchwork: the composer of plots. https://patchwork.data-imaginist.com.</w:t>
      </w:r>
    </w:p>
    <w:p w14:paraId="5DC59037" w14:textId="77777777" w:rsidR="004B30BC" w:rsidRDefault="004B30BC" w:rsidP="004B30BC">
      <w:pPr>
        <w:tabs>
          <w:tab w:val="left" w:pos="560"/>
        </w:tabs>
        <w:ind w:left="540" w:hanging="540"/>
        <w:rPr>
          <w:rFonts w:ascii="Arial" w:hAnsi="Arial"/>
          <w:sz w:val="26"/>
          <w:lang w:eastAsia="en-US"/>
        </w:rPr>
      </w:pPr>
      <w:r>
        <w:rPr>
          <w:lang w:eastAsia="en-US"/>
        </w:rPr>
        <w:t xml:space="preserve">Perkins AK, Santos IR, Rose AL, Schulz KG, Grossart H-P, Eyre BD, Kelaher BP, Oakes JM (2022) Production of dissolved carbon and alkalinity during macroalgal wrack degradation on beaches: a mesocosm experiment with implications for blue carbon. </w:t>
      </w:r>
      <w:r>
        <w:rPr>
          <w:i/>
          <w:lang w:eastAsia="en-US"/>
        </w:rPr>
        <w:t>Biogeochemistry</w:t>
      </w:r>
      <w:r>
        <w:rPr>
          <w:lang w:eastAsia="en-US"/>
        </w:rPr>
        <w:t xml:space="preserve"> 160, 159–175. https://doi.org/10.1007/s10533-022-00946-4.</w:t>
      </w:r>
    </w:p>
    <w:p w14:paraId="7F3A777A" w14:textId="77777777" w:rsidR="004B30BC" w:rsidRDefault="004B30BC" w:rsidP="004B30BC">
      <w:pPr>
        <w:tabs>
          <w:tab w:val="left" w:pos="560"/>
        </w:tabs>
        <w:ind w:left="540" w:hanging="540"/>
        <w:rPr>
          <w:rFonts w:ascii="Arial" w:hAnsi="Arial"/>
          <w:sz w:val="26"/>
          <w:lang w:eastAsia="en-US"/>
        </w:rPr>
      </w:pPr>
      <w:r>
        <w:rPr>
          <w:lang w:eastAsia="en-US"/>
        </w:rPr>
        <w:t xml:space="preserve">Pessarrodona A, Franco-Santos RM, Wright LS, Vanderklift MA, Howard J, Pidgeon E, Wernberg T, Filbee-Dexter K (2023) Carbon sequestration and climate change mitigation using macroalgae: a state of knowledge review. </w:t>
      </w:r>
      <w:r>
        <w:rPr>
          <w:i/>
          <w:lang w:eastAsia="en-US"/>
        </w:rPr>
        <w:t>Biological Reviews</w:t>
      </w:r>
      <w:r>
        <w:rPr>
          <w:lang w:eastAsia="en-US"/>
        </w:rPr>
        <w:t xml:space="preserve"> 98, 1945–1971. https://doi.org/10.1111/brv.12990.</w:t>
      </w:r>
    </w:p>
    <w:p w14:paraId="010679F0" w14:textId="77777777" w:rsidR="004B30BC" w:rsidRDefault="004B30BC" w:rsidP="004B30BC">
      <w:pPr>
        <w:tabs>
          <w:tab w:val="left" w:pos="560"/>
        </w:tabs>
        <w:ind w:left="540" w:hanging="540"/>
        <w:rPr>
          <w:rFonts w:ascii="Arial" w:hAnsi="Arial"/>
          <w:sz w:val="26"/>
          <w:lang w:eastAsia="en-US"/>
        </w:rPr>
      </w:pPr>
      <w:r>
        <w:rPr>
          <w:lang w:eastAsia="en-US"/>
        </w:rPr>
        <w:t xml:space="preserve">Pessarrodona A, Moore PJ, Sayer MDJ, Smale DA (2018) Carbon assimilation and transfer through kelp forests in the NE Atlantic is diminished under a warmer ocean climate. </w:t>
      </w:r>
      <w:r>
        <w:rPr>
          <w:i/>
          <w:lang w:eastAsia="en-US"/>
        </w:rPr>
        <w:t>Glob Chang Biol</w:t>
      </w:r>
      <w:r>
        <w:rPr>
          <w:lang w:eastAsia="en-US"/>
        </w:rPr>
        <w:t xml:space="preserve"> 24, 4386–4398. 10.1111/gcb.14303.</w:t>
      </w:r>
    </w:p>
    <w:p w14:paraId="70808DFA" w14:textId="77777777" w:rsidR="004B30BC" w:rsidRDefault="004B30BC" w:rsidP="004B30BC">
      <w:pPr>
        <w:tabs>
          <w:tab w:val="left" w:pos="560"/>
        </w:tabs>
        <w:ind w:left="540" w:hanging="540"/>
        <w:rPr>
          <w:rFonts w:ascii="Arial" w:hAnsi="Arial"/>
          <w:sz w:val="26"/>
          <w:lang w:eastAsia="en-US"/>
        </w:rPr>
      </w:pPr>
      <w:r>
        <w:rPr>
          <w:lang w:eastAsia="en-US"/>
        </w:rPr>
        <w:t xml:space="preserve">Pessarrodona A, Foggo A, Smale DA (2019) Can ecosystem functioning be maintained despite climate‐driven shifts in species composition? Insights from novel marine forests. </w:t>
      </w:r>
      <w:r>
        <w:rPr>
          <w:i/>
          <w:lang w:eastAsia="en-US"/>
        </w:rPr>
        <w:t>J Ecol</w:t>
      </w:r>
      <w:r>
        <w:rPr>
          <w:lang w:eastAsia="en-US"/>
        </w:rPr>
        <w:t xml:space="preserve"> 107, 91–104. 10.1111/1365-2745.13053.</w:t>
      </w:r>
    </w:p>
    <w:p w14:paraId="0ED3ACF4" w14:textId="77777777" w:rsidR="004B30BC" w:rsidRDefault="004B30BC" w:rsidP="004B30BC">
      <w:pPr>
        <w:tabs>
          <w:tab w:val="left" w:pos="560"/>
        </w:tabs>
        <w:ind w:left="540" w:hanging="540"/>
        <w:rPr>
          <w:rFonts w:ascii="Arial" w:hAnsi="Arial"/>
          <w:sz w:val="26"/>
          <w:lang w:eastAsia="en-US"/>
        </w:rPr>
      </w:pPr>
      <w:r>
        <w:rPr>
          <w:lang w:eastAsia="en-US"/>
        </w:rPr>
        <w:t xml:space="preserve">Queirós AM, Tait K, Clark JR, Bedington M, Pascoe C, Torres R, Somerfield PJ, Smale DA (2023) Identifying and protecting macroalgae detritus sinks toward climate change mitigation. </w:t>
      </w:r>
      <w:r>
        <w:rPr>
          <w:i/>
          <w:lang w:eastAsia="en-US"/>
        </w:rPr>
        <w:t>Ecological Applications</w:t>
      </w:r>
      <w:r>
        <w:rPr>
          <w:lang w:eastAsia="en-US"/>
        </w:rPr>
        <w:t xml:space="preserve"> 33, e2798. https://esajournals.onlinelibrary.wiley.com/doi/pdfdirect/10.1002/eap.2798.</w:t>
      </w:r>
    </w:p>
    <w:p w14:paraId="699ED8B1" w14:textId="77777777" w:rsidR="004B30BC" w:rsidRDefault="004B30BC" w:rsidP="004B30BC">
      <w:pPr>
        <w:tabs>
          <w:tab w:val="left" w:pos="560"/>
        </w:tabs>
        <w:ind w:left="540" w:hanging="540"/>
        <w:rPr>
          <w:rFonts w:ascii="Arial" w:hAnsi="Arial"/>
          <w:sz w:val="26"/>
          <w:lang w:eastAsia="en-US"/>
        </w:rPr>
      </w:pPr>
      <w:r>
        <w:rPr>
          <w:lang w:eastAsia="en-US"/>
        </w:rPr>
        <w:t xml:space="preserve">Queirós AM, Stephens N, Cook R, Ravaglioli C, Nunes J, Dashfield S, Harris C, Tilstone GH, Fishwick J, Braeckman U et al. (2015) Can benthic community structure be used to predict the process of bioturbation in real ecosystems. </w:t>
      </w:r>
      <w:r>
        <w:rPr>
          <w:i/>
          <w:lang w:eastAsia="en-US"/>
        </w:rPr>
        <w:t>Progress in Oceanography</w:t>
      </w:r>
      <w:r>
        <w:rPr>
          <w:lang w:eastAsia="en-US"/>
        </w:rPr>
        <w:t xml:space="preserve"> 137, 559–569. http://dx.doi.org/10.1016/j.pocean.2015.04.027.</w:t>
      </w:r>
    </w:p>
    <w:p w14:paraId="0DEBE628" w14:textId="77777777" w:rsidR="004B30BC" w:rsidRDefault="004B30BC" w:rsidP="004B30BC">
      <w:pPr>
        <w:tabs>
          <w:tab w:val="left" w:pos="560"/>
        </w:tabs>
        <w:ind w:left="540" w:hanging="540"/>
        <w:rPr>
          <w:rFonts w:ascii="Arial" w:hAnsi="Arial"/>
          <w:sz w:val="26"/>
          <w:lang w:eastAsia="en-US"/>
        </w:rPr>
      </w:pPr>
      <w:r>
        <w:rPr>
          <w:lang w:eastAsia="en-US"/>
        </w:rPr>
        <w:t xml:space="preserve">Queirós AM, Stephens N, Widdicombe S, Tait K, McCoy SJ, Ingels J, Rühl S, Airs R, Beesley A, Carnovale G (2019) Connected macroalgal‐sediment systems: blue carbon </w:t>
      </w:r>
      <w:r>
        <w:rPr>
          <w:lang w:eastAsia="en-US"/>
        </w:rPr>
        <w:lastRenderedPageBreak/>
        <w:t xml:space="preserve">and food webs in the deep coastal ocean. </w:t>
      </w:r>
      <w:r>
        <w:rPr>
          <w:i/>
          <w:lang w:eastAsia="en-US"/>
        </w:rPr>
        <w:t>Ecol Monogr</w:t>
      </w:r>
      <w:r>
        <w:rPr>
          <w:lang w:eastAsia="en-US"/>
        </w:rPr>
        <w:t xml:space="preserve"> 89, e01366. 15310.1002/ecm.1366.</w:t>
      </w:r>
    </w:p>
    <w:p w14:paraId="2DE93691" w14:textId="77777777" w:rsidR="004B30BC" w:rsidRDefault="004B30BC" w:rsidP="004B30BC">
      <w:pPr>
        <w:tabs>
          <w:tab w:val="left" w:pos="560"/>
        </w:tabs>
        <w:ind w:left="540" w:hanging="540"/>
        <w:rPr>
          <w:rFonts w:ascii="Arial" w:hAnsi="Arial"/>
          <w:sz w:val="26"/>
          <w:lang w:eastAsia="en-US"/>
        </w:rPr>
      </w:pPr>
      <w:r>
        <w:rPr>
          <w:lang w:eastAsia="en-US"/>
        </w:rPr>
        <w:t>R Core Team (2026) R: a language and environment for statistical computing. R Foundation for Statistical Computing. https://www.R-project.org/.</w:t>
      </w:r>
    </w:p>
    <w:p w14:paraId="66DF2EB1" w14:textId="77777777" w:rsidR="004B30BC" w:rsidRDefault="004B30BC" w:rsidP="004B30BC">
      <w:pPr>
        <w:tabs>
          <w:tab w:val="left" w:pos="560"/>
        </w:tabs>
        <w:ind w:left="540" w:hanging="540"/>
        <w:rPr>
          <w:rFonts w:ascii="Arial" w:hAnsi="Arial"/>
          <w:sz w:val="26"/>
          <w:lang w:eastAsia="en-US"/>
        </w:rPr>
      </w:pPr>
      <w:r>
        <w:rPr>
          <w:lang w:eastAsia="en-US"/>
        </w:rPr>
        <w:t xml:space="preserve">Ravaglioli C, Bulleri F, Rühl S, McCoy SJ, Findlay HS, Widdicombe S, Queirós AM (2019) Ocean acidification and hypoxia alter organic carbon fluxes in marine soft sediments. </w:t>
      </w:r>
      <w:r>
        <w:rPr>
          <w:i/>
          <w:lang w:eastAsia="en-US"/>
        </w:rPr>
        <w:t>Global Change Biology</w:t>
      </w:r>
      <w:r>
        <w:rPr>
          <w:lang w:eastAsia="en-US"/>
        </w:rPr>
        <w:t xml:space="preserve"> 25, 4165–4178. https://pubmed.ncbi.nlm.nih.gov/31535452.</w:t>
      </w:r>
    </w:p>
    <w:p w14:paraId="1B0F2A39" w14:textId="77777777" w:rsidR="004B30BC" w:rsidRDefault="004B30BC" w:rsidP="004B30BC">
      <w:pPr>
        <w:tabs>
          <w:tab w:val="left" w:pos="560"/>
        </w:tabs>
        <w:ind w:left="540" w:hanging="540"/>
        <w:rPr>
          <w:rFonts w:ascii="Arial" w:hAnsi="Arial"/>
          <w:sz w:val="26"/>
          <w:lang w:eastAsia="en-US"/>
        </w:rPr>
      </w:pPr>
      <w:r>
        <w:rPr>
          <w:lang w:eastAsia="en-US"/>
        </w:rPr>
        <w:t xml:space="preserve">Raven J (2018) Blue carbon: past, present and future, with emphasis on macroalgae. </w:t>
      </w:r>
      <w:r>
        <w:rPr>
          <w:i/>
          <w:lang w:eastAsia="en-US"/>
        </w:rPr>
        <w:t>Biol Lett</w:t>
      </w:r>
      <w:r>
        <w:rPr>
          <w:lang w:eastAsia="en-US"/>
        </w:rPr>
        <w:t xml:space="preserve"> 14, 20180336. 10.1098/rsbl.2018.0336.</w:t>
      </w:r>
    </w:p>
    <w:p w14:paraId="2FD39218" w14:textId="77777777" w:rsidR="004B30BC" w:rsidRDefault="004B30BC" w:rsidP="004B30BC">
      <w:pPr>
        <w:tabs>
          <w:tab w:val="left" w:pos="560"/>
        </w:tabs>
        <w:ind w:left="540" w:hanging="540"/>
        <w:rPr>
          <w:rFonts w:ascii="Arial" w:hAnsi="Arial"/>
          <w:sz w:val="26"/>
          <w:lang w:eastAsia="en-US"/>
        </w:rPr>
      </w:pPr>
      <w:r>
        <w:rPr>
          <w:lang w:eastAsia="en-US"/>
        </w:rPr>
        <w:t xml:space="preserve">Rossi F, Gribsholt B, Gazeau F, Di Santo V, Middelburg JJ (2013) Complex Effects of Ecosystem Engineer Loss on Benthic Ecosystem Response to Detrital Macroalgae. </w:t>
      </w:r>
      <w:r>
        <w:rPr>
          <w:i/>
          <w:lang w:eastAsia="en-US"/>
        </w:rPr>
        <w:t>PLoS One</w:t>
      </w:r>
      <w:r>
        <w:rPr>
          <w:lang w:eastAsia="en-US"/>
        </w:rPr>
        <w:t xml:space="preserve"> 8, e66650. https://pubmed.ncbi.nlm.nih.gov/23805256.</w:t>
      </w:r>
    </w:p>
    <w:p w14:paraId="62985DD6" w14:textId="77777777" w:rsidR="004B30BC" w:rsidRDefault="004B30BC" w:rsidP="004B30BC">
      <w:pPr>
        <w:tabs>
          <w:tab w:val="left" w:pos="560"/>
        </w:tabs>
        <w:ind w:left="540" w:hanging="540"/>
        <w:rPr>
          <w:rFonts w:ascii="Arial" w:hAnsi="Arial"/>
          <w:sz w:val="26"/>
          <w:lang w:eastAsia="en-US"/>
        </w:rPr>
      </w:pPr>
      <w:r>
        <w:rPr>
          <w:lang w:eastAsia="en-US"/>
        </w:rPr>
        <w:t xml:space="preserve">Rossi F (2006) Small-scale burial of macroalgal detritus in marine sediments: effects of Ulva spp. on the spatial distribution of macrofauna assemblages. </w:t>
      </w:r>
      <w:r>
        <w:rPr>
          <w:i/>
          <w:lang w:eastAsia="en-US"/>
        </w:rPr>
        <w:t>Journal of Experimental Marine Biology and Ecology</w:t>
      </w:r>
      <w:r>
        <w:rPr>
          <w:lang w:eastAsia="en-US"/>
        </w:rPr>
        <w:t xml:space="preserve"> 332, 84–95. https://www.sciencedirect.com/science/article/pii/S0022098105005290.</w:t>
      </w:r>
    </w:p>
    <w:p w14:paraId="0A54C0A6" w14:textId="77777777" w:rsidR="004B30BC" w:rsidRDefault="004B30BC" w:rsidP="004B30BC">
      <w:pPr>
        <w:tabs>
          <w:tab w:val="left" w:pos="560"/>
        </w:tabs>
        <w:ind w:left="540" w:hanging="540"/>
        <w:rPr>
          <w:rFonts w:ascii="Arial" w:hAnsi="Arial"/>
          <w:sz w:val="26"/>
          <w:lang w:eastAsia="en-US"/>
        </w:rPr>
      </w:pPr>
      <w:r>
        <w:rPr>
          <w:lang w:eastAsia="en-US"/>
        </w:rPr>
        <w:t xml:space="preserve">Rossi F (2007) Recycle of buried macroalgal detritus in sediments: use of dual-labelling experiments in the field. </w:t>
      </w:r>
      <w:r>
        <w:rPr>
          <w:i/>
          <w:lang w:eastAsia="en-US"/>
        </w:rPr>
        <w:t>Marine Biology</w:t>
      </w:r>
      <w:r>
        <w:rPr>
          <w:lang w:eastAsia="en-US"/>
        </w:rPr>
        <w:t xml:space="preserve"> 150, 1073–1081. https://link.springer.com/article/10.1007/s00227-006-0438-6.</w:t>
      </w:r>
    </w:p>
    <w:p w14:paraId="706F54FA" w14:textId="77777777" w:rsidR="004B30BC" w:rsidRDefault="004B30BC" w:rsidP="004B30BC">
      <w:pPr>
        <w:tabs>
          <w:tab w:val="left" w:pos="560"/>
        </w:tabs>
        <w:ind w:left="540" w:hanging="540"/>
        <w:rPr>
          <w:rFonts w:ascii="Arial" w:hAnsi="Arial"/>
          <w:sz w:val="26"/>
          <w:lang w:eastAsia="en-US"/>
        </w:rPr>
      </w:pPr>
      <w:r>
        <w:rPr>
          <w:lang w:eastAsia="en-US"/>
        </w:rPr>
        <w:t xml:space="preserve">Rovira P, Rovira R (2010) Fitting litter decomposition datasets to mathematical curves: towards a generalised exponential approach. </w:t>
      </w:r>
      <w:r>
        <w:rPr>
          <w:i/>
          <w:lang w:eastAsia="en-US"/>
        </w:rPr>
        <w:t>Geoderma</w:t>
      </w:r>
      <w:r>
        <w:rPr>
          <w:lang w:eastAsia="en-US"/>
        </w:rPr>
        <w:t xml:space="preserve"> 155, 329–343. https://doi.org/10.1016/j.geoderma.2009.11.033.</w:t>
      </w:r>
    </w:p>
    <w:p w14:paraId="7A1BEF41" w14:textId="77777777" w:rsidR="004B30BC" w:rsidRDefault="004B30BC" w:rsidP="004B30BC">
      <w:pPr>
        <w:tabs>
          <w:tab w:val="left" w:pos="560"/>
        </w:tabs>
        <w:ind w:left="540" w:hanging="540"/>
        <w:rPr>
          <w:rFonts w:ascii="Arial" w:hAnsi="Arial"/>
          <w:sz w:val="26"/>
          <w:lang w:eastAsia="en-US"/>
        </w:rPr>
      </w:pPr>
      <w:r>
        <w:rPr>
          <w:lang w:eastAsia="en-US"/>
        </w:rPr>
        <w:t>RStudio Team (2026) RStudio: integrated development environment for R. RStudio, Inc. http://www.rstudio.com/.</w:t>
      </w:r>
    </w:p>
    <w:p w14:paraId="1CB69B28" w14:textId="77777777" w:rsidR="004B30BC" w:rsidRDefault="004B30BC" w:rsidP="004B30BC">
      <w:pPr>
        <w:tabs>
          <w:tab w:val="left" w:pos="560"/>
        </w:tabs>
        <w:ind w:left="540" w:hanging="540"/>
        <w:rPr>
          <w:rFonts w:ascii="Arial" w:hAnsi="Arial"/>
          <w:sz w:val="26"/>
          <w:lang w:eastAsia="en-US"/>
        </w:rPr>
      </w:pPr>
      <w:r>
        <w:rPr>
          <w:lang w:eastAsia="en-US"/>
        </w:rPr>
        <w:t xml:space="preserve">Serrano O, Mazarrasa I, Fourqurean JW, Serrano E, Baldock J, Sanderman J (2023) Flaws in the methodologies for organic carbon analysis in seagrass blue carbon soils. </w:t>
      </w:r>
      <w:r>
        <w:rPr>
          <w:i/>
          <w:lang w:eastAsia="en-US"/>
        </w:rPr>
        <w:t>Limnology and Oceanography: Methods</w:t>
      </w:r>
      <w:r>
        <w:rPr>
          <w:lang w:eastAsia="en-US"/>
        </w:rPr>
        <w:t xml:space="preserve"> 21, 814–827. https://aslopubs.onlinelibrary.wiley.com/doi/pdfdirect/10.1002/lom3.10583.</w:t>
      </w:r>
    </w:p>
    <w:p w14:paraId="246B21D4" w14:textId="77777777" w:rsidR="004B30BC" w:rsidRDefault="004B30BC" w:rsidP="004B30BC">
      <w:pPr>
        <w:tabs>
          <w:tab w:val="left" w:pos="560"/>
        </w:tabs>
        <w:ind w:left="540" w:hanging="540"/>
        <w:rPr>
          <w:rFonts w:ascii="Arial" w:hAnsi="Arial"/>
          <w:sz w:val="26"/>
          <w:lang w:eastAsia="en-US"/>
        </w:rPr>
      </w:pPr>
      <w:r>
        <w:rPr>
          <w:lang w:eastAsia="en-US"/>
        </w:rPr>
        <w:t xml:space="preserve">Simpkins T, Van Der Mheen M, Pedersen MF, Pessarrodona A, Pattiaratchi C, Wernberg T, Filbee‐Dexter K (2025) Macroalgae detritus decomposition and cross‐shelf carbon export from shallow and deep reefs. </w:t>
      </w:r>
      <w:r>
        <w:rPr>
          <w:i/>
          <w:lang w:eastAsia="en-US"/>
        </w:rPr>
        <w:t>Limnology and Oceanography</w:t>
      </w:r>
      <w:r>
        <w:rPr>
          <w:lang w:eastAsia="en-US"/>
        </w:rPr>
        <w:t xml:space="preserve"> 70, 1046–1058. https://aslopubs.onlinelibrary.wiley.com/doi/pdf/10.1002/lno.70006.</w:t>
      </w:r>
    </w:p>
    <w:p w14:paraId="3CFD82C1" w14:textId="77777777" w:rsidR="004B30BC" w:rsidRDefault="004B30BC" w:rsidP="004B30BC">
      <w:pPr>
        <w:tabs>
          <w:tab w:val="left" w:pos="560"/>
        </w:tabs>
        <w:ind w:left="540" w:hanging="540"/>
        <w:rPr>
          <w:rFonts w:ascii="Arial" w:hAnsi="Arial"/>
          <w:sz w:val="26"/>
          <w:lang w:eastAsia="en-US"/>
        </w:rPr>
      </w:pPr>
      <w:r>
        <w:rPr>
          <w:lang w:eastAsia="en-US"/>
        </w:rPr>
        <w:t xml:space="preserve">Smale DA, Moore PJ, Queirós AM, Higgs ND, Burrows MT (2018) Appreciating interconnectivity between habitats is key to blue carbon management. </w:t>
      </w:r>
      <w:r>
        <w:rPr>
          <w:i/>
          <w:lang w:eastAsia="en-US"/>
        </w:rPr>
        <w:t>Front Ecol Environ</w:t>
      </w:r>
      <w:r>
        <w:rPr>
          <w:lang w:eastAsia="en-US"/>
        </w:rPr>
        <w:t xml:space="preserve"> 16, 71–73. 10.1002/fee.1765.</w:t>
      </w:r>
    </w:p>
    <w:p w14:paraId="648DFD8D" w14:textId="77777777" w:rsidR="004B30BC" w:rsidRDefault="004B30BC" w:rsidP="004B30BC">
      <w:pPr>
        <w:tabs>
          <w:tab w:val="left" w:pos="560"/>
        </w:tabs>
        <w:ind w:left="540" w:hanging="540"/>
        <w:rPr>
          <w:rFonts w:ascii="Arial" w:hAnsi="Arial"/>
          <w:sz w:val="26"/>
          <w:lang w:eastAsia="en-US"/>
        </w:rPr>
      </w:pPr>
      <w:r>
        <w:rPr>
          <w:lang w:eastAsia="en-US"/>
        </w:rPr>
        <w:t xml:space="preserve">Smale DA, Pessarrodona A, King N, Moore PJ (2022) Examining the production, export, and immediate fate of kelp detritus on open‐coast subtidal reefs in the Northeast Atlantic. </w:t>
      </w:r>
      <w:r>
        <w:rPr>
          <w:i/>
          <w:lang w:eastAsia="en-US"/>
        </w:rPr>
        <w:t>Limnology and Oceanography</w:t>
      </w:r>
      <w:r>
        <w:rPr>
          <w:lang w:eastAsia="en-US"/>
        </w:rPr>
        <w:t xml:space="preserve"> 67, S36–S49. https://aslopubs.onlinelibrary.wiley.com/doi/pdf/10.1002/lno.11970.</w:t>
      </w:r>
    </w:p>
    <w:p w14:paraId="36450974" w14:textId="77777777" w:rsidR="004B30BC" w:rsidRDefault="004B30BC" w:rsidP="004B30BC">
      <w:pPr>
        <w:tabs>
          <w:tab w:val="left" w:pos="560"/>
        </w:tabs>
        <w:ind w:left="540" w:hanging="540"/>
        <w:rPr>
          <w:rFonts w:ascii="Arial" w:hAnsi="Arial"/>
          <w:sz w:val="26"/>
          <w:lang w:eastAsia="en-US"/>
        </w:rPr>
      </w:pPr>
      <w:r>
        <w:rPr>
          <w:lang w:eastAsia="en-US"/>
        </w:rPr>
        <w:t xml:space="preserve">Smale DA, Wernberg T, Yunnie ALE, Vance T (2015) </w:t>
      </w:r>
      <w:r>
        <w:rPr>
          <w:rFonts w:ascii="Helvetica" w:hAnsi="Helvetica"/>
          <w:lang w:eastAsia="en-US"/>
        </w:rPr>
        <w:t xml:space="preserve">The rise of </w:t>
      </w:r>
      <w:r>
        <w:rPr>
          <w:rFonts w:ascii="Helvetica" w:hAnsi="Helvetica"/>
          <w:i/>
          <w:lang w:eastAsia="en-US"/>
        </w:rPr>
        <w:t>Laminaria ochroleuca</w:t>
      </w:r>
      <w:r>
        <w:rPr>
          <w:rFonts w:ascii="Helvetica" w:hAnsi="Helvetica"/>
          <w:lang w:eastAsia="en-US"/>
        </w:rPr>
        <w:t xml:space="preserve"> in the Western English Channel (UK) and comparisons with its competitor and assemblage dominant </w:t>
      </w:r>
      <w:r>
        <w:rPr>
          <w:rFonts w:ascii="Helvetica" w:hAnsi="Helvetica"/>
          <w:i/>
          <w:lang w:eastAsia="en-US"/>
        </w:rPr>
        <w:t>Laminaria hyperborea</w:t>
      </w:r>
      <w:r>
        <w:rPr>
          <w:lang w:eastAsia="en-US"/>
        </w:rPr>
        <w:t xml:space="preserve">. </w:t>
      </w:r>
      <w:r>
        <w:rPr>
          <w:i/>
          <w:lang w:eastAsia="en-US"/>
        </w:rPr>
        <w:t>Mar Ecol</w:t>
      </w:r>
      <w:r>
        <w:rPr>
          <w:lang w:eastAsia="en-US"/>
        </w:rPr>
        <w:t xml:space="preserve"> 36, 1033–1044. 10.1111/maec.12199.</w:t>
      </w:r>
    </w:p>
    <w:p w14:paraId="11886AF4" w14:textId="77777777" w:rsidR="004B30BC" w:rsidRDefault="004B30BC" w:rsidP="004B30BC">
      <w:pPr>
        <w:tabs>
          <w:tab w:val="left" w:pos="560"/>
        </w:tabs>
        <w:ind w:left="540" w:hanging="540"/>
        <w:rPr>
          <w:rFonts w:ascii="Arial" w:hAnsi="Arial"/>
          <w:sz w:val="26"/>
          <w:lang w:eastAsia="en-US"/>
        </w:rPr>
      </w:pPr>
      <w:r>
        <w:rPr>
          <w:lang w:eastAsia="en-US"/>
        </w:rPr>
        <w:t xml:space="preserve">Smith SV (1981) Marine macrophytes as a global carbon sink. </w:t>
      </w:r>
      <w:r>
        <w:rPr>
          <w:i/>
          <w:lang w:eastAsia="en-US"/>
        </w:rPr>
        <w:t>Science</w:t>
      </w:r>
      <w:r>
        <w:rPr>
          <w:lang w:eastAsia="en-US"/>
        </w:rPr>
        <w:t xml:space="preserve"> 211, 838–840. 10.1126/science.211.4484.838.</w:t>
      </w:r>
    </w:p>
    <w:p w14:paraId="397BD4E1" w14:textId="77777777" w:rsidR="004B30BC" w:rsidRDefault="004B30BC" w:rsidP="004B30BC">
      <w:pPr>
        <w:tabs>
          <w:tab w:val="left" w:pos="560"/>
        </w:tabs>
        <w:ind w:left="540" w:hanging="540"/>
        <w:rPr>
          <w:rFonts w:ascii="Arial" w:hAnsi="Arial"/>
          <w:sz w:val="26"/>
          <w:lang w:eastAsia="en-US"/>
        </w:rPr>
      </w:pPr>
      <w:r>
        <w:rPr>
          <w:lang w:eastAsia="en-US"/>
        </w:rPr>
        <w:t xml:space="preserve">Steneck RS, Johnson CR (2013) Kelp forests: dynamic patterns, processes, and feedbacks. Bertness MD, Bruno J, Silliman BR, Stachowicz JJ (eds.) </w:t>
      </w:r>
      <w:r>
        <w:rPr>
          <w:i/>
          <w:lang w:eastAsia="en-US"/>
        </w:rPr>
        <w:t>Marine community ecology and conservation</w:t>
      </w:r>
      <w:r>
        <w:rPr>
          <w:lang w:eastAsia="en-US"/>
        </w:rPr>
        <w:t>, 315–336. https://www.researchgate.net/publication/285650458_Kelp_forests_Dynamic_patterns_processes_and_feedbacks.</w:t>
      </w:r>
    </w:p>
    <w:p w14:paraId="5EA28517" w14:textId="77777777" w:rsidR="004B30BC" w:rsidRDefault="004B30BC" w:rsidP="004B30BC">
      <w:pPr>
        <w:tabs>
          <w:tab w:val="left" w:pos="560"/>
        </w:tabs>
        <w:ind w:left="540" w:hanging="540"/>
        <w:rPr>
          <w:rFonts w:ascii="Arial" w:hAnsi="Arial"/>
          <w:sz w:val="26"/>
          <w:lang w:eastAsia="en-US"/>
        </w:rPr>
      </w:pPr>
      <w:r>
        <w:rPr>
          <w:lang w:eastAsia="en-US"/>
        </w:rPr>
        <w:lastRenderedPageBreak/>
        <w:t xml:space="preserve">Tan SH, Jourdain E, Farrell SP, Price NN, Rich JJ, Emerson D (2025) Using eDNA tools to examine the impact of kelp farming on underlying sediments. </w:t>
      </w:r>
      <w:r>
        <w:rPr>
          <w:i/>
          <w:lang w:eastAsia="en-US"/>
        </w:rPr>
        <w:t>PLoS One</w:t>
      </w:r>
      <w:r>
        <w:rPr>
          <w:lang w:eastAsia="en-US"/>
        </w:rPr>
        <w:t xml:space="preserve"> 20, e0331416. https://journals.plos.org/plosone/article/file?id=10.1371/journal.pone.0331416&amp;type=printable.</w:t>
      </w:r>
    </w:p>
    <w:p w14:paraId="1BD8BCE4" w14:textId="77777777" w:rsidR="004B30BC" w:rsidRDefault="004B30BC" w:rsidP="004B30BC">
      <w:pPr>
        <w:tabs>
          <w:tab w:val="left" w:pos="560"/>
        </w:tabs>
        <w:ind w:left="540" w:hanging="540"/>
        <w:rPr>
          <w:rFonts w:ascii="Arial" w:hAnsi="Arial"/>
          <w:sz w:val="26"/>
          <w:lang w:eastAsia="en-US"/>
        </w:rPr>
      </w:pPr>
      <w:r>
        <w:rPr>
          <w:lang w:eastAsia="en-US"/>
        </w:rPr>
        <w:t xml:space="preserve">Teagle H, Smale DA (2018) Climate-driven substitution of habitat-forming species leads to reduced biodiversity within a temperate marine community. </w:t>
      </w:r>
      <w:r>
        <w:rPr>
          <w:i/>
          <w:lang w:eastAsia="en-US"/>
        </w:rPr>
        <w:t>Divers Distrib</w:t>
      </w:r>
      <w:r>
        <w:rPr>
          <w:lang w:eastAsia="en-US"/>
        </w:rPr>
        <w:t xml:space="preserve"> 24, 1367–1380. 10.1111/ddi.12775.</w:t>
      </w:r>
    </w:p>
    <w:p w14:paraId="64D34221" w14:textId="77777777" w:rsidR="004B30BC" w:rsidRDefault="004B30BC" w:rsidP="004B30BC">
      <w:pPr>
        <w:tabs>
          <w:tab w:val="left" w:pos="560"/>
        </w:tabs>
        <w:ind w:left="540" w:hanging="540"/>
        <w:rPr>
          <w:rFonts w:ascii="Arial" w:hAnsi="Arial"/>
          <w:sz w:val="26"/>
          <w:lang w:eastAsia="en-US"/>
        </w:rPr>
      </w:pPr>
      <w:r>
        <w:rPr>
          <w:lang w:eastAsia="en-US"/>
        </w:rPr>
        <w:t xml:space="preserve">Thomson ACG, Kristensen E, Valdemarsen T, Quintana CO (2020) Short-term fate of seagrass and macroalgal detritus in Arenicola marina bioturbated sediments. </w:t>
      </w:r>
      <w:r>
        <w:rPr>
          <w:i/>
          <w:lang w:eastAsia="en-US"/>
        </w:rPr>
        <w:t>Marine Ecology Progress Series</w:t>
      </w:r>
      <w:r>
        <w:rPr>
          <w:lang w:eastAsia="en-US"/>
        </w:rPr>
        <w:t xml:space="preserve"> 639, 21–35. https://www.int-res.com/abstracts/meps/v639/p21-35.</w:t>
      </w:r>
    </w:p>
    <w:p w14:paraId="179CDAE3" w14:textId="77777777" w:rsidR="004B30BC" w:rsidRDefault="004B30BC" w:rsidP="004B30BC">
      <w:pPr>
        <w:tabs>
          <w:tab w:val="left" w:pos="560"/>
        </w:tabs>
        <w:ind w:left="540" w:hanging="540"/>
        <w:rPr>
          <w:rFonts w:ascii="Arial" w:hAnsi="Arial"/>
          <w:sz w:val="26"/>
          <w:lang w:eastAsia="en-US"/>
        </w:rPr>
      </w:pPr>
      <w:r>
        <w:rPr>
          <w:lang w:eastAsia="en-US"/>
        </w:rPr>
        <w:t>van den Brand T (2025) ggh4x: hacks for ‘ggplot2’. https://github.com/teunbrand/ggh4x.</w:t>
      </w:r>
    </w:p>
    <w:p w14:paraId="7785E358" w14:textId="77777777" w:rsidR="004B30BC" w:rsidRDefault="004B30BC" w:rsidP="004B30BC">
      <w:pPr>
        <w:tabs>
          <w:tab w:val="left" w:pos="560"/>
        </w:tabs>
        <w:ind w:left="540" w:hanging="540"/>
        <w:rPr>
          <w:rFonts w:ascii="Arial" w:hAnsi="Arial"/>
          <w:sz w:val="26"/>
          <w:lang w:eastAsia="en-US"/>
        </w:rPr>
      </w:pPr>
      <w:r>
        <w:rPr>
          <w:lang w:eastAsia="en-US"/>
        </w:rPr>
        <w:t xml:space="preserve">van der Mheen M, Wernberg T, Pattiaratchi C, Pessarrodona A, Janekovic I, Simpkins T, Hovey R, Filbee-Dexter K (2024) Substantial kelp detritus exported beyond the continental shelf by dense shelf water transport. </w:t>
      </w:r>
      <w:r>
        <w:rPr>
          <w:i/>
          <w:lang w:eastAsia="en-US"/>
        </w:rPr>
        <w:t>Scientific Reports</w:t>
      </w:r>
      <w:r>
        <w:rPr>
          <w:lang w:eastAsia="en-US"/>
        </w:rPr>
        <w:t xml:space="preserve"> 14, 839. https://doi.org/10.1038/s41598-023-51003-5.</w:t>
      </w:r>
    </w:p>
    <w:p w14:paraId="666F9F9A" w14:textId="77777777" w:rsidR="004B30BC" w:rsidRDefault="004B30BC" w:rsidP="004B30BC">
      <w:pPr>
        <w:tabs>
          <w:tab w:val="left" w:pos="560"/>
        </w:tabs>
        <w:ind w:left="540" w:hanging="540"/>
        <w:rPr>
          <w:rFonts w:ascii="Arial" w:hAnsi="Arial"/>
          <w:sz w:val="26"/>
          <w:lang w:eastAsia="en-US"/>
        </w:rPr>
      </w:pPr>
      <w:r>
        <w:rPr>
          <w:lang w:eastAsia="en-US"/>
        </w:rPr>
        <w:t xml:space="preserve">Wernberg T, Vanderklift MA, How J, Lavery PS (2006) Export of detached macroalgae from reefs to adjacent seagrass beds. </w:t>
      </w:r>
      <w:r>
        <w:rPr>
          <w:i/>
          <w:lang w:eastAsia="en-US"/>
        </w:rPr>
        <w:t>Oecologia</w:t>
      </w:r>
      <w:r>
        <w:rPr>
          <w:lang w:eastAsia="en-US"/>
        </w:rPr>
        <w:t xml:space="preserve"> 147, 692–701. 10.1007/s00442-005-0318-7.</w:t>
      </w:r>
    </w:p>
    <w:p w14:paraId="634AC1B7" w14:textId="77777777" w:rsidR="004B30BC" w:rsidRDefault="004B30BC" w:rsidP="004B30BC">
      <w:pPr>
        <w:tabs>
          <w:tab w:val="left" w:pos="560"/>
        </w:tabs>
        <w:ind w:left="540" w:hanging="540"/>
        <w:rPr>
          <w:rFonts w:ascii="Arial" w:hAnsi="Arial"/>
          <w:sz w:val="26"/>
          <w:lang w:eastAsia="en-US"/>
        </w:rPr>
      </w:pPr>
      <w:r>
        <w:rPr>
          <w:lang w:eastAsia="en-US"/>
        </w:rPr>
        <w:t xml:space="preserve">Wernberg T, Coleman MA, Babcock RC, Bell SY, Bolton JJ, Connell SD, Hurd CL, Johnson CR, Marzinelli EM, Shears NT (2019) Biology and ecology of the globally significant kelp </w:t>
      </w:r>
      <w:r>
        <w:rPr>
          <w:i/>
          <w:lang w:eastAsia="en-US"/>
        </w:rPr>
        <w:t>Ecklonia radiata</w:t>
      </w:r>
      <w:r>
        <w:rPr>
          <w:lang w:eastAsia="en-US"/>
        </w:rPr>
        <w:t xml:space="preserve">. </w:t>
      </w:r>
      <w:r>
        <w:rPr>
          <w:i/>
          <w:lang w:eastAsia="en-US"/>
        </w:rPr>
        <w:t>Oceanography and marine biology</w:t>
      </w:r>
      <w:r>
        <w:rPr>
          <w:lang w:eastAsia="en-US"/>
        </w:rPr>
        <w:t xml:space="preserve"> 62. https://library.oapen.org/bitstream/handle/20.500.12657/24721/9780367134150_oachapter6.pdf?sequence=1.</w:t>
      </w:r>
    </w:p>
    <w:p w14:paraId="45F68377" w14:textId="77777777" w:rsidR="004B30BC" w:rsidRDefault="004B30BC" w:rsidP="004B30BC">
      <w:pPr>
        <w:tabs>
          <w:tab w:val="left" w:pos="560"/>
        </w:tabs>
        <w:ind w:left="540" w:hanging="540"/>
        <w:rPr>
          <w:rFonts w:ascii="Arial" w:hAnsi="Arial"/>
          <w:sz w:val="26"/>
          <w:lang w:eastAsia="en-US"/>
        </w:rPr>
      </w:pPr>
      <w:r>
        <w:rPr>
          <w:lang w:eastAsia="en-US"/>
        </w:rPr>
        <w:t xml:space="preserve">White LJ, Norkko A (2025) A path towards appropriate degradation experiments for assessing carbon sequestration potential of macroalgae. </w:t>
      </w:r>
      <w:r>
        <w:rPr>
          <w:i/>
          <w:lang w:eastAsia="en-US"/>
        </w:rPr>
        <w:t>Journal of Ecology</w:t>
      </w:r>
      <w:r>
        <w:rPr>
          <w:lang w:eastAsia="en-US"/>
        </w:rPr>
        <w:t xml:space="preserve"> 113, 2730–2743. https://doi.org/10.1111/1365-2745.70107.</w:t>
      </w:r>
    </w:p>
    <w:p w14:paraId="1D1E3AFC" w14:textId="77777777" w:rsidR="004B30BC" w:rsidRDefault="004B30BC" w:rsidP="004B30BC">
      <w:pPr>
        <w:tabs>
          <w:tab w:val="left" w:pos="560"/>
        </w:tabs>
        <w:ind w:left="540" w:hanging="540"/>
        <w:rPr>
          <w:rFonts w:ascii="Arial" w:hAnsi="Arial"/>
          <w:sz w:val="26"/>
          <w:lang w:eastAsia="en-US"/>
        </w:rPr>
      </w:pPr>
      <w:r>
        <w:rPr>
          <w:lang w:eastAsia="en-US"/>
        </w:rPr>
        <w:t xml:space="preserve">Wickham H, Averick M, Bryan J, Chang W, McGowan LD, François R, Grolemund G, Hayes A, Henry L, Hester J (2019) Welcome to the Tidyverse. </w:t>
      </w:r>
      <w:r>
        <w:rPr>
          <w:i/>
          <w:lang w:eastAsia="en-US"/>
        </w:rPr>
        <w:t>Journal of Open Source Software</w:t>
      </w:r>
      <w:r>
        <w:rPr>
          <w:lang w:eastAsia="en-US"/>
        </w:rPr>
        <w:t xml:space="preserve"> 4, 1686. https://doi.org/10.21105/joss.01686.</w:t>
      </w:r>
    </w:p>
    <w:p w14:paraId="2BC9855A" w14:textId="77777777" w:rsidR="004B30BC" w:rsidRDefault="004B30BC" w:rsidP="004B30BC">
      <w:pPr>
        <w:tabs>
          <w:tab w:val="left" w:pos="560"/>
        </w:tabs>
        <w:ind w:left="540" w:hanging="540"/>
        <w:rPr>
          <w:rFonts w:ascii="Arial" w:hAnsi="Arial"/>
          <w:sz w:val="26"/>
          <w:lang w:eastAsia="en-US"/>
        </w:rPr>
      </w:pPr>
      <w:r>
        <w:rPr>
          <w:lang w:eastAsia="en-US"/>
        </w:rPr>
        <w:t xml:space="preserve">Wright LS, Foggo A (2021) Photosynthetic pigments of co-occurring Northeast Atlantic </w:t>
      </w:r>
      <w:r>
        <w:rPr>
          <w:i/>
          <w:lang w:eastAsia="en-US"/>
        </w:rPr>
        <w:t>Laminaria</w:t>
      </w:r>
      <w:r>
        <w:rPr>
          <w:lang w:eastAsia="en-US"/>
        </w:rPr>
        <w:t xml:space="preserve"> spp. are unaffected by decomposition. </w:t>
      </w:r>
      <w:r>
        <w:rPr>
          <w:i/>
          <w:lang w:eastAsia="en-US"/>
        </w:rPr>
        <w:t>Marine Ecology Progress Series</w:t>
      </w:r>
      <w:r>
        <w:rPr>
          <w:lang w:eastAsia="en-US"/>
        </w:rPr>
        <w:t xml:space="preserve"> 678, 227–232. https://doi.org/10.3354/meps13886.</w:t>
      </w:r>
    </w:p>
    <w:p w14:paraId="6D0DA330" w14:textId="77777777" w:rsidR="004B30BC" w:rsidRDefault="004B30BC" w:rsidP="004B30BC">
      <w:pPr>
        <w:tabs>
          <w:tab w:val="left" w:pos="560"/>
        </w:tabs>
        <w:ind w:left="540" w:hanging="540"/>
        <w:rPr>
          <w:rFonts w:ascii="Arial" w:hAnsi="Arial"/>
          <w:sz w:val="26"/>
          <w:lang w:eastAsia="en-US"/>
        </w:rPr>
      </w:pPr>
      <w:r>
        <w:rPr>
          <w:lang w:eastAsia="en-US"/>
        </w:rPr>
        <w:t xml:space="preserve">Wright LS, Pessarrodona A, Foggo A (2022) Climate-driven shifts in kelp forest composition reduce carbon sequestration potential. </w:t>
      </w:r>
      <w:r>
        <w:rPr>
          <w:i/>
          <w:lang w:eastAsia="en-US"/>
        </w:rPr>
        <w:t>Global Change Biology</w:t>
      </w:r>
      <w:r>
        <w:rPr>
          <w:lang w:eastAsia="en-US"/>
        </w:rPr>
        <w:t xml:space="preserve"> 28, 5514–5531. https://doi.org/10.1111/gcb.16299.</w:t>
      </w:r>
    </w:p>
    <w:p w14:paraId="3F3A4BF1" w14:textId="77777777" w:rsidR="004B30BC" w:rsidRDefault="004B30BC" w:rsidP="004B30BC">
      <w:pPr>
        <w:tabs>
          <w:tab w:val="left" w:pos="560"/>
        </w:tabs>
        <w:ind w:left="540" w:hanging="540"/>
        <w:rPr>
          <w:rFonts w:ascii="Arial" w:hAnsi="Arial"/>
          <w:sz w:val="26"/>
          <w:lang w:eastAsia="en-US"/>
        </w:rPr>
      </w:pPr>
      <w:r>
        <w:rPr>
          <w:lang w:eastAsia="en-US"/>
        </w:rPr>
        <w:t xml:space="preserve">Wright LS, Kregting L (2023) Genus-specific response of kelp photosynthetic pigments to decomposition. </w:t>
      </w:r>
      <w:r>
        <w:rPr>
          <w:i/>
          <w:lang w:eastAsia="en-US"/>
        </w:rPr>
        <w:t>Marine Biology</w:t>
      </w:r>
      <w:r>
        <w:rPr>
          <w:lang w:eastAsia="en-US"/>
        </w:rPr>
        <w:t xml:space="preserve"> 170, 144. https://doi.org/10.1007/s00227-023-04289-y.</w:t>
      </w:r>
    </w:p>
    <w:p w14:paraId="3A803EC8" w14:textId="77777777" w:rsidR="004B30BC" w:rsidRDefault="004B30BC" w:rsidP="004B30BC">
      <w:pPr>
        <w:tabs>
          <w:tab w:val="left" w:pos="560"/>
        </w:tabs>
        <w:ind w:left="540" w:hanging="540"/>
        <w:rPr>
          <w:rFonts w:ascii="Arial" w:hAnsi="Arial"/>
          <w:sz w:val="26"/>
          <w:lang w:eastAsia="en-US"/>
        </w:rPr>
      </w:pPr>
      <w:r>
        <w:rPr>
          <w:lang w:eastAsia="en-US"/>
        </w:rPr>
        <w:t xml:space="preserve">Wright LS, Simpkins T, Filbee-Dexter K, Wernberg T (2024) Temperature sensitivity of detrital photosynthesis. </w:t>
      </w:r>
      <w:r>
        <w:rPr>
          <w:i/>
          <w:lang w:eastAsia="en-US"/>
        </w:rPr>
        <w:t>Annals of Botany</w:t>
      </w:r>
      <w:r>
        <w:rPr>
          <w:lang w:eastAsia="en-US"/>
        </w:rPr>
        <w:t xml:space="preserve"> 133, 17–28. https://doi.org/10.1093/aob/mcad167.</w:t>
      </w:r>
    </w:p>
    <w:p w14:paraId="64F55D83" w14:textId="77777777" w:rsidR="004B30BC" w:rsidRDefault="004B30BC" w:rsidP="004B30BC">
      <w:pPr>
        <w:tabs>
          <w:tab w:val="left" w:pos="560"/>
        </w:tabs>
        <w:ind w:left="540" w:hanging="540"/>
        <w:rPr>
          <w:rFonts w:ascii="Arial" w:hAnsi="Arial"/>
          <w:sz w:val="26"/>
          <w:lang w:eastAsia="en-US"/>
        </w:rPr>
      </w:pPr>
      <w:r>
        <w:rPr>
          <w:lang w:eastAsia="en-US"/>
        </w:rPr>
        <w:t xml:space="preserve">Yamuza-Magdaleno A, Jiménez-Ramos R, Casal-Porras I, Brun FG, Egea LG (2024) Long-term sediment organic carbon remineralization in different seagrass and macroalgae habitats: implication for blue carbon storage. </w:t>
      </w:r>
      <w:r>
        <w:rPr>
          <w:i/>
          <w:lang w:eastAsia="en-US"/>
        </w:rPr>
        <w:t>Frontiers in Marine Science</w:t>
      </w:r>
      <w:r>
        <w:rPr>
          <w:lang w:eastAsia="en-US"/>
        </w:rPr>
        <w:t xml:space="preserve"> 11, 32. https://doi.org/10.3389/fmars.2024.1370768.</w:t>
      </w:r>
    </w:p>
    <w:p w14:paraId="34116925" w14:textId="77777777" w:rsidR="004B30BC" w:rsidRDefault="004B30BC" w:rsidP="004B30BC">
      <w:pPr>
        <w:tabs>
          <w:tab w:val="left" w:pos="560"/>
        </w:tabs>
        <w:ind w:left="540" w:hanging="540"/>
        <w:rPr>
          <w:rFonts w:ascii="Arial" w:hAnsi="Arial"/>
          <w:sz w:val="26"/>
          <w:lang w:eastAsia="en-US"/>
        </w:rPr>
      </w:pPr>
      <w:r>
        <w:rPr>
          <w:lang w:eastAsia="en-US"/>
        </w:rPr>
        <w:t xml:space="preserve">Zaborska A, Włodarska-Kowalczuk M, Legeżyńska J, Jankowska E, Winogradow A, Deja K (2018) Sedimentary organic matter sources, benthic consumption and burial in west Spitsbergen fjords–Signs of maturing of Arctic fjordic systems. </w:t>
      </w:r>
      <w:r>
        <w:rPr>
          <w:i/>
          <w:lang w:eastAsia="en-US"/>
        </w:rPr>
        <w:t>Journal of Marine Systems</w:t>
      </w:r>
      <w:r>
        <w:rPr>
          <w:lang w:eastAsia="en-US"/>
        </w:rPr>
        <w:t xml:space="preserve"> 180, 112–123. https://www.sciencedirect.com/science/article/pii/S0924796316303657.</w:t>
      </w:r>
    </w:p>
    <w:p w14:paraId="03381F4C" w14:textId="15A42326" w:rsidR="00F25B48" w:rsidRPr="004B30BC" w:rsidRDefault="004B30BC" w:rsidP="004B30BC">
      <w:r>
        <w:fldChar w:fldCharType="end"/>
      </w:r>
    </w:p>
    <w:sectPr w:rsidR="00F25B48" w:rsidRPr="004B30BC">
      <w:footerReference w:type="even" r:id="rId26"/>
      <w:footerReference w:type="default" r:id="rId2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ka Wright" w:date="2026-03-18T10:51:00Z" w:initials="LW">
    <w:p w14:paraId="3DC12BAB" w14:textId="77777777" w:rsidR="004B30BC" w:rsidRDefault="004B30BC" w:rsidP="006B27F1">
      <w:r>
        <w:rPr>
          <w:rStyle w:val="CommentReference"/>
        </w:rPr>
        <w:annotationRef/>
      </w:r>
      <w:r>
        <w:rPr>
          <w:sz w:val="20"/>
          <w:szCs w:val="20"/>
        </w:rPr>
        <w:t>Please check your ORCiD. It's also linked to your icon above.</w:t>
      </w:r>
    </w:p>
  </w:comment>
  <w:comment w:id="1" w:author="Luka Wright" w:date="2026-03-18T21:48:00Z" w:initials="LW">
    <w:p w14:paraId="36B5051B" w14:textId="77777777" w:rsidR="004B30BC" w:rsidRDefault="004B30BC" w:rsidP="00D37634">
      <w:r>
        <w:rPr>
          <w:rStyle w:val="CommentReference"/>
        </w:rPr>
        <w:annotationRef/>
      </w:r>
      <w:r>
        <w:rPr>
          <w:sz w:val="20"/>
          <w:szCs w:val="20"/>
        </w:rPr>
        <w:t>Please put forward key points you want mentioned</w:t>
      </w:r>
    </w:p>
  </w:comment>
  <w:comment w:id="2" w:author="Luka Wright" w:date="2026-03-15T15:33:00Z" w:initials="LW">
    <w:p w14:paraId="5991A94F" w14:textId="77777777" w:rsidR="004B30BC" w:rsidRDefault="004B30BC" w:rsidP="005E41E8">
      <w:r>
        <w:rPr>
          <w:rStyle w:val="CommentReference"/>
        </w:rPr>
        <w:annotationRef/>
      </w:r>
      <w:r>
        <w:rPr>
          <w:sz w:val="20"/>
          <w:szCs w:val="20"/>
        </w:rPr>
        <w:t>Ana, is that the volume of the large tanks we used to keep the kelp and cores cool?</w:t>
      </w:r>
    </w:p>
  </w:comment>
  <w:comment w:id="3" w:author="Luka Wright" w:date="2026-03-15T19:31:00Z" w:initials="LW">
    <w:p w14:paraId="441926FF" w14:textId="77777777" w:rsidR="004B30BC" w:rsidRDefault="004B30BC" w:rsidP="00E57357">
      <w:r>
        <w:rPr>
          <w:rStyle w:val="CommentReference"/>
        </w:rPr>
        <w:annotationRef/>
      </w:r>
      <w:r>
        <w:rPr>
          <w:sz w:val="20"/>
          <w:szCs w:val="20"/>
        </w:rPr>
        <w:t>Ana, please provide brands for the PAR meter and light setup.</w:t>
      </w:r>
    </w:p>
  </w:comment>
  <w:comment w:id="4" w:author="Luka Wright" w:date="2026-03-18T12:00:00Z" w:initials="LW">
    <w:p w14:paraId="13F9E2AD" w14:textId="77777777" w:rsidR="004B30BC" w:rsidRDefault="004B30BC" w:rsidP="00E02AD9">
      <w:r>
        <w:rPr>
          <w:rStyle w:val="CommentReference"/>
        </w:rPr>
        <w:annotationRef/>
      </w:r>
      <w:r>
        <w:rPr>
          <w:sz w:val="20"/>
          <w:szCs w:val="20"/>
        </w:rPr>
        <w:t>Ana, is this correct?</w:t>
      </w:r>
    </w:p>
  </w:comment>
  <w:comment w:id="5" w:author="Luka Wright" w:date="2026-03-18T12:00:00Z" w:initials="LW">
    <w:p w14:paraId="7479B8BF" w14:textId="77777777" w:rsidR="004B30BC" w:rsidRDefault="004B30BC" w:rsidP="00E02AD9">
      <w:r>
        <w:rPr>
          <w:rStyle w:val="CommentReference"/>
        </w:rPr>
        <w:annotationRef/>
      </w:r>
      <w:r>
        <w:rPr>
          <w:sz w:val="20"/>
          <w:szCs w:val="20"/>
        </w:rPr>
        <w:t>What brand?</w:t>
      </w:r>
    </w:p>
  </w:comment>
  <w:comment w:id="6" w:author="Luka Wright" w:date="2026-03-18T19:40:00Z" w:initials="LW">
    <w:p w14:paraId="7CB17689" w14:textId="77777777" w:rsidR="004B30BC" w:rsidRDefault="004B30BC" w:rsidP="00C35C70">
      <w:r>
        <w:rPr>
          <w:rStyle w:val="CommentReference"/>
        </w:rPr>
        <w:annotationRef/>
      </w:r>
      <w:r>
        <w:rPr>
          <w:sz w:val="20"/>
          <w:szCs w:val="20"/>
        </w:rPr>
        <w:t>Greg, perhaps you could jot down some technical details that I am unlikely to know</w:t>
      </w:r>
    </w:p>
  </w:comment>
  <w:comment w:id="7" w:author="Luka Wright" w:date="2026-03-18T21:47:00Z" w:initials="LW">
    <w:p w14:paraId="3F1D6F6A" w14:textId="77777777" w:rsidR="004B30BC" w:rsidRDefault="004B30BC" w:rsidP="00D37634">
      <w:r>
        <w:rPr>
          <w:rStyle w:val="CommentReference"/>
        </w:rPr>
        <w:annotationRef/>
      </w:r>
      <w:r>
        <w:rPr>
          <w:sz w:val="20"/>
          <w:szCs w:val="20"/>
        </w:rPr>
        <w:t>Please put forward key points</w:t>
      </w:r>
    </w:p>
  </w:comment>
  <w:comment w:id="8" w:author="Luka Wright" w:date="2026-03-18T16:16:00Z" w:initials="LW">
    <w:p w14:paraId="674802E8" w14:textId="77777777" w:rsidR="004B30BC" w:rsidRDefault="004B30BC" w:rsidP="00B7178B">
      <w:r>
        <w:rPr>
          <w:rStyle w:val="CommentReference"/>
        </w:rPr>
        <w:annotationRef/>
      </w:r>
      <w:r>
        <w:rPr>
          <w:sz w:val="20"/>
          <w:szCs w:val="20"/>
        </w:rPr>
        <w:t>Please let me know if I am missing anyone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C12BAB" w15:done="0"/>
  <w15:commentEx w15:paraId="36B5051B" w15:done="0"/>
  <w15:commentEx w15:paraId="5991A94F" w15:done="0"/>
  <w15:commentEx w15:paraId="441926FF" w15:done="0"/>
  <w15:commentEx w15:paraId="13F9E2AD" w15:done="0"/>
  <w15:commentEx w15:paraId="7479B8BF" w15:done="0"/>
  <w15:commentEx w15:paraId="7CB17689" w15:done="0"/>
  <w15:commentEx w15:paraId="3F1D6F6A" w15:done="0"/>
  <w15:commentEx w15:paraId="674802E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C12BAB" w16cid:durableId="11E938B7"/>
  <w16cid:commentId w16cid:paraId="36B5051B" w16cid:durableId="4A70CC36"/>
  <w16cid:commentId w16cid:paraId="5991A94F" w16cid:durableId="2E7E0FFC"/>
  <w16cid:commentId w16cid:paraId="441926FF" w16cid:durableId="44477C37"/>
  <w16cid:commentId w16cid:paraId="13F9E2AD" w16cid:durableId="351B47A9"/>
  <w16cid:commentId w16cid:paraId="7479B8BF" w16cid:durableId="332B1FBE"/>
  <w16cid:commentId w16cid:paraId="7CB17689" w16cid:durableId="2CEA95FC"/>
  <w16cid:commentId w16cid:paraId="3F1D6F6A" w16cid:durableId="32B25387"/>
  <w16cid:commentId w16cid:paraId="674802E8" w16cid:durableId="3E572E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FEBBF" w14:textId="77777777" w:rsidR="00D10AEF" w:rsidRDefault="00D10AEF" w:rsidP="00546239">
      <w:r>
        <w:separator/>
      </w:r>
    </w:p>
  </w:endnote>
  <w:endnote w:type="continuationSeparator" w:id="0">
    <w:p w14:paraId="544D17C4" w14:textId="77777777" w:rsidR="00D10AEF" w:rsidRDefault="00D10AEF" w:rsidP="00546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9821823"/>
      <w:docPartObj>
        <w:docPartGallery w:val="Page Numbers (Bottom of Page)"/>
        <w:docPartUnique/>
      </w:docPartObj>
    </w:sdtPr>
    <w:sdtContent>
      <w:p w14:paraId="0FBBBC24" w14:textId="586BEDC6" w:rsidR="00546239" w:rsidRDefault="00546239" w:rsidP="00C27F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6620253" w14:textId="77777777" w:rsidR="00546239" w:rsidRDefault="00546239" w:rsidP="005462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417484593"/>
      <w:docPartObj>
        <w:docPartGallery w:val="Page Numbers (Bottom of Page)"/>
        <w:docPartUnique/>
      </w:docPartObj>
    </w:sdtPr>
    <w:sdtContent>
      <w:p w14:paraId="494A4FE2" w14:textId="3525779E" w:rsidR="00546239" w:rsidRPr="00546239" w:rsidRDefault="00546239" w:rsidP="00C27F73">
        <w:pPr>
          <w:pStyle w:val="Footer"/>
          <w:framePr w:wrap="none" w:vAnchor="text" w:hAnchor="margin" w:xAlign="right" w:y="1"/>
          <w:rPr>
            <w:rStyle w:val="PageNumber"/>
            <w:rFonts w:ascii="Times New Roman" w:hAnsi="Times New Roman" w:cs="Times New Roman"/>
          </w:rPr>
        </w:pPr>
        <w:r w:rsidRPr="00546239">
          <w:rPr>
            <w:rStyle w:val="PageNumber"/>
            <w:rFonts w:ascii="Times New Roman" w:hAnsi="Times New Roman" w:cs="Times New Roman"/>
          </w:rPr>
          <w:fldChar w:fldCharType="begin"/>
        </w:r>
        <w:r w:rsidRPr="00546239">
          <w:rPr>
            <w:rStyle w:val="PageNumber"/>
            <w:rFonts w:ascii="Times New Roman" w:hAnsi="Times New Roman" w:cs="Times New Roman"/>
          </w:rPr>
          <w:instrText xml:space="preserve"> PAGE </w:instrText>
        </w:r>
        <w:r w:rsidRPr="00546239">
          <w:rPr>
            <w:rStyle w:val="PageNumber"/>
            <w:rFonts w:ascii="Times New Roman" w:hAnsi="Times New Roman" w:cs="Times New Roman"/>
          </w:rPr>
          <w:fldChar w:fldCharType="separate"/>
        </w:r>
        <w:r w:rsidRPr="00546239">
          <w:rPr>
            <w:rStyle w:val="PageNumber"/>
            <w:rFonts w:ascii="Times New Roman" w:hAnsi="Times New Roman" w:cs="Times New Roman"/>
            <w:noProof/>
          </w:rPr>
          <w:t>2</w:t>
        </w:r>
        <w:r w:rsidRPr="00546239">
          <w:rPr>
            <w:rStyle w:val="PageNumber"/>
            <w:rFonts w:ascii="Times New Roman" w:hAnsi="Times New Roman" w:cs="Times New Roman"/>
          </w:rPr>
          <w:fldChar w:fldCharType="end"/>
        </w:r>
      </w:p>
    </w:sdtContent>
  </w:sdt>
  <w:p w14:paraId="50557C91" w14:textId="77777777" w:rsidR="00546239" w:rsidRDefault="00546239" w:rsidP="0054623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73448" w14:textId="77777777" w:rsidR="00D10AEF" w:rsidRDefault="00D10AEF" w:rsidP="00546239">
      <w:r>
        <w:separator/>
      </w:r>
    </w:p>
  </w:footnote>
  <w:footnote w:type="continuationSeparator" w:id="0">
    <w:p w14:paraId="5053C79D" w14:textId="77777777" w:rsidR="00D10AEF" w:rsidRDefault="00D10AEF" w:rsidP="00546239">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ka Wright">
    <w15:presenceInfo w15:providerId="AD" w15:userId="S::23609731@student.uwa.edu.au::8799cdbb-bfc1-4327-80de-fa68a594c6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F7B"/>
    <w:rsid w:val="0000314B"/>
    <w:rsid w:val="0000571D"/>
    <w:rsid w:val="00007302"/>
    <w:rsid w:val="00012B7E"/>
    <w:rsid w:val="00016644"/>
    <w:rsid w:val="000204C9"/>
    <w:rsid w:val="00024F80"/>
    <w:rsid w:val="00040A0D"/>
    <w:rsid w:val="00057423"/>
    <w:rsid w:val="00062491"/>
    <w:rsid w:val="00065A32"/>
    <w:rsid w:val="00067362"/>
    <w:rsid w:val="00067590"/>
    <w:rsid w:val="00072ACA"/>
    <w:rsid w:val="00077D7E"/>
    <w:rsid w:val="00083FA9"/>
    <w:rsid w:val="00087388"/>
    <w:rsid w:val="0008745D"/>
    <w:rsid w:val="00090241"/>
    <w:rsid w:val="000934CA"/>
    <w:rsid w:val="000937DC"/>
    <w:rsid w:val="000948FB"/>
    <w:rsid w:val="000B3605"/>
    <w:rsid w:val="000B3CF3"/>
    <w:rsid w:val="000B5171"/>
    <w:rsid w:val="000C0B75"/>
    <w:rsid w:val="000C13C1"/>
    <w:rsid w:val="000C2053"/>
    <w:rsid w:val="000C5B31"/>
    <w:rsid w:val="000C6A07"/>
    <w:rsid w:val="000D093B"/>
    <w:rsid w:val="000D5825"/>
    <w:rsid w:val="000D67D2"/>
    <w:rsid w:val="000F1895"/>
    <w:rsid w:val="000F4123"/>
    <w:rsid w:val="001014AF"/>
    <w:rsid w:val="00101EDF"/>
    <w:rsid w:val="001043E6"/>
    <w:rsid w:val="0010589F"/>
    <w:rsid w:val="00106880"/>
    <w:rsid w:val="00107EA5"/>
    <w:rsid w:val="00114125"/>
    <w:rsid w:val="00123FAE"/>
    <w:rsid w:val="001270CF"/>
    <w:rsid w:val="00137CD9"/>
    <w:rsid w:val="00152E28"/>
    <w:rsid w:val="00152E58"/>
    <w:rsid w:val="00153016"/>
    <w:rsid w:val="00160651"/>
    <w:rsid w:val="00163574"/>
    <w:rsid w:val="00170CBF"/>
    <w:rsid w:val="0017419D"/>
    <w:rsid w:val="0017481D"/>
    <w:rsid w:val="00175F34"/>
    <w:rsid w:val="001809FC"/>
    <w:rsid w:val="0018313B"/>
    <w:rsid w:val="0018789A"/>
    <w:rsid w:val="00196D66"/>
    <w:rsid w:val="00197E58"/>
    <w:rsid w:val="001A0435"/>
    <w:rsid w:val="001A089A"/>
    <w:rsid w:val="001A0FDF"/>
    <w:rsid w:val="001A3622"/>
    <w:rsid w:val="001A4DA0"/>
    <w:rsid w:val="001A61E1"/>
    <w:rsid w:val="001B040F"/>
    <w:rsid w:val="001B41F7"/>
    <w:rsid w:val="001C0C70"/>
    <w:rsid w:val="001C1838"/>
    <w:rsid w:val="001C2AA4"/>
    <w:rsid w:val="001C6DB3"/>
    <w:rsid w:val="001E0EA5"/>
    <w:rsid w:val="001E25C6"/>
    <w:rsid w:val="001E4668"/>
    <w:rsid w:val="001F15F9"/>
    <w:rsid w:val="001F3C73"/>
    <w:rsid w:val="001F5BB4"/>
    <w:rsid w:val="00201801"/>
    <w:rsid w:val="00202C81"/>
    <w:rsid w:val="002120A0"/>
    <w:rsid w:val="002141F5"/>
    <w:rsid w:val="0021793C"/>
    <w:rsid w:val="00217FE3"/>
    <w:rsid w:val="00222865"/>
    <w:rsid w:val="002231DA"/>
    <w:rsid w:val="00226E45"/>
    <w:rsid w:val="00235C8A"/>
    <w:rsid w:val="00242E08"/>
    <w:rsid w:val="00247CEC"/>
    <w:rsid w:val="00256DE8"/>
    <w:rsid w:val="00257854"/>
    <w:rsid w:val="0026540F"/>
    <w:rsid w:val="002662E9"/>
    <w:rsid w:val="00290275"/>
    <w:rsid w:val="0029587E"/>
    <w:rsid w:val="002B3A4A"/>
    <w:rsid w:val="002B72D9"/>
    <w:rsid w:val="002C3F8E"/>
    <w:rsid w:val="002C5337"/>
    <w:rsid w:val="002C6A00"/>
    <w:rsid w:val="002D2C5B"/>
    <w:rsid w:val="002D6A4A"/>
    <w:rsid w:val="00300D28"/>
    <w:rsid w:val="00304F0E"/>
    <w:rsid w:val="0030749F"/>
    <w:rsid w:val="00313A1B"/>
    <w:rsid w:val="00314A9B"/>
    <w:rsid w:val="0032180D"/>
    <w:rsid w:val="00324DF5"/>
    <w:rsid w:val="00324FE1"/>
    <w:rsid w:val="00327E2B"/>
    <w:rsid w:val="00330D2D"/>
    <w:rsid w:val="003376AF"/>
    <w:rsid w:val="003434B8"/>
    <w:rsid w:val="00351FD8"/>
    <w:rsid w:val="00353162"/>
    <w:rsid w:val="0035349A"/>
    <w:rsid w:val="0036430E"/>
    <w:rsid w:val="00364CFC"/>
    <w:rsid w:val="00364D2E"/>
    <w:rsid w:val="003721BB"/>
    <w:rsid w:val="003737B1"/>
    <w:rsid w:val="00375624"/>
    <w:rsid w:val="00381AB3"/>
    <w:rsid w:val="00382B6C"/>
    <w:rsid w:val="00382E8E"/>
    <w:rsid w:val="003915D2"/>
    <w:rsid w:val="003957F5"/>
    <w:rsid w:val="003976C2"/>
    <w:rsid w:val="00397D54"/>
    <w:rsid w:val="003A34F1"/>
    <w:rsid w:val="003A36DB"/>
    <w:rsid w:val="003A6CC0"/>
    <w:rsid w:val="003B326A"/>
    <w:rsid w:val="003C21E0"/>
    <w:rsid w:val="003C6D4F"/>
    <w:rsid w:val="003D6538"/>
    <w:rsid w:val="003E15E4"/>
    <w:rsid w:val="003E3822"/>
    <w:rsid w:val="003F3302"/>
    <w:rsid w:val="00400805"/>
    <w:rsid w:val="00407B74"/>
    <w:rsid w:val="00407F45"/>
    <w:rsid w:val="00412189"/>
    <w:rsid w:val="00420D00"/>
    <w:rsid w:val="004217C6"/>
    <w:rsid w:val="0042372F"/>
    <w:rsid w:val="004245B4"/>
    <w:rsid w:val="004313BA"/>
    <w:rsid w:val="00434C94"/>
    <w:rsid w:val="00435592"/>
    <w:rsid w:val="00437847"/>
    <w:rsid w:val="00443306"/>
    <w:rsid w:val="00444735"/>
    <w:rsid w:val="004538C3"/>
    <w:rsid w:val="00466C29"/>
    <w:rsid w:val="00467A22"/>
    <w:rsid w:val="004740E7"/>
    <w:rsid w:val="00481CCE"/>
    <w:rsid w:val="00486D38"/>
    <w:rsid w:val="00486DAE"/>
    <w:rsid w:val="00491B37"/>
    <w:rsid w:val="00492C55"/>
    <w:rsid w:val="004A03BC"/>
    <w:rsid w:val="004A10A1"/>
    <w:rsid w:val="004A217D"/>
    <w:rsid w:val="004A31EA"/>
    <w:rsid w:val="004A31FC"/>
    <w:rsid w:val="004A7149"/>
    <w:rsid w:val="004B30BC"/>
    <w:rsid w:val="004B376C"/>
    <w:rsid w:val="004B7183"/>
    <w:rsid w:val="004B752A"/>
    <w:rsid w:val="004C0016"/>
    <w:rsid w:val="004C2B86"/>
    <w:rsid w:val="004C4B24"/>
    <w:rsid w:val="004C7C42"/>
    <w:rsid w:val="004D4023"/>
    <w:rsid w:val="004D5ADB"/>
    <w:rsid w:val="004E55BB"/>
    <w:rsid w:val="00506341"/>
    <w:rsid w:val="005072CA"/>
    <w:rsid w:val="00507F6D"/>
    <w:rsid w:val="0051138B"/>
    <w:rsid w:val="0051162C"/>
    <w:rsid w:val="005125DA"/>
    <w:rsid w:val="00521D36"/>
    <w:rsid w:val="005259E0"/>
    <w:rsid w:val="00525E60"/>
    <w:rsid w:val="00546239"/>
    <w:rsid w:val="00546F35"/>
    <w:rsid w:val="00551507"/>
    <w:rsid w:val="005518CE"/>
    <w:rsid w:val="005521BD"/>
    <w:rsid w:val="00573715"/>
    <w:rsid w:val="00574533"/>
    <w:rsid w:val="00577753"/>
    <w:rsid w:val="00583019"/>
    <w:rsid w:val="00583E39"/>
    <w:rsid w:val="0058560B"/>
    <w:rsid w:val="0059387B"/>
    <w:rsid w:val="005A3279"/>
    <w:rsid w:val="005A752D"/>
    <w:rsid w:val="005B2C4B"/>
    <w:rsid w:val="005B42EA"/>
    <w:rsid w:val="005B4C55"/>
    <w:rsid w:val="005B5B6E"/>
    <w:rsid w:val="005B7A3C"/>
    <w:rsid w:val="005C5FEA"/>
    <w:rsid w:val="005D0FB5"/>
    <w:rsid w:val="005D3764"/>
    <w:rsid w:val="005D53DB"/>
    <w:rsid w:val="005D5605"/>
    <w:rsid w:val="005E00AB"/>
    <w:rsid w:val="005E41E8"/>
    <w:rsid w:val="005E6078"/>
    <w:rsid w:val="005F01C5"/>
    <w:rsid w:val="005F0449"/>
    <w:rsid w:val="005F076D"/>
    <w:rsid w:val="005F28C8"/>
    <w:rsid w:val="005F6A9D"/>
    <w:rsid w:val="005F7157"/>
    <w:rsid w:val="006020BB"/>
    <w:rsid w:val="00602B69"/>
    <w:rsid w:val="006073F9"/>
    <w:rsid w:val="00611624"/>
    <w:rsid w:val="00614427"/>
    <w:rsid w:val="00614E31"/>
    <w:rsid w:val="006159F2"/>
    <w:rsid w:val="00616088"/>
    <w:rsid w:val="00616F51"/>
    <w:rsid w:val="0061719E"/>
    <w:rsid w:val="0062107D"/>
    <w:rsid w:val="00622199"/>
    <w:rsid w:val="006221A6"/>
    <w:rsid w:val="006239C7"/>
    <w:rsid w:val="00623A28"/>
    <w:rsid w:val="00640854"/>
    <w:rsid w:val="0064297D"/>
    <w:rsid w:val="00645317"/>
    <w:rsid w:val="00650DDA"/>
    <w:rsid w:val="00655EBC"/>
    <w:rsid w:val="00662883"/>
    <w:rsid w:val="00670E17"/>
    <w:rsid w:val="00674C8D"/>
    <w:rsid w:val="00685DAD"/>
    <w:rsid w:val="00693A23"/>
    <w:rsid w:val="00693D69"/>
    <w:rsid w:val="00697C63"/>
    <w:rsid w:val="006A2BF5"/>
    <w:rsid w:val="006B27F1"/>
    <w:rsid w:val="006B5885"/>
    <w:rsid w:val="006C0238"/>
    <w:rsid w:val="006D3022"/>
    <w:rsid w:val="006D3EEC"/>
    <w:rsid w:val="006E37B9"/>
    <w:rsid w:val="006E54CA"/>
    <w:rsid w:val="006E5FB1"/>
    <w:rsid w:val="006E683A"/>
    <w:rsid w:val="007032FB"/>
    <w:rsid w:val="00706A4F"/>
    <w:rsid w:val="00714991"/>
    <w:rsid w:val="007171C5"/>
    <w:rsid w:val="00720B26"/>
    <w:rsid w:val="00722C0E"/>
    <w:rsid w:val="00724B27"/>
    <w:rsid w:val="00727274"/>
    <w:rsid w:val="00727DEC"/>
    <w:rsid w:val="007414C0"/>
    <w:rsid w:val="00741526"/>
    <w:rsid w:val="00742B52"/>
    <w:rsid w:val="007441B2"/>
    <w:rsid w:val="00744330"/>
    <w:rsid w:val="00746C38"/>
    <w:rsid w:val="00760FAE"/>
    <w:rsid w:val="00761973"/>
    <w:rsid w:val="0076212E"/>
    <w:rsid w:val="0076418C"/>
    <w:rsid w:val="007674A1"/>
    <w:rsid w:val="00773A82"/>
    <w:rsid w:val="00773C52"/>
    <w:rsid w:val="00776882"/>
    <w:rsid w:val="00777451"/>
    <w:rsid w:val="007779B6"/>
    <w:rsid w:val="00781202"/>
    <w:rsid w:val="00781A70"/>
    <w:rsid w:val="00784C91"/>
    <w:rsid w:val="00793C24"/>
    <w:rsid w:val="007A3153"/>
    <w:rsid w:val="007A4AC7"/>
    <w:rsid w:val="007A4BAC"/>
    <w:rsid w:val="007A7DD8"/>
    <w:rsid w:val="007B2C8D"/>
    <w:rsid w:val="007B5F07"/>
    <w:rsid w:val="007C3864"/>
    <w:rsid w:val="007C3907"/>
    <w:rsid w:val="007C7880"/>
    <w:rsid w:val="007D498E"/>
    <w:rsid w:val="007E081F"/>
    <w:rsid w:val="007E0D20"/>
    <w:rsid w:val="007E6263"/>
    <w:rsid w:val="007F6AB7"/>
    <w:rsid w:val="008018D4"/>
    <w:rsid w:val="00812B53"/>
    <w:rsid w:val="008144CC"/>
    <w:rsid w:val="00825F6F"/>
    <w:rsid w:val="00826254"/>
    <w:rsid w:val="008300D6"/>
    <w:rsid w:val="00831D84"/>
    <w:rsid w:val="00835BF8"/>
    <w:rsid w:val="00844485"/>
    <w:rsid w:val="00847645"/>
    <w:rsid w:val="0085156D"/>
    <w:rsid w:val="00851683"/>
    <w:rsid w:val="00852D0B"/>
    <w:rsid w:val="008579B8"/>
    <w:rsid w:val="0086596B"/>
    <w:rsid w:val="008709FB"/>
    <w:rsid w:val="00872BFD"/>
    <w:rsid w:val="00873DAE"/>
    <w:rsid w:val="008740F6"/>
    <w:rsid w:val="00874263"/>
    <w:rsid w:val="00874E46"/>
    <w:rsid w:val="00875E59"/>
    <w:rsid w:val="00877C2D"/>
    <w:rsid w:val="00883EAD"/>
    <w:rsid w:val="00895355"/>
    <w:rsid w:val="008A03AF"/>
    <w:rsid w:val="008A6B58"/>
    <w:rsid w:val="008B186F"/>
    <w:rsid w:val="008B762B"/>
    <w:rsid w:val="008E24BE"/>
    <w:rsid w:val="008E4092"/>
    <w:rsid w:val="008E7235"/>
    <w:rsid w:val="008E7915"/>
    <w:rsid w:val="008F5160"/>
    <w:rsid w:val="008F541C"/>
    <w:rsid w:val="008F6F13"/>
    <w:rsid w:val="0090079E"/>
    <w:rsid w:val="009139FF"/>
    <w:rsid w:val="009143DA"/>
    <w:rsid w:val="00931B10"/>
    <w:rsid w:val="00931F35"/>
    <w:rsid w:val="009408EA"/>
    <w:rsid w:val="0094210F"/>
    <w:rsid w:val="00946537"/>
    <w:rsid w:val="00946984"/>
    <w:rsid w:val="00954E87"/>
    <w:rsid w:val="0095799A"/>
    <w:rsid w:val="00964B14"/>
    <w:rsid w:val="009713ED"/>
    <w:rsid w:val="00971F39"/>
    <w:rsid w:val="00972769"/>
    <w:rsid w:val="009729FB"/>
    <w:rsid w:val="0097321D"/>
    <w:rsid w:val="009775D4"/>
    <w:rsid w:val="0098061E"/>
    <w:rsid w:val="0098332A"/>
    <w:rsid w:val="00986D1C"/>
    <w:rsid w:val="00990EF0"/>
    <w:rsid w:val="00991F0C"/>
    <w:rsid w:val="0099493D"/>
    <w:rsid w:val="009A735D"/>
    <w:rsid w:val="009B197E"/>
    <w:rsid w:val="009B42FC"/>
    <w:rsid w:val="009B4C9D"/>
    <w:rsid w:val="009B6152"/>
    <w:rsid w:val="009C018D"/>
    <w:rsid w:val="009C0AE1"/>
    <w:rsid w:val="009C662C"/>
    <w:rsid w:val="009C6825"/>
    <w:rsid w:val="009D3CFB"/>
    <w:rsid w:val="009D7035"/>
    <w:rsid w:val="009E438D"/>
    <w:rsid w:val="009E487A"/>
    <w:rsid w:val="009E6711"/>
    <w:rsid w:val="009F4707"/>
    <w:rsid w:val="009F615A"/>
    <w:rsid w:val="00A10016"/>
    <w:rsid w:val="00A123D7"/>
    <w:rsid w:val="00A2175D"/>
    <w:rsid w:val="00A2204B"/>
    <w:rsid w:val="00A25295"/>
    <w:rsid w:val="00A30E52"/>
    <w:rsid w:val="00A3255B"/>
    <w:rsid w:val="00A33F88"/>
    <w:rsid w:val="00A44CEB"/>
    <w:rsid w:val="00A44D95"/>
    <w:rsid w:val="00A51773"/>
    <w:rsid w:val="00A5443C"/>
    <w:rsid w:val="00A61AB7"/>
    <w:rsid w:val="00A67E5C"/>
    <w:rsid w:val="00A72BE3"/>
    <w:rsid w:val="00A72FDC"/>
    <w:rsid w:val="00A76B82"/>
    <w:rsid w:val="00A856AB"/>
    <w:rsid w:val="00A90977"/>
    <w:rsid w:val="00A92E44"/>
    <w:rsid w:val="00A93F0A"/>
    <w:rsid w:val="00AB42A2"/>
    <w:rsid w:val="00AB4337"/>
    <w:rsid w:val="00AC1089"/>
    <w:rsid w:val="00AC1C30"/>
    <w:rsid w:val="00AC4E5C"/>
    <w:rsid w:val="00AC5B10"/>
    <w:rsid w:val="00AC6F91"/>
    <w:rsid w:val="00AD2221"/>
    <w:rsid w:val="00AD3F8A"/>
    <w:rsid w:val="00AD4DD2"/>
    <w:rsid w:val="00AD5F7B"/>
    <w:rsid w:val="00AE68DC"/>
    <w:rsid w:val="00AF2B3E"/>
    <w:rsid w:val="00AF5B03"/>
    <w:rsid w:val="00B01C8D"/>
    <w:rsid w:val="00B13435"/>
    <w:rsid w:val="00B174DD"/>
    <w:rsid w:val="00B25EC1"/>
    <w:rsid w:val="00B31838"/>
    <w:rsid w:val="00B31B53"/>
    <w:rsid w:val="00B32F95"/>
    <w:rsid w:val="00B35953"/>
    <w:rsid w:val="00B45875"/>
    <w:rsid w:val="00B654AD"/>
    <w:rsid w:val="00B700B9"/>
    <w:rsid w:val="00B70DBB"/>
    <w:rsid w:val="00B7178B"/>
    <w:rsid w:val="00B80A6E"/>
    <w:rsid w:val="00B90D40"/>
    <w:rsid w:val="00B94D3A"/>
    <w:rsid w:val="00BA2383"/>
    <w:rsid w:val="00BB2944"/>
    <w:rsid w:val="00BB3A81"/>
    <w:rsid w:val="00BB4DB2"/>
    <w:rsid w:val="00BB5BD6"/>
    <w:rsid w:val="00BB798D"/>
    <w:rsid w:val="00BD2392"/>
    <w:rsid w:val="00BD6E58"/>
    <w:rsid w:val="00BE32F1"/>
    <w:rsid w:val="00C01687"/>
    <w:rsid w:val="00C028EB"/>
    <w:rsid w:val="00C1302E"/>
    <w:rsid w:val="00C1539D"/>
    <w:rsid w:val="00C16D1F"/>
    <w:rsid w:val="00C23F25"/>
    <w:rsid w:val="00C271EB"/>
    <w:rsid w:val="00C35447"/>
    <w:rsid w:val="00C35C70"/>
    <w:rsid w:val="00C40576"/>
    <w:rsid w:val="00C41ED4"/>
    <w:rsid w:val="00C42374"/>
    <w:rsid w:val="00C42B8B"/>
    <w:rsid w:val="00C45D02"/>
    <w:rsid w:val="00C4721C"/>
    <w:rsid w:val="00C54349"/>
    <w:rsid w:val="00C72704"/>
    <w:rsid w:val="00C915A4"/>
    <w:rsid w:val="00C92E7E"/>
    <w:rsid w:val="00C97726"/>
    <w:rsid w:val="00CA37D8"/>
    <w:rsid w:val="00CB349E"/>
    <w:rsid w:val="00CC1EDC"/>
    <w:rsid w:val="00CC20F8"/>
    <w:rsid w:val="00CC323C"/>
    <w:rsid w:val="00CD5934"/>
    <w:rsid w:val="00CD7E97"/>
    <w:rsid w:val="00CE2B05"/>
    <w:rsid w:val="00CE65DA"/>
    <w:rsid w:val="00CF3CBF"/>
    <w:rsid w:val="00D04705"/>
    <w:rsid w:val="00D04C28"/>
    <w:rsid w:val="00D10AEF"/>
    <w:rsid w:val="00D1119C"/>
    <w:rsid w:val="00D14F36"/>
    <w:rsid w:val="00D169BF"/>
    <w:rsid w:val="00D21230"/>
    <w:rsid w:val="00D22FB9"/>
    <w:rsid w:val="00D27327"/>
    <w:rsid w:val="00D27E1C"/>
    <w:rsid w:val="00D34209"/>
    <w:rsid w:val="00D34650"/>
    <w:rsid w:val="00D37634"/>
    <w:rsid w:val="00D43B5F"/>
    <w:rsid w:val="00D44C37"/>
    <w:rsid w:val="00D64FB5"/>
    <w:rsid w:val="00D7235A"/>
    <w:rsid w:val="00D72DDD"/>
    <w:rsid w:val="00D914A9"/>
    <w:rsid w:val="00D93351"/>
    <w:rsid w:val="00DA1AAC"/>
    <w:rsid w:val="00DA6463"/>
    <w:rsid w:val="00DB1779"/>
    <w:rsid w:val="00DB6FA7"/>
    <w:rsid w:val="00DC12C4"/>
    <w:rsid w:val="00DC1AB0"/>
    <w:rsid w:val="00DC2BEF"/>
    <w:rsid w:val="00DC2FED"/>
    <w:rsid w:val="00DC5E8E"/>
    <w:rsid w:val="00DC793B"/>
    <w:rsid w:val="00DD012B"/>
    <w:rsid w:val="00DD1213"/>
    <w:rsid w:val="00DE00FD"/>
    <w:rsid w:val="00DE43DA"/>
    <w:rsid w:val="00DE462B"/>
    <w:rsid w:val="00DE70DF"/>
    <w:rsid w:val="00DE717E"/>
    <w:rsid w:val="00DF06CE"/>
    <w:rsid w:val="00DF1380"/>
    <w:rsid w:val="00DF5680"/>
    <w:rsid w:val="00DF56F9"/>
    <w:rsid w:val="00E02475"/>
    <w:rsid w:val="00E02AD9"/>
    <w:rsid w:val="00E03921"/>
    <w:rsid w:val="00E0468C"/>
    <w:rsid w:val="00E050DB"/>
    <w:rsid w:val="00E06146"/>
    <w:rsid w:val="00E11DF8"/>
    <w:rsid w:val="00E131AC"/>
    <w:rsid w:val="00E21214"/>
    <w:rsid w:val="00E21962"/>
    <w:rsid w:val="00E231A7"/>
    <w:rsid w:val="00E23937"/>
    <w:rsid w:val="00E3420C"/>
    <w:rsid w:val="00E377F5"/>
    <w:rsid w:val="00E45F4B"/>
    <w:rsid w:val="00E55532"/>
    <w:rsid w:val="00E57357"/>
    <w:rsid w:val="00E625EF"/>
    <w:rsid w:val="00E663AB"/>
    <w:rsid w:val="00E67D11"/>
    <w:rsid w:val="00E84D48"/>
    <w:rsid w:val="00E948A0"/>
    <w:rsid w:val="00E95B3C"/>
    <w:rsid w:val="00EA729C"/>
    <w:rsid w:val="00EB2AFA"/>
    <w:rsid w:val="00EB5A26"/>
    <w:rsid w:val="00EC4CBA"/>
    <w:rsid w:val="00EC5346"/>
    <w:rsid w:val="00EC63D0"/>
    <w:rsid w:val="00EC6E5D"/>
    <w:rsid w:val="00ED0289"/>
    <w:rsid w:val="00ED254D"/>
    <w:rsid w:val="00ED2A6D"/>
    <w:rsid w:val="00EF47CF"/>
    <w:rsid w:val="00F00122"/>
    <w:rsid w:val="00F22393"/>
    <w:rsid w:val="00F23CE8"/>
    <w:rsid w:val="00F25278"/>
    <w:rsid w:val="00F25836"/>
    <w:rsid w:val="00F25B48"/>
    <w:rsid w:val="00F275A2"/>
    <w:rsid w:val="00F30BA9"/>
    <w:rsid w:val="00F30DB4"/>
    <w:rsid w:val="00F3470D"/>
    <w:rsid w:val="00F35153"/>
    <w:rsid w:val="00F4042C"/>
    <w:rsid w:val="00F412B0"/>
    <w:rsid w:val="00F41784"/>
    <w:rsid w:val="00F41ECA"/>
    <w:rsid w:val="00F42FFD"/>
    <w:rsid w:val="00F5071F"/>
    <w:rsid w:val="00F50C52"/>
    <w:rsid w:val="00F51867"/>
    <w:rsid w:val="00F530BE"/>
    <w:rsid w:val="00F56489"/>
    <w:rsid w:val="00F56517"/>
    <w:rsid w:val="00F602FC"/>
    <w:rsid w:val="00F6153C"/>
    <w:rsid w:val="00F76A31"/>
    <w:rsid w:val="00F82D6E"/>
    <w:rsid w:val="00F84FF2"/>
    <w:rsid w:val="00F90D3D"/>
    <w:rsid w:val="00F96DD2"/>
    <w:rsid w:val="00F97BA6"/>
    <w:rsid w:val="00F97D25"/>
    <w:rsid w:val="00FB7653"/>
    <w:rsid w:val="00FC0983"/>
    <w:rsid w:val="00FD1A47"/>
    <w:rsid w:val="00FD50D2"/>
    <w:rsid w:val="00FD7ACA"/>
    <w:rsid w:val="00FD7EDF"/>
    <w:rsid w:val="00FE35CA"/>
    <w:rsid w:val="00FF4230"/>
    <w:rsid w:val="00FF5C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697BE"/>
  <w15:chartTrackingRefBased/>
  <w15:docId w15:val="{1FCFC3CC-5D1E-6F41-B15B-1571605CA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337"/>
    <w:pPr>
      <w:spacing w:after="0" w:line="240" w:lineRule="auto"/>
    </w:pPr>
    <w:rPr>
      <w:rFonts w:ascii="Times New Roman" w:eastAsia="Times New Roman" w:hAnsi="Times New Roman" w:cs="Times New Roman"/>
      <w:kern w:val="0"/>
      <w:lang w:eastAsia="en-GB"/>
    </w:rPr>
  </w:style>
  <w:style w:type="paragraph" w:styleId="Heading1">
    <w:name w:val="heading 1"/>
    <w:basedOn w:val="Normal"/>
    <w:next w:val="Normal"/>
    <w:link w:val="Heading1Char"/>
    <w:uiPriority w:val="9"/>
    <w:qFormat/>
    <w:rsid w:val="00AD5F7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rPr>
  </w:style>
  <w:style w:type="paragraph" w:styleId="Heading2">
    <w:name w:val="heading 2"/>
    <w:basedOn w:val="Normal"/>
    <w:next w:val="Normal"/>
    <w:link w:val="Heading2Char"/>
    <w:uiPriority w:val="9"/>
    <w:unhideWhenUsed/>
    <w:qFormat/>
    <w:rsid w:val="00AD5F7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rPr>
  </w:style>
  <w:style w:type="paragraph" w:styleId="Heading3">
    <w:name w:val="heading 3"/>
    <w:basedOn w:val="Normal"/>
    <w:next w:val="Normal"/>
    <w:link w:val="Heading3Char"/>
    <w:uiPriority w:val="9"/>
    <w:semiHidden/>
    <w:unhideWhenUsed/>
    <w:qFormat/>
    <w:rsid w:val="00AD5F7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rPr>
  </w:style>
  <w:style w:type="paragraph" w:styleId="Heading4">
    <w:name w:val="heading 4"/>
    <w:basedOn w:val="Normal"/>
    <w:next w:val="Normal"/>
    <w:link w:val="Heading4Char"/>
    <w:uiPriority w:val="9"/>
    <w:semiHidden/>
    <w:unhideWhenUsed/>
    <w:qFormat/>
    <w:rsid w:val="00AD5F7B"/>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rPr>
  </w:style>
  <w:style w:type="paragraph" w:styleId="Heading5">
    <w:name w:val="heading 5"/>
    <w:basedOn w:val="Normal"/>
    <w:next w:val="Normal"/>
    <w:link w:val="Heading5Char"/>
    <w:uiPriority w:val="9"/>
    <w:semiHidden/>
    <w:unhideWhenUsed/>
    <w:qFormat/>
    <w:rsid w:val="00AD5F7B"/>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rPr>
  </w:style>
  <w:style w:type="paragraph" w:styleId="Heading6">
    <w:name w:val="heading 6"/>
    <w:basedOn w:val="Normal"/>
    <w:next w:val="Normal"/>
    <w:link w:val="Heading6Char"/>
    <w:uiPriority w:val="9"/>
    <w:semiHidden/>
    <w:unhideWhenUsed/>
    <w:qFormat/>
    <w:rsid w:val="00AD5F7B"/>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rPr>
  </w:style>
  <w:style w:type="paragraph" w:styleId="Heading7">
    <w:name w:val="heading 7"/>
    <w:basedOn w:val="Normal"/>
    <w:next w:val="Normal"/>
    <w:link w:val="Heading7Char"/>
    <w:uiPriority w:val="9"/>
    <w:semiHidden/>
    <w:unhideWhenUsed/>
    <w:qFormat/>
    <w:rsid w:val="00AD5F7B"/>
    <w:pPr>
      <w:keepNext/>
      <w:keepLines/>
      <w:spacing w:before="40" w:line="278" w:lineRule="auto"/>
      <w:outlineLvl w:val="6"/>
    </w:pPr>
    <w:rPr>
      <w:rFonts w:asciiTheme="minorHAnsi" w:eastAsiaTheme="majorEastAsia" w:hAnsiTheme="minorHAnsi" w:cstheme="majorBidi"/>
      <w:color w:val="595959" w:themeColor="text1" w:themeTint="A6"/>
      <w:kern w:val="2"/>
      <w:lang w:eastAsia="en-US"/>
    </w:rPr>
  </w:style>
  <w:style w:type="paragraph" w:styleId="Heading8">
    <w:name w:val="heading 8"/>
    <w:basedOn w:val="Normal"/>
    <w:next w:val="Normal"/>
    <w:link w:val="Heading8Char"/>
    <w:uiPriority w:val="9"/>
    <w:semiHidden/>
    <w:unhideWhenUsed/>
    <w:qFormat/>
    <w:rsid w:val="00AD5F7B"/>
    <w:pPr>
      <w:keepNext/>
      <w:keepLines/>
      <w:spacing w:line="278" w:lineRule="auto"/>
      <w:outlineLvl w:val="7"/>
    </w:pPr>
    <w:rPr>
      <w:rFonts w:asciiTheme="minorHAnsi" w:eastAsiaTheme="majorEastAsia" w:hAnsiTheme="minorHAnsi" w:cstheme="majorBidi"/>
      <w:i/>
      <w:iCs/>
      <w:color w:val="272727" w:themeColor="text1" w:themeTint="D8"/>
      <w:kern w:val="2"/>
      <w:lang w:eastAsia="en-US"/>
    </w:rPr>
  </w:style>
  <w:style w:type="paragraph" w:styleId="Heading9">
    <w:name w:val="heading 9"/>
    <w:basedOn w:val="Normal"/>
    <w:next w:val="Normal"/>
    <w:link w:val="Heading9Char"/>
    <w:uiPriority w:val="9"/>
    <w:semiHidden/>
    <w:unhideWhenUsed/>
    <w:qFormat/>
    <w:rsid w:val="00AD5F7B"/>
    <w:pPr>
      <w:keepNext/>
      <w:keepLines/>
      <w:spacing w:line="278" w:lineRule="auto"/>
      <w:outlineLvl w:val="8"/>
    </w:pPr>
    <w:rPr>
      <w:rFonts w:asciiTheme="minorHAnsi" w:eastAsiaTheme="majorEastAsia" w:hAnsiTheme="minorHAnsi" w:cstheme="majorBidi"/>
      <w:color w:val="272727" w:themeColor="text1" w:themeTint="D8"/>
      <w:kern w:val="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5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F7B"/>
    <w:rPr>
      <w:rFonts w:eastAsiaTheme="majorEastAsia" w:cstheme="majorBidi"/>
      <w:color w:val="272727" w:themeColor="text1" w:themeTint="D8"/>
    </w:rPr>
  </w:style>
  <w:style w:type="paragraph" w:styleId="Title">
    <w:name w:val="Title"/>
    <w:basedOn w:val="Normal"/>
    <w:next w:val="Normal"/>
    <w:link w:val="TitleChar"/>
    <w:uiPriority w:val="10"/>
    <w:qFormat/>
    <w:rsid w:val="00AD5F7B"/>
    <w:pPr>
      <w:spacing w:after="80"/>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AD5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F7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rPr>
  </w:style>
  <w:style w:type="character" w:customStyle="1" w:styleId="SubtitleChar">
    <w:name w:val="Subtitle Char"/>
    <w:basedOn w:val="DefaultParagraphFont"/>
    <w:link w:val="Subtitle"/>
    <w:uiPriority w:val="11"/>
    <w:rsid w:val="00AD5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F7B"/>
    <w:pPr>
      <w:spacing w:before="160" w:after="160" w:line="278" w:lineRule="auto"/>
      <w:jc w:val="center"/>
    </w:pPr>
    <w:rPr>
      <w:rFonts w:asciiTheme="minorHAnsi" w:eastAsiaTheme="minorHAnsi" w:hAnsiTheme="minorHAnsi" w:cstheme="minorBidi"/>
      <w:i/>
      <w:iCs/>
      <w:color w:val="404040" w:themeColor="text1" w:themeTint="BF"/>
      <w:kern w:val="2"/>
      <w:lang w:eastAsia="en-US"/>
    </w:rPr>
  </w:style>
  <w:style w:type="character" w:customStyle="1" w:styleId="QuoteChar">
    <w:name w:val="Quote Char"/>
    <w:basedOn w:val="DefaultParagraphFont"/>
    <w:link w:val="Quote"/>
    <w:uiPriority w:val="29"/>
    <w:rsid w:val="00AD5F7B"/>
    <w:rPr>
      <w:i/>
      <w:iCs/>
      <w:color w:val="404040" w:themeColor="text1" w:themeTint="BF"/>
    </w:rPr>
  </w:style>
  <w:style w:type="paragraph" w:styleId="ListParagraph">
    <w:name w:val="List Paragraph"/>
    <w:basedOn w:val="Normal"/>
    <w:uiPriority w:val="34"/>
    <w:qFormat/>
    <w:rsid w:val="00AD5F7B"/>
    <w:pPr>
      <w:spacing w:after="160" w:line="278" w:lineRule="auto"/>
      <w:ind w:left="720"/>
      <w:contextualSpacing/>
    </w:pPr>
    <w:rPr>
      <w:rFonts w:asciiTheme="minorHAnsi" w:eastAsiaTheme="minorHAnsi" w:hAnsiTheme="minorHAnsi" w:cstheme="minorBidi"/>
      <w:kern w:val="2"/>
      <w:lang w:eastAsia="en-US"/>
    </w:rPr>
  </w:style>
  <w:style w:type="character" w:styleId="IntenseEmphasis">
    <w:name w:val="Intense Emphasis"/>
    <w:basedOn w:val="DefaultParagraphFont"/>
    <w:uiPriority w:val="21"/>
    <w:qFormat/>
    <w:rsid w:val="00AD5F7B"/>
    <w:rPr>
      <w:i/>
      <w:iCs/>
      <w:color w:val="0F4761" w:themeColor="accent1" w:themeShade="BF"/>
    </w:rPr>
  </w:style>
  <w:style w:type="paragraph" w:styleId="IntenseQuote">
    <w:name w:val="Intense Quote"/>
    <w:basedOn w:val="Normal"/>
    <w:next w:val="Normal"/>
    <w:link w:val="IntenseQuoteChar"/>
    <w:uiPriority w:val="30"/>
    <w:qFormat/>
    <w:rsid w:val="00AD5F7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rPr>
  </w:style>
  <w:style w:type="character" w:customStyle="1" w:styleId="IntenseQuoteChar">
    <w:name w:val="Intense Quote Char"/>
    <w:basedOn w:val="DefaultParagraphFont"/>
    <w:link w:val="IntenseQuote"/>
    <w:uiPriority w:val="30"/>
    <w:rsid w:val="00AD5F7B"/>
    <w:rPr>
      <w:i/>
      <w:iCs/>
      <w:color w:val="0F4761" w:themeColor="accent1" w:themeShade="BF"/>
    </w:rPr>
  </w:style>
  <w:style w:type="character" w:styleId="IntenseReference">
    <w:name w:val="Intense Reference"/>
    <w:basedOn w:val="DefaultParagraphFont"/>
    <w:uiPriority w:val="32"/>
    <w:qFormat/>
    <w:rsid w:val="00AD5F7B"/>
    <w:rPr>
      <w:b/>
      <w:bCs/>
      <w:smallCaps/>
      <w:color w:val="0F4761" w:themeColor="accent1" w:themeShade="BF"/>
      <w:spacing w:val="5"/>
    </w:rPr>
  </w:style>
  <w:style w:type="table" w:styleId="TableGrid">
    <w:name w:val="Table Grid"/>
    <w:basedOn w:val="TableNormal"/>
    <w:uiPriority w:val="39"/>
    <w:rsid w:val="00873D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546239"/>
    <w:rPr>
      <w:rFonts w:ascii="Helvetica" w:hAnsi="Helvetica"/>
      <w:color w:val="141413"/>
      <w:sz w:val="15"/>
      <w:szCs w:val="15"/>
    </w:rPr>
  </w:style>
  <w:style w:type="paragraph" w:styleId="Header">
    <w:name w:val="header"/>
    <w:basedOn w:val="Normal"/>
    <w:link w:val="HeaderChar"/>
    <w:uiPriority w:val="99"/>
    <w:unhideWhenUsed/>
    <w:rsid w:val="00546239"/>
    <w:pPr>
      <w:tabs>
        <w:tab w:val="center" w:pos="4513"/>
        <w:tab w:val="right" w:pos="9026"/>
      </w:tabs>
    </w:pPr>
    <w:rPr>
      <w:rFonts w:asciiTheme="minorHAnsi" w:eastAsiaTheme="minorHAnsi" w:hAnsiTheme="minorHAnsi" w:cstheme="minorBidi"/>
      <w:kern w:val="2"/>
      <w:lang w:eastAsia="en-US"/>
    </w:rPr>
  </w:style>
  <w:style w:type="character" w:customStyle="1" w:styleId="HeaderChar">
    <w:name w:val="Header Char"/>
    <w:basedOn w:val="DefaultParagraphFont"/>
    <w:link w:val="Header"/>
    <w:uiPriority w:val="99"/>
    <w:rsid w:val="00546239"/>
  </w:style>
  <w:style w:type="paragraph" w:styleId="Footer">
    <w:name w:val="footer"/>
    <w:basedOn w:val="Normal"/>
    <w:link w:val="FooterChar"/>
    <w:uiPriority w:val="99"/>
    <w:unhideWhenUsed/>
    <w:rsid w:val="00546239"/>
    <w:pPr>
      <w:tabs>
        <w:tab w:val="center" w:pos="4513"/>
        <w:tab w:val="right" w:pos="9026"/>
      </w:tabs>
    </w:pPr>
    <w:rPr>
      <w:rFonts w:asciiTheme="minorHAnsi" w:eastAsiaTheme="minorHAnsi" w:hAnsiTheme="minorHAnsi" w:cstheme="minorBidi"/>
      <w:kern w:val="2"/>
      <w:lang w:eastAsia="en-US"/>
    </w:rPr>
  </w:style>
  <w:style w:type="character" w:customStyle="1" w:styleId="FooterChar">
    <w:name w:val="Footer Char"/>
    <w:basedOn w:val="DefaultParagraphFont"/>
    <w:link w:val="Footer"/>
    <w:uiPriority w:val="99"/>
    <w:rsid w:val="00546239"/>
  </w:style>
  <w:style w:type="character" w:styleId="PageNumber">
    <w:name w:val="page number"/>
    <w:basedOn w:val="DefaultParagraphFont"/>
    <w:uiPriority w:val="99"/>
    <w:semiHidden/>
    <w:unhideWhenUsed/>
    <w:rsid w:val="00546239"/>
  </w:style>
  <w:style w:type="character" w:styleId="CommentReference">
    <w:name w:val="annotation reference"/>
    <w:basedOn w:val="DefaultParagraphFont"/>
    <w:uiPriority w:val="99"/>
    <w:semiHidden/>
    <w:unhideWhenUsed/>
    <w:rsid w:val="005E41E8"/>
    <w:rPr>
      <w:sz w:val="16"/>
      <w:szCs w:val="16"/>
    </w:rPr>
  </w:style>
  <w:style w:type="paragraph" w:styleId="CommentText">
    <w:name w:val="annotation text"/>
    <w:basedOn w:val="Normal"/>
    <w:link w:val="CommentTextChar"/>
    <w:uiPriority w:val="99"/>
    <w:semiHidden/>
    <w:unhideWhenUsed/>
    <w:rsid w:val="005E41E8"/>
    <w:rPr>
      <w:sz w:val="20"/>
      <w:szCs w:val="20"/>
    </w:rPr>
  </w:style>
  <w:style w:type="character" w:customStyle="1" w:styleId="CommentTextChar">
    <w:name w:val="Comment Text Char"/>
    <w:basedOn w:val="DefaultParagraphFont"/>
    <w:link w:val="CommentText"/>
    <w:uiPriority w:val="99"/>
    <w:semiHidden/>
    <w:rsid w:val="005E41E8"/>
    <w:rPr>
      <w:rFonts w:ascii="Times New Roman" w:eastAsia="Times New Roman" w:hAnsi="Times New Roman" w:cs="Times New Roman"/>
      <w:kern w:val="0"/>
      <w:sz w:val="20"/>
      <w:szCs w:val="20"/>
      <w:lang w:eastAsia="en-GB"/>
    </w:rPr>
  </w:style>
  <w:style w:type="paragraph" w:styleId="CommentSubject">
    <w:name w:val="annotation subject"/>
    <w:basedOn w:val="CommentText"/>
    <w:next w:val="CommentText"/>
    <w:link w:val="CommentSubjectChar"/>
    <w:uiPriority w:val="99"/>
    <w:semiHidden/>
    <w:unhideWhenUsed/>
    <w:rsid w:val="005E41E8"/>
    <w:rPr>
      <w:b/>
      <w:bCs/>
    </w:rPr>
  </w:style>
  <w:style w:type="character" w:customStyle="1" w:styleId="CommentSubjectChar">
    <w:name w:val="Comment Subject Char"/>
    <w:basedOn w:val="CommentTextChar"/>
    <w:link w:val="CommentSubject"/>
    <w:uiPriority w:val="99"/>
    <w:semiHidden/>
    <w:rsid w:val="005E41E8"/>
    <w:rPr>
      <w:rFonts w:ascii="Times New Roman" w:eastAsia="Times New Roman" w:hAnsi="Times New Roman" w:cs="Times New Roman"/>
      <w:b/>
      <w:bCs/>
      <w:kern w:val="0"/>
      <w:sz w:val="20"/>
      <w:szCs w:val="20"/>
      <w:lang w:eastAsia="en-GB"/>
    </w:rPr>
  </w:style>
  <w:style w:type="character" w:styleId="PlaceholderText">
    <w:name w:val="Placeholder Text"/>
    <w:basedOn w:val="DefaultParagraphFont"/>
    <w:uiPriority w:val="99"/>
    <w:semiHidden/>
    <w:rsid w:val="00A92E44"/>
    <w:rPr>
      <w:color w:val="666666"/>
    </w:rPr>
  </w:style>
  <w:style w:type="character" w:styleId="Hyperlink">
    <w:name w:val="Hyperlink"/>
    <w:basedOn w:val="DefaultParagraphFont"/>
    <w:uiPriority w:val="99"/>
    <w:unhideWhenUsed/>
    <w:rsid w:val="001F15F9"/>
    <w:rPr>
      <w:color w:val="467886" w:themeColor="hyperlink"/>
      <w:u w:val="single"/>
    </w:rPr>
  </w:style>
  <w:style w:type="character" w:styleId="UnresolvedMention">
    <w:name w:val="Unresolved Mention"/>
    <w:basedOn w:val="DefaultParagraphFont"/>
    <w:uiPriority w:val="99"/>
    <w:semiHidden/>
    <w:unhideWhenUsed/>
    <w:rsid w:val="008A03AF"/>
    <w:rPr>
      <w:color w:val="605E5C"/>
      <w:shd w:val="clear" w:color="auto" w:fill="E1DFDD"/>
    </w:rPr>
  </w:style>
  <w:style w:type="character" w:customStyle="1" w:styleId="apple-converted-space">
    <w:name w:val="apple-converted-space"/>
    <w:basedOn w:val="DefaultParagraphFont"/>
    <w:rsid w:val="006221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5686-2393" TargetMode="External"/><Relationship Id="rId13" Type="http://schemas.microsoft.com/office/2011/relationships/commentsExtended" Target="commentsExtended.xml"/><Relationship Id="rId18" Type="http://schemas.openxmlformats.org/officeDocument/2006/relationships/hyperlink" Target="https://orcid.org/0000-0003-1185-9745" TargetMode="External"/><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image" Target="media/image2.emf"/><Relationship Id="rId7" Type="http://schemas.openxmlformats.org/officeDocument/2006/relationships/image" Target="media/image1.png"/><Relationship Id="rId12" Type="http://schemas.openxmlformats.org/officeDocument/2006/relationships/comments" Target="comments.xml"/><Relationship Id="rId17" Type="http://schemas.openxmlformats.org/officeDocument/2006/relationships/hyperlink" Target="https://orcid.org/0000-0002-7067-3177" TargetMode="External"/><Relationship Id="rId25" Type="http://schemas.openxmlformats.org/officeDocument/2006/relationships/hyperlink" Target="https://github.com/lukaseamus/kelp-burial" TargetMode="External"/><Relationship Id="rId2" Type="http://schemas.openxmlformats.org/officeDocument/2006/relationships/settings" Target="settings.xml"/><Relationship Id="rId16" Type="http://schemas.openxmlformats.org/officeDocument/2006/relationships/hyperlink" Target="https://orcid.org/0000-0002-5686-2393" TargetMode="External"/><Relationship Id="rId20" Type="http://schemas.openxmlformats.org/officeDocument/2006/relationships/hyperlink" Target="https://github.com/lukaseamus/kelp-burial" TargetMode="External"/><Relationship Id="rId29" Type="http://schemas.microsoft.com/office/2011/relationships/people" Target="people.xml"/><Relationship Id="rId1" Type="http://schemas.openxmlformats.org/officeDocument/2006/relationships/styles" Target="styles.xml"/><Relationship Id="rId6" Type="http://schemas.openxmlformats.org/officeDocument/2006/relationships/hyperlink" Target="https://orcid.org/0000-0002-1273-6256" TargetMode="External"/><Relationship Id="rId11" Type="http://schemas.openxmlformats.org/officeDocument/2006/relationships/hyperlink" Target="https://orcid.org/0000-0001-8413-6797" TargetMode="External"/><Relationship Id="rId24" Type="http://schemas.openxmlformats.org/officeDocument/2006/relationships/image" Target="media/image5.emf"/><Relationship Id="rId5" Type="http://schemas.openxmlformats.org/officeDocument/2006/relationships/endnotes" Target="endnotes.xml"/><Relationship Id="rId15" Type="http://schemas.openxmlformats.org/officeDocument/2006/relationships/hyperlink" Target="https://orcid.org/0000-0002-1273-6256" TargetMode="External"/><Relationship Id="rId23" Type="http://schemas.openxmlformats.org/officeDocument/2006/relationships/image" Target="media/image4.emf"/><Relationship Id="rId28" Type="http://schemas.openxmlformats.org/officeDocument/2006/relationships/fontTable" Target="fontTable.xml"/><Relationship Id="rId10" Type="http://schemas.openxmlformats.org/officeDocument/2006/relationships/hyperlink" Target="https://orcid.org/0000-0003-1185-9745" TargetMode="External"/><Relationship Id="rId19" Type="http://schemas.openxmlformats.org/officeDocument/2006/relationships/hyperlink" Target="https://orcid.org/0000-0001-8413-6797" TargetMode="External"/><Relationship Id="rId4" Type="http://schemas.openxmlformats.org/officeDocument/2006/relationships/footnotes" Target="footnotes.xml"/><Relationship Id="rId9" Type="http://schemas.openxmlformats.org/officeDocument/2006/relationships/hyperlink" Target="https://orcid.org/0000-0002-7067-3177" TargetMode="External"/><Relationship Id="rId14" Type="http://schemas.microsoft.com/office/2016/09/relationships/commentsIds" Target="commentsIds.xml"/><Relationship Id="rId22" Type="http://schemas.openxmlformats.org/officeDocument/2006/relationships/image" Target="media/image3.emf"/><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967</TotalTime>
  <Pages>23</Pages>
  <Words>10446</Words>
  <Characters>59546</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535</cp:revision>
  <dcterms:created xsi:type="dcterms:W3CDTF">2026-02-10T09:10:00Z</dcterms:created>
  <dcterms:modified xsi:type="dcterms:W3CDTF">2026-03-18T14:01:00Z</dcterms:modified>
</cp:coreProperties>
</file>