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reference</w:t>
            </w:r>
          </w:p>
        </w:tc>
        <w:tc>
          <w:p>
            <w:pPr>
              <w:pStyle w:val="Normal"/>
            </w:pPr>
            <w:r>
              <w:t>model</w:t>
            </w:r>
          </w:p>
        </w:tc>
        <w:tc>
          <w:p>
            <w:pPr>
              <w:pStyle w:val="Normal"/>
            </w:pPr>
            <w:r>
              <w:t>rhat</w:t>
            </w:r>
          </w:p>
        </w:tc>
        <w:tc>
          <w:p>
            <w:pPr>
              <w:pStyle w:val="Normal"/>
            </w:pPr>
            <w:r>
              <w:t>ess</w:t>
            </w:r>
          </w:p>
        </w:tc>
        <w:tc>
          <w:p>
            <w:pPr>
              <w:pStyle w:val="Normal"/>
            </w:pPr>
            <w:r>
              <w:t>elpd</w:t>
            </w:r>
          </w:p>
        </w:tc>
        <w:tc>
          <w:p>
            <w:pPr>
              <w:pStyle w:val="Normal"/>
            </w:pPr>
            <w:r>
              <w:t>diff</w:t>
            </w:r>
          </w:p>
        </w:tc>
        <w:tc>
          <w:p>
            <w:pPr>
              <w:pStyle w:val="Normal"/>
            </w:pPr>
            <w:r>
              <w:t>p</w:t>
            </w:r>
          </w:p>
        </w:tc>
      </w:tr>
      <w:tr>
        <w:tc>
          <w:p>
            <w:pPr>
              <w:pStyle w:val="Normal"/>
            </w:pPr>
            <w:r>
              <w:t>Frontier et al. 2022</w:t>
            </w:r>
          </w:p>
        </w:tc>
        <w:tc>
          <w:p>
            <w:pPr>
              <w:pStyle w:val="Normal"/>
            </w:pPr>
            <w:r>
              <w:t>relative</w:t>
            </w:r>
          </w:p>
        </w:tc>
        <w:tc>
          <w:p>
            <w:pPr>
              <w:pStyle w:val="Normal"/>
            </w:pPr>
            <w:r>
              <w:t>1 ± 0.00039</w:t>
            </w:r>
          </w:p>
        </w:tc>
        <w:tc>
          <w:p>
            <w:pPr>
              <w:pStyle w:val="Normal"/>
            </w:pPr>
            <w:r>
              <w:t>3481 ± 1682</w:t>
            </w:r>
          </w:p>
        </w:tc>
        <w:tc>
          <w:p>
            <w:pPr>
              <w:pStyle w:val="Normal"/>
            </w:pPr>
            <w:r>
              <w:t>50 ± 16</w:t>
            </w:r>
          </w:p>
        </w:tc>
        <w:tc>
          <w:p>
            <w:pPr>
              <w:pStyle w:val="Normal"/>
            </w:pPr>
            <w:r>
              <w:t>0 ± 0</w:t>
            </w:r>
          </w:p>
        </w:tc>
        <w:tc>
          <w:p>
            <w:pPr>
              <w:pStyle w:val="Normal"/>
            </w:pPr>
            <w:r>
              <w:t>5.1 ± 1.4</w:t>
            </w:r>
          </w:p>
        </w:tc>
      </w:tr>
      <w:tr>
        <w:tc>
          <w:p>
            <w:pPr>
              <w:pStyle w:val="Normal"/>
            </w:pPr>
            <w:r>
              <w:t>Frontier et al. 2022</w:t>
            </w:r>
          </w:p>
        </w:tc>
        <w:tc>
          <w:p>
            <w:pPr>
              <w:pStyle w:val="Normal"/>
            </w:pPr>
            <w:r>
              <w:t>constant</w:t>
            </w:r>
          </w:p>
        </w:tc>
        <w:tc>
          <w:p>
            <w:pPr>
              <w:pStyle w:val="Normal"/>
            </w:pPr>
            <w:r>
              <w:t>1.01 ± 0.0026</w:t>
            </w:r>
          </w:p>
        </w:tc>
        <w:tc>
          <w:p>
            <w:pPr>
              <w:pStyle w:val="Normal"/>
            </w:pPr>
            <w:r>
              <w:t>756 ± 145</w:t>
            </w:r>
          </w:p>
        </w:tc>
        <w:tc>
          <w:p>
            <w:pPr>
              <w:pStyle w:val="Normal"/>
            </w:pPr>
            <w:r>
              <w:t>46 ± 16</w:t>
            </w:r>
          </w:p>
        </w:tc>
        <w:tc>
          <w:p>
            <w:pPr>
              <w:pStyle w:val="Normal"/>
            </w:pPr>
            <w:r>
              <w:t>-3.9 ± 1.3</w:t>
            </w:r>
          </w:p>
        </w:tc>
        <w:tc>
          <w:p>
            <w:pPr>
              <w:pStyle w:val="Normal"/>
            </w:pPr>
            <w:r>
              <w:t>8.1 ± 2</w:t>
            </w:r>
          </w:p>
        </w:tc>
      </w:tr>
      <w:tr>
        <w:tc>
          <w:p>
            <w:pPr>
              <w:pStyle w:val="Normal"/>
            </w:pPr>
            <w:r>
              <w:t>Frontier et al. 2022</w:t>
            </w:r>
          </w:p>
        </w:tc>
        <w:tc>
          <w:p>
            <w:pPr>
              <w:pStyle w:val="Normal"/>
            </w:pPr>
            <w:r>
              <w:t>full</w:t>
            </w:r>
          </w:p>
        </w:tc>
        <w:tc>
          <w:p>
            <w:pPr>
              <w:pStyle w:val="Normal"/>
            </w:pPr>
            <w:r>
              <w:t>1.01 ± 0.002</w:t>
            </w:r>
          </w:p>
        </w:tc>
        <w:tc>
          <w:p>
            <w:pPr>
              <w:pStyle w:val="Normal"/>
            </w:pPr>
            <w:r>
              <w:t>1309 ± 404</w:t>
            </w:r>
          </w:p>
        </w:tc>
        <w:tc>
          <w:p>
            <w:pPr>
              <w:pStyle w:val="Normal"/>
            </w:pPr>
            <w:r>
              <w:t>47 ± 16</w:t>
            </w:r>
          </w:p>
        </w:tc>
        <w:tc>
          <w:p>
            <w:pPr>
              <w:pStyle w:val="Normal"/>
            </w:pPr>
            <w:r>
              <w:t>-3 ± 0.97</w:t>
            </w:r>
          </w:p>
        </w:tc>
        <w:tc>
          <w:p>
            <w:pPr>
              <w:pStyle w:val="Normal"/>
            </w:pPr>
            <w:r>
              <w:t>7.2 ± 1.7</w:t>
            </w:r>
          </w:p>
        </w:tc>
      </w:tr>
      <w:tr>
        <w:tc>
          <w:p>
            <w:pPr>
              <w:pStyle w:val="Normal"/>
            </w:pPr>
            <w:r>
              <w:t>Vandendriessche et al. 2007</w:t>
            </w:r>
          </w:p>
        </w:tc>
        <w:tc>
          <w:p>
            <w:pPr>
              <w:pStyle w:val="Normal"/>
            </w:pPr>
            <w:r>
              <w:t>relative</w:t>
            </w:r>
          </w:p>
        </w:tc>
        <w:tc>
          <w:p>
            <w:pPr>
              <w:pStyle w:val="Normal"/>
            </w:pPr>
            <w:r>
              <w:t>1 ± 0.0049</w:t>
            </w:r>
          </w:p>
        </w:tc>
        <w:tc>
          <w:p>
            <w:pPr>
              <w:pStyle w:val="Normal"/>
            </w:pPr>
            <w:r>
              <w:t>6994 ± 2879</w:t>
            </w:r>
          </w:p>
        </w:tc>
        <w:tc>
          <w:p>
            <w:pPr>
              <w:pStyle w:val="Normal"/>
            </w:pPr>
            <w:r>
              <w:t>1132 ± 102</w:t>
            </w:r>
          </w:p>
        </w:tc>
        <w:tc>
          <w:p>
            <w:pPr>
              <w:pStyle w:val="Normal"/>
            </w:pPr>
            <w:r>
              <w:t>-280 ± 74</w:t>
            </w:r>
          </w:p>
        </w:tc>
        <w:tc>
          <w:p>
            <w:pPr>
              <w:pStyle w:val="Normal"/>
            </w:pPr>
            <w:r>
              <w:t>110 ± 28</w:t>
            </w:r>
          </w:p>
        </w:tc>
      </w:tr>
      <w:tr>
        <w:tc>
          <w:p>
            <w:pPr>
              <w:pStyle w:val="Normal"/>
            </w:pPr>
            <w:r>
              <w:t>Vandendriessche et al. 2007</w:t>
            </w:r>
          </w:p>
        </w:tc>
        <w:tc>
          <w:p>
            <w:pPr>
              <w:pStyle w:val="Normal"/>
            </w:pPr>
            <w:r>
              <w:t>constant</w:t>
            </w:r>
          </w:p>
        </w:tc>
        <w:tc>
          <w:p>
            <w:pPr>
              <w:pStyle w:val="Normal"/>
            </w:pPr>
            <w:r>
              <w:t>1 ± 0.0085</w:t>
            </w:r>
          </w:p>
        </w:tc>
        <w:tc>
          <w:p>
            <w:pPr>
              <w:pStyle w:val="Normal"/>
            </w:pPr>
            <w:r>
              <w:t>6680 ± 3046</w:t>
            </w:r>
          </w:p>
        </w:tc>
        <w:tc>
          <w:p>
            <w:pPr>
              <w:pStyle w:val="Normal"/>
            </w:pPr>
            <w:r>
              <w:t>1402 ± 101</w:t>
            </w:r>
          </w:p>
        </w:tc>
        <w:tc>
          <w:p>
            <w:pPr>
              <w:pStyle w:val="Normal"/>
            </w:pPr>
            <w:r>
              <w:t>-14 ± 9.7</w:t>
            </w:r>
          </w:p>
        </w:tc>
        <w:tc>
          <w:p>
            <w:pPr>
              <w:pStyle w:val="Normal"/>
            </w:pPr>
            <w:r>
              <w:t>127 ± 27</w:t>
            </w:r>
          </w:p>
        </w:tc>
      </w:tr>
      <w:tr>
        <w:tc>
          <w:p>
            <w:pPr>
              <w:pStyle w:val="Normal"/>
            </w:pPr>
            <w:r>
              <w:t>Vandendriessche et al. 2007</w:t>
            </w:r>
          </w:p>
        </w:tc>
        <w:tc>
          <w:p>
            <w:pPr>
              <w:pStyle w:val="Normal"/>
            </w:pPr>
            <w:r>
              <w:t>full</w:t>
            </w:r>
          </w:p>
        </w:tc>
        <w:tc>
          <w:p>
            <w:pPr>
              <w:pStyle w:val="Normal"/>
            </w:pPr>
            <w:r>
              <w:t>1.02 ± 0.096</w:t>
            </w:r>
          </w:p>
        </w:tc>
        <w:tc>
          <w:p>
            <w:pPr>
              <w:pStyle w:val="Normal"/>
            </w:pPr>
            <w:r>
              <w:t>7887 ± 3932</w:t>
            </w:r>
          </w:p>
        </w:tc>
        <w:tc>
          <w:p>
            <w:pPr>
              <w:pStyle w:val="Normal"/>
            </w:pPr>
            <w:r>
              <w:t>1416 ± 102</w:t>
            </w:r>
          </w:p>
        </w:tc>
        <w:tc>
          <w:p>
            <w:pPr>
              <w:pStyle w:val="Normal"/>
            </w:pPr>
            <w:r>
              <w:t>0 ± 0</w:t>
            </w:r>
          </w:p>
        </w:tc>
        <w:tc>
          <w:p>
            <w:pPr>
              <w:pStyle w:val="Normal"/>
            </w:pPr>
            <w:r>
              <w:t>126 ± 25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2026-02-08T09:01:55Z</dcterms:modified>
  <cp:category/>
</cp:coreProperties>
</file>