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val="Normal"/>
            </w:pPr>
            <w:r>
              <w:t>reference</w:t>
            </w:r>
          </w:p>
        </w:tc>
        <w:tc>
          <w:p>
            <w:pPr>
              <w:pStyle w:val="Normal"/>
            </w:pPr>
            <w:r>
              <w:t>likelihood</w:t>
            </w:r>
          </w:p>
        </w:tc>
        <w:tc>
          <w:p>
            <w:pPr>
              <w:pStyle w:val="Normal"/>
            </w:pPr>
            <w:r>
              <w:t>variance</w:t>
            </w:r>
          </w:p>
        </w:tc>
        <w:tc>
          <w:p>
            <w:pPr>
              <w:pStyle w:val="Normal"/>
            </w:pPr>
            <w:r>
              <w:t>rhat</w:t>
            </w:r>
          </w:p>
        </w:tc>
        <w:tc>
          <w:p>
            <w:pPr>
              <w:pStyle w:val="Normal"/>
            </w:pPr>
            <w:r>
              <w:t>ess</w:t>
            </w:r>
          </w:p>
        </w:tc>
        <w:tc>
          <w:p>
            <w:pPr>
              <w:pStyle w:val="Normal"/>
            </w:pPr>
            <w:r>
              <w:t>elpd</w:t>
            </w:r>
          </w:p>
        </w:tc>
        <w:tc>
          <w:p>
            <w:pPr>
              <w:pStyle w:val="Normal"/>
            </w:pPr>
            <w:r>
              <w:t>diff</w:t>
            </w:r>
          </w:p>
        </w:tc>
        <w:tc>
          <w:p>
            <w:pPr>
              <w:pStyle w:val="Normal"/>
            </w:pPr>
            <w:r>
              <w:t>p</w:t>
            </w:r>
          </w:p>
        </w:tc>
      </w:tr>
      <w:tr>
        <w:tc>
          <w:p>
            <w:pPr>
              <w:pStyle w:val="Normal"/>
            </w:pPr>
            <w:r>
              <w:t>Frontier et al. 2022</w:t>
            </w:r>
          </w:p>
        </w:tc>
        <w:tc>
          <w:p>
            <w:pPr>
              <w:pStyle w:val="Normal"/>
            </w:pPr>
            <w:r>
              <w:t>betaprime</w:t>
            </w:r>
          </w:p>
        </w:tc>
        <w:tc>
          <w:p>
            <w:pPr>
              <w:pStyle w:val="Normal"/>
            </w:pPr>
            <w:r>
              <w:t>heteroskedastic</w:t>
            </w:r>
          </w:p>
        </w:tc>
        <w:tc>
          <w:p>
            <w:pPr>
              <w:pStyle w:val="Normal"/>
            </w:pPr>
            <w:r>
              <w:t>1 ± 0.0013</w:t>
            </w:r>
          </w:p>
        </w:tc>
        <w:tc>
          <w:p>
            <w:pPr>
              <w:pStyle w:val="Normal"/>
            </w:pPr>
            <w:r>
              <w:t>4188 ± 1526</w:t>
            </w:r>
          </w:p>
        </w:tc>
        <w:tc>
          <w:p>
            <w:pPr>
              <w:pStyle w:val="Normal"/>
            </w:pPr>
            <w:r>
              <w:t>31 ± 38</w:t>
            </w:r>
          </w:p>
        </w:tc>
        <w:tc>
          <w:p>
            <w:pPr>
              <w:pStyle w:val="Normal"/>
            </w:pPr>
            <w:r>
              <w:t>-20 ± 6.8</w:t>
            </w:r>
          </w:p>
        </w:tc>
        <w:tc>
          <w:p>
            <w:pPr>
              <w:pStyle w:val="Normal"/>
            </w:pPr>
            <w:r>
              <w:t>23 ± 19</w:t>
            </w:r>
          </w:p>
        </w:tc>
      </w:tr>
      <w:tr>
        <w:tc>
          <w:p>
            <w:pPr>
              <w:pStyle w:val="Normal"/>
            </w:pPr>
            <w:r>
              <w:t>Frontier et al. 2022</w:t>
            </w:r>
          </w:p>
        </w:tc>
        <w:tc>
          <w:p>
            <w:pPr>
              <w:pStyle w:val="Normal"/>
            </w:pPr>
            <w:r>
              <w:t>betaprime</w:t>
            </w:r>
          </w:p>
        </w:tc>
        <w:tc>
          <w:p>
            <w:pPr>
              <w:pStyle w:val="Normal"/>
            </w:pPr>
            <w:r>
              <w:t>homoskedastic</w:t>
            </w:r>
          </w:p>
        </w:tc>
        <w:tc>
          <w:p>
            <w:pPr>
              <w:pStyle w:val="Normal"/>
            </w:pPr>
            <w:r>
              <w:t>1 ± 0.0016</w:t>
            </w:r>
          </w:p>
        </w:tc>
        <w:tc>
          <w:p>
            <w:pPr>
              <w:pStyle w:val="Normal"/>
            </w:pPr>
            <w:r>
              <w:t>3359 ± 1167</w:t>
            </w:r>
          </w:p>
        </w:tc>
        <w:tc>
          <w:p>
            <w:pPr>
              <w:pStyle w:val="Normal"/>
            </w:pPr>
            <w:r>
              <w:t>-130 ± 81</w:t>
            </w:r>
          </w:p>
        </w:tc>
        <w:tc>
          <w:p>
            <w:pPr>
              <w:pStyle w:val="Normal"/>
            </w:pPr>
            <w:r>
              <w:t>-180 ± 54</w:t>
            </w:r>
          </w:p>
        </w:tc>
        <w:tc>
          <w:p>
            <w:pPr>
              <w:pStyle w:val="Normal"/>
            </w:pPr>
            <w:r>
              <w:t>45 ± 43</w:t>
            </w:r>
          </w:p>
        </w:tc>
      </w:tr>
      <w:tr>
        <w:tc>
          <w:p>
            <w:pPr>
              <w:pStyle w:val="Normal"/>
            </w:pPr>
            <w:r>
              <w:t>Frontier et al. 2022</w:t>
            </w:r>
          </w:p>
        </w:tc>
        <w:tc>
          <w:p>
            <w:pPr>
              <w:pStyle w:val="Normal"/>
            </w:pPr>
            <w:r>
              <w:t>gamma</w:t>
            </w:r>
          </w:p>
        </w:tc>
        <w:tc>
          <w:p>
            <w:pPr>
              <w:pStyle w:val="Normal"/>
            </w:pPr>
            <w:r>
              <w:t>heteroskedastic</w:t>
            </w:r>
          </w:p>
        </w:tc>
        <w:tc>
          <w:p>
            <w:pPr>
              <w:pStyle w:val="Normal"/>
            </w:pPr>
            <w:r>
              <w:t>1 ± 0.00081</w:t>
            </w:r>
          </w:p>
        </w:tc>
        <w:tc>
          <w:p>
            <w:pPr>
              <w:pStyle w:val="Normal"/>
            </w:pPr>
            <w:r>
              <w:t>3842 ± 1556</w:t>
            </w:r>
          </w:p>
        </w:tc>
        <w:tc>
          <w:p>
            <w:pPr>
              <w:pStyle w:val="Normal"/>
            </w:pPr>
            <w:r>
              <w:t>51 ± 31</w:t>
            </w:r>
          </w:p>
        </w:tc>
        <w:tc>
          <w:p>
            <w:pPr>
              <w:pStyle w:val="Normal"/>
            </w:pPr>
            <w:r>
              <w:t>0 ± 0</w:t>
            </w:r>
          </w:p>
        </w:tc>
        <w:tc>
          <w:p>
            <w:pPr>
              <w:pStyle w:val="Normal"/>
            </w:pPr>
            <w:r>
              <w:t>22 ± 18</w:t>
            </w:r>
          </w:p>
        </w:tc>
      </w:tr>
      <w:tr>
        <w:tc>
          <w:p>
            <w:pPr>
              <w:pStyle w:val="Normal"/>
            </w:pPr>
            <w:r>
              <w:t>Frontier et al. 2022</w:t>
            </w:r>
          </w:p>
        </w:tc>
        <w:tc>
          <w:p>
            <w:pPr>
              <w:pStyle w:val="Normal"/>
            </w:pPr>
            <w:r>
              <w:t>gamma</w:t>
            </w:r>
          </w:p>
        </w:tc>
        <w:tc>
          <w:p>
            <w:pPr>
              <w:pStyle w:val="Normal"/>
            </w:pPr>
            <w:r>
              <w:t>homoskedastic</w:t>
            </w:r>
          </w:p>
        </w:tc>
        <w:tc>
          <w:p>
            <w:pPr>
              <w:pStyle w:val="Normal"/>
            </w:pPr>
            <w:r>
              <w:t>1 ± 0.00043</w:t>
            </w:r>
          </w:p>
        </w:tc>
        <w:tc>
          <w:p>
            <w:pPr>
              <w:pStyle w:val="Normal"/>
            </w:pPr>
            <w:r>
              <w:t>3537 ± 1481</w:t>
            </w:r>
          </w:p>
        </w:tc>
        <w:tc>
          <w:p>
            <w:pPr>
              <w:pStyle w:val="Normal"/>
            </w:pPr>
            <w:r>
              <w:t>-76 ± 68</w:t>
            </w:r>
          </w:p>
        </w:tc>
        <w:tc>
          <w:p>
            <w:pPr>
              <w:pStyle w:val="Normal"/>
            </w:pPr>
            <w:r>
              <w:t>-130 ± 41</w:t>
            </w:r>
          </w:p>
        </w:tc>
        <w:tc>
          <w:p>
            <w:pPr>
              <w:pStyle w:val="Normal"/>
            </w:pPr>
            <w:r>
              <w:t>35 ± 33</w:t>
            </w:r>
          </w:p>
        </w:tc>
      </w:tr>
      <w:tr>
        <w:tc>
          <w:p>
            <w:pPr>
              <w:pStyle w:val="Normal"/>
            </w:pPr>
            <w:r>
              <w:t>Vandendriessche et al. 2007</w:t>
            </w:r>
          </w:p>
        </w:tc>
        <w:tc>
          <w:p>
            <w:pPr>
              <w:pStyle w:val="Normal"/>
            </w:pPr>
            <w:r>
              <w:t>betaprime</w:t>
            </w:r>
          </w:p>
        </w:tc>
        <w:tc>
          <w:p>
            <w:pPr>
              <w:pStyle w:val="Normal"/>
            </w:pPr>
            <w:r>
              <w:t>heteroskedastic</w:t>
            </w:r>
          </w:p>
        </w:tc>
        <w:tc>
          <w:p>
            <w:pPr>
              <w:pStyle w:val="Normal"/>
            </w:pPr>
            <w:r>
              <w:t>1 ± 0.02</w:t>
            </w:r>
          </w:p>
        </w:tc>
        <w:tc>
          <w:p>
            <w:pPr>
              <w:pStyle w:val="Normal"/>
            </w:pPr>
            <w:r>
              <w:t>8837 ± 3805</w:t>
            </w:r>
          </w:p>
        </w:tc>
        <w:tc>
          <w:p>
            <w:pPr>
              <w:pStyle w:val="Normal"/>
            </w:pPr>
            <w:r>
              <w:t>1320 ± 138</w:t>
            </w:r>
          </w:p>
        </w:tc>
        <w:tc>
          <w:p>
            <w:pPr>
              <w:pStyle w:val="Normal"/>
            </w:pPr>
            <w:r>
              <w:t>-66 ± 36</w:t>
            </w:r>
          </w:p>
        </w:tc>
        <w:tc>
          <w:p>
            <w:pPr>
              <w:pStyle w:val="Normal"/>
            </w:pPr>
            <w:r>
              <w:t>169 ± 49</w:t>
            </w:r>
          </w:p>
        </w:tc>
      </w:tr>
      <w:tr>
        <w:tc>
          <w:p>
            <w:pPr>
              <w:pStyle w:val="Normal"/>
            </w:pPr>
            <w:r>
              <w:t>Vandendriessche et al. 2007</w:t>
            </w:r>
          </w:p>
        </w:tc>
        <w:tc>
          <w:p>
            <w:pPr>
              <w:pStyle w:val="Normal"/>
            </w:pPr>
            <w:r>
              <w:t>betaprime</w:t>
            </w:r>
          </w:p>
        </w:tc>
        <w:tc>
          <w:p>
            <w:pPr>
              <w:pStyle w:val="Normal"/>
            </w:pPr>
            <w:r>
              <w:t>homoskedastic</w:t>
            </w:r>
          </w:p>
        </w:tc>
        <w:tc>
          <w:p>
            <w:pPr>
              <w:pStyle w:val="Normal"/>
            </w:pPr>
            <w:r>
              <w:t>1 ± 0.004</w:t>
            </w:r>
          </w:p>
        </w:tc>
        <w:tc>
          <w:p>
            <w:pPr>
              <w:pStyle w:val="Normal"/>
            </w:pPr>
            <w:r>
              <w:t>7324 ± 3162</w:t>
            </w:r>
          </w:p>
        </w:tc>
        <w:tc>
          <w:p>
            <w:pPr>
              <w:pStyle w:val="Normal"/>
            </w:pPr>
            <w:r>
              <w:t>1284 ± 178</w:t>
            </w:r>
          </w:p>
        </w:tc>
        <w:tc>
          <w:p>
            <w:pPr>
              <w:pStyle w:val="Normal"/>
            </w:pPr>
            <w:r>
              <w:t>-100 ± 78</w:t>
            </w:r>
          </w:p>
        </w:tc>
        <w:tc>
          <w:p>
            <w:pPr>
              <w:pStyle w:val="Normal"/>
            </w:pPr>
            <w:r>
              <w:t>148 ± 44</w:t>
            </w:r>
          </w:p>
        </w:tc>
      </w:tr>
      <w:tr>
        <w:tc>
          <w:p>
            <w:pPr>
              <w:pStyle w:val="Normal"/>
            </w:pPr>
            <w:r>
              <w:t>Vandendriessche et al. 2007</w:t>
            </w:r>
          </w:p>
        </w:tc>
        <w:tc>
          <w:p>
            <w:pPr>
              <w:pStyle w:val="Normal"/>
            </w:pPr>
            <w:r>
              <w:t>gamma</w:t>
            </w:r>
          </w:p>
        </w:tc>
        <w:tc>
          <w:p>
            <w:pPr>
              <w:pStyle w:val="Normal"/>
            </w:pPr>
            <w:r>
              <w:t>heteroskedastic</w:t>
            </w:r>
          </w:p>
        </w:tc>
        <w:tc>
          <w:p>
            <w:pPr>
              <w:pStyle w:val="Normal"/>
            </w:pPr>
            <w:r>
              <w:t>1 ± 0.016</w:t>
            </w:r>
          </w:p>
        </w:tc>
        <w:tc>
          <w:p>
            <w:pPr>
              <w:pStyle w:val="Normal"/>
            </w:pPr>
            <w:r>
              <w:t>7455 ± 3509</w:t>
            </w:r>
          </w:p>
        </w:tc>
        <w:tc>
          <w:p>
            <w:pPr>
              <w:pStyle w:val="Normal"/>
            </w:pPr>
            <w:r>
              <w:t>1385 ± 105</w:t>
            </w:r>
          </w:p>
        </w:tc>
        <w:tc>
          <w:p>
            <w:pPr>
              <w:pStyle w:val="Normal"/>
            </w:pPr>
            <w:r>
              <w:t>0 ± 0</w:t>
            </w:r>
          </w:p>
        </w:tc>
        <w:tc>
          <w:p>
            <w:pPr>
              <w:pStyle w:val="Normal"/>
            </w:pPr>
            <w:r>
              <w:t>148 ± 34</w:t>
            </w:r>
          </w:p>
        </w:tc>
      </w:tr>
      <w:tr>
        <w:tc>
          <w:p>
            <w:pPr>
              <w:pStyle w:val="Normal"/>
            </w:pPr>
            <w:r>
              <w:t>Vandendriessche et al. 2007</w:t>
            </w:r>
          </w:p>
        </w:tc>
        <w:tc>
          <w:p>
            <w:pPr>
              <w:pStyle w:val="Normal"/>
            </w:pPr>
            <w:r>
              <w:t>gamma</w:t>
            </w:r>
          </w:p>
        </w:tc>
        <w:tc>
          <w:p>
            <w:pPr>
              <w:pStyle w:val="Normal"/>
            </w:pPr>
            <w:r>
              <w:t>homoskedastic</w:t>
            </w:r>
          </w:p>
        </w:tc>
        <w:tc>
          <w:p>
            <w:pPr>
              <w:pStyle w:val="Normal"/>
            </w:pPr>
            <w:r>
              <w:t>1 ± 0.0092</w:t>
            </w:r>
          </w:p>
        </w:tc>
        <w:tc>
          <w:p>
            <w:pPr>
              <w:pStyle w:val="Normal"/>
            </w:pPr>
            <w:r>
              <w:t>9124 ± 3389</w:t>
            </w:r>
          </w:p>
        </w:tc>
        <w:tc>
          <w:p>
            <w:pPr>
              <w:pStyle w:val="Normal"/>
            </w:pPr>
            <w:r>
              <w:t>1319 ± 146</w:t>
            </w:r>
          </w:p>
        </w:tc>
        <w:tc>
          <w:p>
            <w:pPr>
              <w:pStyle w:val="Normal"/>
            </w:pPr>
            <w:r>
              <w:t>-66 ± 47</w:t>
            </w:r>
          </w:p>
        </w:tc>
        <w:tc>
          <w:p>
            <w:pPr>
              <w:pStyle w:val="Normal"/>
            </w:pPr>
            <w:r>
              <w:t>133 ± 35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lukawright</cp:lastModifiedBy>
  <cp:revision>9</cp:revision>
  <dcterms:created xsi:type="dcterms:W3CDTF">2017-02-28T11:18:00Z</dcterms:created>
  <dcterms:modified xsi:type="dcterms:W3CDTF">2026-02-08T09:24:43Z</dcterms:modified>
  <cp:category/>
</cp:coreProperties>
</file>