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reference</w:t>
            </w:r>
          </w:p>
        </w:tc>
        <w:tc>
          <w:p>
            <w:pPr>
              <w:pStyle w:val="Normal"/>
            </w:pPr>
            <w:r>
              <w:t>species</w:t>
            </w:r>
          </w:p>
        </w:tc>
        <w:tc>
          <w:p>
            <w:pPr>
              <w:pStyle w:val="Normal"/>
            </w:pPr>
            <w:r>
              <w:t>treatment</w:t>
            </w:r>
          </w:p>
        </w:tc>
        <w:tc>
          <w:p>
            <w:pPr>
              <w:pStyle w:val="Normal"/>
            </w:pPr>
            <w:r>
              <w:t>alpha</w:t>
            </w:r>
          </w:p>
        </w:tc>
        <w:tc>
          <w:p>
            <w:pPr>
              <w:pStyle w:val="Normal"/>
            </w:pPr>
            <w:r>
              <w:t>mu</w:t>
            </w:r>
          </w:p>
        </w:tc>
        <w:tc>
          <w:p>
            <w:pPr>
              <w:pStyle w:val="Normal"/>
            </w:pPr>
            <w:r>
              <w:t>tau</w:t>
            </w:r>
          </w:p>
        </w:tc>
      </w:tr>
      <w:tr>
        <w:tc>
          <w:p>
            <w:pPr>
              <w:pStyle w:val="Normal"/>
            </w:pPr>
            <w:r>
              <w:t>Brouwer 1996</w:t>
            </w:r>
          </w:p>
        </w:tc>
        <w:tc>
          <w:p>
            <w:pPr>
              <w:pStyle w:val="Normal"/>
            </w:pPr>
            <w:r>
              <w:t>Desmarestia anceps</w:t>
            </w:r>
          </w:p>
        </w:tc>
        <w:tc>
          <w:p>
            <w:pPr>
              <w:pStyle w:val="Normal"/>
            </w:pPr>
            <w:r>
              <w:t>Control</w:t>
            </w:r>
          </w:p>
        </w:tc>
        <w:tc>
          <w:p>
            <w:pPr>
              <w:pStyle w:val="Normal"/>
            </w:pPr>
            <w:r>
              <w:t>0.037 ± 0.017</w:t>
            </w:r>
          </w:p>
        </w:tc>
        <w:tc>
          <w:p>
            <w:pPr>
              <w:pStyle w:val="Normal"/>
            </w:pPr>
            <w:r>
              <w:t>778
± 108</w:t>
            </w:r>
          </w:p>
        </w:tc>
        <w:tc>
          <w:p>
            <w:pPr>
              <w:pStyle w:val="Normal"/>
            </w:pPr>
            <w:r>
              <w:t>7.2 ± 0.91</w:t>
            </w:r>
          </w:p>
        </w:tc>
      </w:tr>
      <w:tr>
        <w:tc>
          <w:p>
            <w:pPr>
              <w:pStyle w:val="Normal"/>
            </w:pPr>
            <w:r>
              <w:t>Brouwer 1996</w:t>
            </w:r>
          </w:p>
        </w:tc>
        <w:tc>
          <w:p>
            <w:pPr>
              <w:pStyle w:val="Normal"/>
            </w:pPr>
            <w:r>
              <w:t>Desmarestia anceps</w:t>
            </w:r>
          </w:p>
        </w:tc>
        <w:tc>
          <w:p>
            <w:pPr>
              <w:pStyle w:val="Normal"/>
            </w:pPr>
            <w:r>
              <w:t>Pre-killed</w:t>
            </w:r>
          </w:p>
        </w:tc>
        <w:tc>
          <w:p>
            <w:pPr>
              <w:pStyle w:val="Normal"/>
            </w:pPr>
            <w:r>
              <w:t>−0.6 ± 0.29</w:t>
            </w:r>
          </w:p>
        </w:tc>
        <w:tc>
          <w:p>
            <w:pPr>
              <w:pStyle w:val="Normal"/>
            </w:pPr>
            <w:r>
              <w:t>28
± 4.1</w:t>
            </w:r>
          </w:p>
        </w:tc>
        <w:tc>
          <w:p>
            <w:pPr>
              <w:pStyle w:val="Normal"/>
            </w:pPr>
            <w:r>
              <w:t>7.2 ± 0.91</w:t>
            </w:r>
          </w:p>
        </w:tc>
      </w:tr>
      <w:tr>
        <w:tc>
          <w:p>
            <w:pPr>
              <w:pStyle w:val="Normal"/>
            </w:pPr>
            <w:r>
              <w:t>Hamersley et al. 2015</w:t>
            </w:r>
          </w:p>
        </w:tc>
        <w:tc>
          <w:p>
            <w:pPr>
              <w:pStyle w:val="Normal"/>
            </w:pPr>
            <w:r>
              <w:t>Macrocystis pyrifera</w:t>
            </w:r>
          </w:p>
        </w:tc>
        <w:tc>
          <w:p>
            <w:pPr>
              <w:pStyle w:val="Normal"/>
            </w:pPr>
            <w:r>
              <w:t>Fresh</w:t>
            </w:r>
          </w:p>
        </w:tc>
        <w:tc>
          <w:p>
            <w:pPr>
              <w:pStyle w:val="Normal"/>
            </w:pPr>
            <w:r>
              <w:t>−0.31 ± 0.55</w:t>
            </w:r>
          </w:p>
        </w:tc>
        <w:tc>
          <w:p>
            <w:pPr>
              <w:pStyle w:val="Normal"/>
            </w:pPr>
            <w:r>
              <w:t>5.9
± 1</w:t>
            </w:r>
          </w:p>
        </w:tc>
        <w:tc>
          <w:p>
            <w:pPr>
              <w:pStyle w:val="Normal"/>
            </w:pPr>
            <w:r>
              <w:t>12 ± 1.1</w:t>
            </w:r>
          </w:p>
        </w:tc>
      </w:tr>
      <w:tr>
        <w:tc>
          <w:p>
            <w:pPr>
              <w:pStyle w:val="Normal"/>
            </w:pPr>
            <w:r>
              <w:t>Hamersley et al. 2015</w:t>
            </w:r>
          </w:p>
        </w:tc>
        <w:tc>
          <w:p>
            <w:pPr>
              <w:pStyle w:val="Normal"/>
            </w:pPr>
            <w:r>
              <w:t>Macrocystis pyrifera</w:t>
            </w:r>
          </w:p>
        </w:tc>
        <w:tc>
          <w:p>
            <w:pPr>
              <w:pStyle w:val="Normal"/>
            </w:pPr>
            <w:r>
              <w:t>Senescent</w:t>
            </w:r>
          </w:p>
        </w:tc>
        <w:tc>
          <w:p>
            <w:pPr>
              <w:pStyle w:val="Normal"/>
            </w:pPr>
            <w:r>
              <w:t>−0.19 ± 1</w:t>
            </w:r>
          </w:p>
        </w:tc>
        <w:tc>
          <w:p>
            <w:pPr>
              <w:pStyle w:val="Normal"/>
            </w:pPr>
            <w:r>
              <w:t>2.3
± 0.75</w:t>
            </w:r>
          </w:p>
        </w:tc>
        <w:tc>
          <w:p>
            <w:pPr>
              <w:pStyle w:val="Normal"/>
            </w:pPr>
            <w:r>
              <w:t>9.3 ± 0.54</w:t>
            </w:r>
          </w:p>
        </w:tc>
      </w:tr>
      <w:tr>
        <w:tc>
          <w:p>
            <w:pPr>
              <w:pStyle w:val="Normal"/>
            </w:pPr>
            <w:r>
              <w:t>Hamersley et al. 2015</w:t>
            </w:r>
          </w:p>
        </w:tc>
        <w:tc>
          <w:p>
            <w:pPr>
              <w:pStyle w:val="Normal"/>
            </w:pPr>
            <w:r>
              <w:t>Macrocystis pyrifera</w:t>
            </w:r>
          </w:p>
        </w:tc>
        <w:tc>
          <w:p>
            <w:pPr>
              <w:pStyle w:val="Normal"/>
            </w:pPr>
            <w:r>
              <w:t>Detached</w:t>
            </w:r>
          </w:p>
        </w:tc>
        <w:tc>
          <w:p>
            <w:pPr>
              <w:pStyle w:val="Normal"/>
            </w:pPr>
            <w:r>
              <w:t>−0.076 ± 1</w:t>
            </w:r>
          </w:p>
        </w:tc>
        <w:tc>
          <w:p>
            <w:pPr>
              <w:pStyle w:val="Normal"/>
            </w:pPr>
            <w:r>
              <w:t>0.94
± 0.3</w:t>
            </w:r>
          </w:p>
        </w:tc>
        <w:tc>
          <w:p>
            <w:pPr>
              <w:pStyle w:val="Normal"/>
            </w:pPr>
            <w:r>
              <w:t>12 ± 0.47</w:t>
            </w:r>
          </w:p>
        </w:tc>
      </w:tr>
      <w:tr>
        <w:tc>
          <w:p>
            <w:pPr>
              <w:pStyle w:val="Normal"/>
            </w:pPr>
            <w:r>
              <w:t>de Bettignies et al. 2020</w:t>
            </w:r>
          </w:p>
        </w:tc>
        <w:tc>
          <w:p>
            <w:pPr>
              <w:pStyle w:val="Normal"/>
            </w:pPr>
            <w:r>
              <w:t>Laminaria hyperborea</w:t>
            </w:r>
          </w:p>
        </w:tc>
        <w:tc>
          <w:p>
            <w:pPr>
              <w:pStyle w:val="Normal"/>
            </w:pPr>
            <w:r>
              <w:t>Fresh</w:t>
            </w:r>
          </w:p>
        </w:tc>
        <w:tc>
          <w:p>
            <w:pPr>
              <w:pStyle w:val="Normal"/>
            </w:pPr>
            <w:r>
              <w:t>1 ± 0.6</w:t>
            </w:r>
          </w:p>
        </w:tc>
        <w:tc>
          <w:p>
            <w:pPr>
              <w:pStyle w:val="Normal"/>
            </w:pPr>
            <w:r>
              <w:t>10
± 3.1</w:t>
            </w:r>
          </w:p>
        </w:tc>
        <w:tc>
          <w:p>
            <w:pPr>
              <w:pStyle w:val="Normal"/>
            </w:pPr>
            <w:r>
              <w:t>1.3 ± 0.11</w:t>
            </w:r>
          </w:p>
        </w:tc>
      </w:tr>
      <w:tr>
        <w:tc>
          <w:p>
            <w:pPr>
              <w:pStyle w:val="Normal"/>
            </w:pPr>
            <w:r>
              <w:t>de Bettignies et al. 2020</w:t>
            </w:r>
          </w:p>
        </w:tc>
        <w:tc>
          <w:p>
            <w:pPr>
              <w:pStyle w:val="Normal"/>
            </w:pPr>
            <w:r>
              <w:t>Laminaria hyperborea</w:t>
            </w:r>
          </w:p>
        </w:tc>
        <w:tc>
          <w:p>
            <w:pPr>
              <w:pStyle w:val="Normal"/>
            </w:pPr>
            <w:r>
              <w:t>Senescent</w:t>
            </w:r>
          </w:p>
        </w:tc>
        <w:tc>
          <w:p>
            <w:pPr>
              <w:pStyle w:val="Normal"/>
            </w:pPr>
            <w:r>
              <w:t>−0.27 ± 1</w:t>
            </w:r>
          </w:p>
        </w:tc>
        <w:tc>
          <w:p>
            <w:pPr>
              <w:pStyle w:val="Normal"/>
            </w:pPr>
            <w:r>
              <w:t>3.3
± 3.7</w:t>
            </w:r>
          </w:p>
        </w:tc>
        <w:tc>
          <w:p>
            <w:pPr>
              <w:pStyle w:val="Normal"/>
            </w:pPr>
            <w:r>
              <w:t>3.2 ± 0.36</w:t>
            </w:r>
          </w:p>
        </w:tc>
      </w:tr>
      <w:tr>
        <w:tc>
          <w:p>
            <w:pPr>
              <w:pStyle w:val="Normal"/>
            </w:pPr>
            <w:r>
              <w:t>Frontier et al. 2021</w:t>
            </w:r>
          </w:p>
        </w:tc>
        <w:tc>
          <w:p>
            <w:pPr>
              <w:pStyle w:val="Normal"/>
            </w:pPr>
            <w:r>
              <w:t>Laminaria hyperborea</w:t>
            </w:r>
          </w:p>
        </w:tc>
        <w:tc>
          <w:p>
            <w:pPr>
              <w:pStyle w:val="Normal"/>
            </w:pPr>
            <w:r>
              <w:t>0m</w:t>
            </w:r>
          </w:p>
        </w:tc>
        <w:tc>
          <w:p>
            <w:pPr>
              <w:pStyle w:val="Normal"/>
            </w:pPr>
            <w:r>
              <w:t>0.03 ± 0.017</w:t>
            </w:r>
          </w:p>
        </w:tc>
        <w:tc>
          <w:p>
            <w:pPr>
              <w:pStyle w:val="Normal"/>
            </w:pPr>
            <w:r>
              <w:t>259
± 48</w:t>
            </w:r>
          </w:p>
        </w:tc>
        <w:tc>
          <w:p>
            <w:pPr>
              <w:pStyle w:val="Normal"/>
            </w:pPr>
            <w:r>
              <w:t>4.1 ± 0.49</w:t>
            </w:r>
          </w:p>
        </w:tc>
      </w:tr>
      <w:tr>
        <w:tc>
          <w:p>
            <w:pPr>
              <w:pStyle w:val="Normal"/>
            </w:pPr>
            <w:r>
              <w:t>Frontier et al. 2021</w:t>
            </w:r>
          </w:p>
        </w:tc>
        <w:tc>
          <w:p>
            <w:pPr>
              <w:pStyle w:val="Normal"/>
            </w:pPr>
            <w:r>
              <w:t>Laminaria hyperborea</w:t>
            </w:r>
          </w:p>
        </w:tc>
        <w:tc>
          <w:p>
            <w:pPr>
              <w:pStyle w:val="Normal"/>
            </w:pPr>
            <w:r>
              <w:t>15m</w:t>
            </w:r>
          </w:p>
        </w:tc>
        <w:tc>
          <w:p>
            <w:pPr>
              <w:pStyle w:val="Normal"/>
            </w:pPr>
            <w:r>
              <w:t>0.03 ± 0.017</w:t>
            </w:r>
          </w:p>
        </w:tc>
        <w:tc>
          <w:p>
            <w:pPr>
              <w:pStyle w:val="Normal"/>
            </w:pPr>
            <w:r>
              <w:t>27
± 9.2</w:t>
            </w:r>
          </w:p>
        </w:tc>
        <w:tc>
          <w:p>
            <w:pPr>
              <w:pStyle w:val="Normal"/>
            </w:pPr>
            <w:r>
              <w:t>4.1 ± 0.49</w:t>
            </w:r>
          </w:p>
        </w:tc>
      </w:tr>
      <w:tr>
        <w:tc>
          <w:p>
            <w:pPr>
              <w:pStyle w:val="Normal"/>
            </w:pPr>
            <w:r>
              <w:t>Frontier et al. 2021</w:t>
            </w:r>
          </w:p>
        </w:tc>
        <w:tc>
          <w:p>
            <w:pPr>
              <w:pStyle w:val="Normal"/>
            </w:pPr>
            <w:r>
              <w:t>Laminaria hyperborea</w:t>
            </w:r>
          </w:p>
        </w:tc>
        <w:tc>
          <w:p>
            <w:pPr>
              <w:pStyle w:val="Normal"/>
            </w:pPr>
            <w:r>
              <w:t>30m</w:t>
            </w:r>
          </w:p>
        </w:tc>
        <w:tc>
          <w:p>
            <w:pPr>
              <w:pStyle w:val="Normal"/>
            </w:pPr>
            <w:r>
              <w:t>0.03 ± 0.017</w:t>
            </w:r>
          </w:p>
        </w:tc>
        <w:tc>
          <w:p>
            <w:pPr>
              <w:pStyle w:val="Normal"/>
            </w:pPr>
            <w:r>
              <w:t>1.9
± 1.2</w:t>
            </w:r>
          </w:p>
        </w:tc>
        <w:tc>
          <w:p>
            <w:pPr>
              <w:pStyle w:val="Normal"/>
            </w:pPr>
            <w:r>
              <w:t>4.1 ± 0.49</w:t>
            </w:r>
          </w:p>
        </w:tc>
      </w:tr>
      <w:tr>
        <w:tc>
          <w:p>
            <w:pPr>
              <w:pStyle w:val="Normal"/>
            </w:pPr>
            <w:r>
              <w:t>Frontier et al. 2021</w:t>
            </w:r>
          </w:p>
        </w:tc>
        <w:tc>
          <w:p>
            <w:pPr>
              <w:pStyle w:val="Normal"/>
            </w:pPr>
            <w:r>
              <w:t>Laminaria ochroleuca</w:t>
            </w:r>
          </w:p>
        </w:tc>
        <w:tc>
          <w:p>
            <w:pPr>
              <w:pStyle w:val="Normal"/>
            </w:pPr>
            <w:r>
              <w:t>0m</w:t>
            </w:r>
          </w:p>
        </w:tc>
        <w:tc>
          <w:p>
            <w:pPr>
              <w:pStyle w:val="Normal"/>
            </w:pPr>
            <w:r>
              <w:t>0.037 ± 0.032</w:t>
            </w:r>
          </w:p>
        </w:tc>
        <w:tc>
          <w:p>
            <w:pPr>
              <w:pStyle w:val="Normal"/>
            </w:pPr>
            <w:r>
              <w:t>57
± 6.5</w:t>
            </w:r>
          </w:p>
        </w:tc>
        <w:tc>
          <w:p>
            <w:pPr>
              <w:pStyle w:val="Normal"/>
            </w:pPr>
            <w:r>
              <w:t>4.6 ± 0.71</w:t>
            </w:r>
          </w:p>
        </w:tc>
      </w:tr>
      <w:tr>
        <w:tc>
          <w:p>
            <w:pPr>
              <w:pStyle w:val="Normal"/>
            </w:pPr>
            <w:r>
              <w:t>Frontier et al. 2021</w:t>
            </w:r>
          </w:p>
        </w:tc>
        <w:tc>
          <w:p>
            <w:pPr>
              <w:pStyle w:val="Normal"/>
            </w:pPr>
            <w:r>
              <w:t>Laminaria ochroleuca</w:t>
            </w:r>
          </w:p>
        </w:tc>
        <w:tc>
          <w:p>
            <w:pPr>
              <w:pStyle w:val="Normal"/>
            </w:pPr>
            <w:r>
              <w:t>15m</w:t>
            </w:r>
          </w:p>
        </w:tc>
        <w:tc>
          <w:p>
            <w:pPr>
              <w:pStyle w:val="Normal"/>
            </w:pPr>
            <w:r>
              <w:t>0.037 ± 0.032</w:t>
            </w:r>
          </w:p>
        </w:tc>
        <w:tc>
          <w:p>
            <w:pPr>
              <w:pStyle w:val="Normal"/>
            </w:pPr>
            <w:r>
              <w:t>80
± 18</w:t>
            </w:r>
          </w:p>
        </w:tc>
        <w:tc>
          <w:p>
            <w:pPr>
              <w:pStyle w:val="Normal"/>
            </w:pPr>
            <w:r>
              <w:t>4.6 ± 0.71</w:t>
            </w:r>
          </w:p>
        </w:tc>
      </w:tr>
      <w:tr>
        <w:tc>
          <w:p>
            <w:pPr>
              <w:pStyle w:val="Normal"/>
            </w:pPr>
            <w:r>
              <w:t>Frontier et al. 2021</w:t>
            </w:r>
          </w:p>
        </w:tc>
        <w:tc>
          <w:p>
            <w:pPr>
              <w:pStyle w:val="Normal"/>
            </w:pPr>
            <w:r>
              <w:t>Laminaria ochroleuca</w:t>
            </w:r>
          </w:p>
        </w:tc>
        <w:tc>
          <w:p>
            <w:pPr>
              <w:pStyle w:val="Normal"/>
            </w:pPr>
            <w:r>
              <w:t>30m</w:t>
            </w:r>
          </w:p>
        </w:tc>
        <w:tc>
          <w:p>
            <w:pPr>
              <w:pStyle w:val="Normal"/>
            </w:pPr>
            <w:r>
              <w:t>0.037 ± 0.032</w:t>
            </w:r>
          </w:p>
        </w:tc>
        <w:tc>
          <w:p>
            <w:pPr>
              <w:pStyle w:val="Normal"/>
            </w:pPr>
            <w:r>
              <w:t>14
± 3.7</w:t>
            </w:r>
          </w:p>
        </w:tc>
        <w:tc>
          <w:p>
            <w:pPr>
              <w:pStyle w:val="Normal"/>
            </w:pPr>
            <w:r>
              <w:t>4.6 ± 0.71</w:t>
            </w:r>
          </w:p>
        </w:tc>
      </w:tr>
      <w:tr>
        <w:tc>
          <w:p>
            <w:pPr>
              <w:pStyle w:val="Normal"/>
            </w:pPr>
            <w:r>
              <w:t>Frontier et al. 2022</w:t>
            </w:r>
          </w:p>
        </w:tc>
        <w:tc>
          <w:p>
            <w:pPr>
              <w:pStyle w:val="Normal"/>
            </w:pPr>
            <w:r>
              <w:t>Laminaria hyperborea</w:t>
            </w:r>
          </w:p>
        </w:tc>
        <w:tc>
          <w:p>
            <w:pPr>
              <w:pStyle w:val="Normal"/>
            </w:pPr>
            <w:r>
              <w:t>0.5m</w:t>
            </w:r>
          </w:p>
        </w:tc>
        <w:tc>
          <w:p>
            <w:pPr>
              <w:pStyle w:val="Normal"/>
            </w:pPr>
            <w:r>
              <w:t>0.24 ± 0.042</w:t>
            </w:r>
          </w:p>
        </w:tc>
        <w:tc>
          <w:p>
            <w:pPr>
              <w:pStyle w:val="Normal"/>
            </w:pPr>
            <w:r>
              <w:t>105
± 22</w:t>
            </w:r>
          </w:p>
        </w:tc>
        <w:tc>
          <w:p>
            <w:pPr>
              <w:pStyle w:val="Normal"/>
            </w:pPr>
            <w:r>
              <w:t>6.1 ± 2.2</w:t>
            </w:r>
          </w:p>
        </w:tc>
      </w:tr>
      <w:tr>
        <w:tc>
          <w:p>
            <w:pPr>
              <w:pStyle w:val="Normal"/>
            </w:pPr>
            <w:r>
              <w:t>Frontier et al. 2022</w:t>
            </w:r>
          </w:p>
        </w:tc>
        <w:tc>
          <w:p>
            <w:pPr>
              <w:pStyle w:val="Normal"/>
            </w:pPr>
            <w:r>
              <w:t>Laminaria hyperborea</w:t>
            </w:r>
          </w:p>
        </w:tc>
        <w:tc>
          <w:p>
            <w:pPr>
              <w:pStyle w:val="Normal"/>
            </w:pPr>
            <w:r>
              <w:t>1.5m</w:t>
            </w:r>
          </w:p>
        </w:tc>
        <w:tc>
          <w:p>
            <w:pPr>
              <w:pStyle w:val="Normal"/>
            </w:pPr>
            <w:r>
              <w:t>0.24 ± 0.042</w:t>
            </w:r>
          </w:p>
        </w:tc>
        <w:tc>
          <w:p>
            <w:pPr>
              <w:pStyle w:val="Normal"/>
            </w:pPr>
            <w:r>
              <w:t>94
± 20</w:t>
            </w:r>
          </w:p>
        </w:tc>
        <w:tc>
          <w:p>
            <w:pPr>
              <w:pStyle w:val="Normal"/>
            </w:pPr>
            <w:r>
              <w:t>6.1 ± 2.2</w:t>
            </w:r>
          </w:p>
        </w:tc>
      </w:tr>
      <w:tr>
        <w:tc>
          <w:p>
            <w:pPr>
              <w:pStyle w:val="Normal"/>
            </w:pPr>
            <w:r>
              <w:t>Frontier et al. 2022</w:t>
            </w:r>
          </w:p>
        </w:tc>
        <w:tc>
          <w:p>
            <w:pPr>
              <w:pStyle w:val="Normal"/>
            </w:pPr>
            <w:r>
              <w:t>Laminaria hyperborea</w:t>
            </w:r>
          </w:p>
        </w:tc>
        <w:tc>
          <w:p>
            <w:pPr>
              <w:pStyle w:val="Normal"/>
            </w:pPr>
            <w:r>
              <w:t>3m</w:t>
            </w:r>
          </w:p>
        </w:tc>
        <w:tc>
          <w:p>
            <w:pPr>
              <w:pStyle w:val="Normal"/>
            </w:pPr>
            <w:r>
              <w:t>0.24 ± 0.042</w:t>
            </w:r>
          </w:p>
        </w:tc>
        <w:tc>
          <w:p>
            <w:pPr>
              <w:pStyle w:val="Normal"/>
            </w:pPr>
            <w:r>
              <w:t>42
± 12</w:t>
            </w:r>
          </w:p>
        </w:tc>
        <w:tc>
          <w:p>
            <w:pPr>
              <w:pStyle w:val="Normal"/>
            </w:pPr>
            <w:r>
              <w:t>6.1 ± 2.2</w:t>
            </w:r>
          </w:p>
        </w:tc>
      </w:tr>
      <w:tr>
        <w:tc>
          <w:p>
            <w:pPr>
              <w:pStyle w:val="Normal"/>
            </w:pPr>
            <w:r>
              <w:t>Frontier et al. 2022</w:t>
            </w:r>
          </w:p>
        </w:tc>
        <w:tc>
          <w:p>
            <w:pPr>
              <w:pStyle w:val="Normal"/>
            </w:pPr>
            <w:r>
              <w:t>Laminaria ochroleuca</w:t>
            </w:r>
          </w:p>
        </w:tc>
        <w:tc>
          <w:p>
            <w:pPr>
              <w:pStyle w:val="Normal"/>
            </w:pPr>
            <w:r>
              <w:t>0.5m</w:t>
            </w:r>
          </w:p>
        </w:tc>
        <w:tc>
          <w:p>
            <w:pPr>
              <w:pStyle w:val="Normal"/>
            </w:pPr>
            <w:r>
              <w:t>0.58 ± 0.13</w:t>
            </w:r>
          </w:p>
        </w:tc>
        <w:tc>
          <w:p>
            <w:pPr>
              <w:pStyle w:val="Normal"/>
            </w:pPr>
            <w:r>
              <w:t>43
± 9.2</w:t>
            </w:r>
          </w:p>
        </w:tc>
        <w:tc>
          <w:p>
            <w:pPr>
              <w:pStyle w:val="Normal"/>
            </w:pPr>
            <w:r>
              <w:t>6.1 ± 2.2</w:t>
            </w:r>
          </w:p>
        </w:tc>
      </w:tr>
      <w:tr>
        <w:tc>
          <w:p>
            <w:pPr>
              <w:pStyle w:val="Normal"/>
            </w:pPr>
            <w:r>
              <w:t>Frontier et al. 2022</w:t>
            </w:r>
          </w:p>
        </w:tc>
        <w:tc>
          <w:p>
            <w:pPr>
              <w:pStyle w:val="Normal"/>
            </w:pPr>
            <w:r>
              <w:t>Laminaria ochroleuca</w:t>
            </w:r>
          </w:p>
        </w:tc>
        <w:tc>
          <w:p>
            <w:pPr>
              <w:pStyle w:val="Normal"/>
            </w:pPr>
            <w:r>
              <w:t>1.5m</w:t>
            </w:r>
          </w:p>
        </w:tc>
        <w:tc>
          <w:p>
            <w:pPr>
              <w:pStyle w:val="Normal"/>
            </w:pPr>
            <w:r>
              <w:t>0.58 ± 0.13</w:t>
            </w:r>
          </w:p>
        </w:tc>
        <w:tc>
          <w:p>
            <w:pPr>
              <w:pStyle w:val="Normal"/>
            </w:pPr>
            <w:r>
              <w:t>35
± 8.7</w:t>
            </w:r>
          </w:p>
        </w:tc>
        <w:tc>
          <w:p>
            <w:pPr>
              <w:pStyle w:val="Normal"/>
            </w:pPr>
            <w:r>
              <w:t>6.1 ± 2.2</w:t>
            </w:r>
          </w:p>
        </w:tc>
      </w:tr>
      <w:tr>
        <w:tc>
          <w:p>
            <w:pPr>
              <w:pStyle w:val="Normal"/>
            </w:pPr>
            <w:r>
              <w:t>Frontier et al. 2022</w:t>
            </w:r>
          </w:p>
        </w:tc>
        <w:tc>
          <w:p>
            <w:pPr>
              <w:pStyle w:val="Normal"/>
            </w:pPr>
            <w:r>
              <w:t>Laminaria ochroleuca</w:t>
            </w:r>
          </w:p>
        </w:tc>
        <w:tc>
          <w:p>
            <w:pPr>
              <w:pStyle w:val="Normal"/>
            </w:pPr>
            <w:r>
              <w:t>3m</w:t>
            </w:r>
          </w:p>
        </w:tc>
        <w:tc>
          <w:p>
            <w:pPr>
              <w:pStyle w:val="Normal"/>
            </w:pPr>
            <w:r>
              <w:t>0.58 ± 0.13</w:t>
            </w:r>
          </w:p>
        </w:tc>
        <w:tc>
          <w:p>
            <w:pPr>
              <w:pStyle w:val="Normal"/>
            </w:pPr>
            <w:r>
              <w:t>21
± 3.8</w:t>
            </w:r>
          </w:p>
        </w:tc>
        <w:tc>
          <w:p>
            <w:pPr>
              <w:pStyle w:val="Normal"/>
            </w:pPr>
            <w:r>
              <w:t>6.1 ± 2.2</w:t>
            </w:r>
          </w:p>
        </w:tc>
      </w:tr>
      <w:tr>
        <w:tc>
          <w:p>
            <w:pPr>
              <w:pStyle w:val="Normal"/>
            </w:pPr>
            <w:r>
              <w:t>Bourguès et al. 1996</w:t>
            </w:r>
          </w:p>
        </w:tc>
        <w:tc>
          <w:p>
            <w:pPr>
              <w:pStyle w:val="Normal"/>
            </w:pPr>
            <w:r>
              <w:t>Ulvaria obscura</w:t>
            </w:r>
          </w:p>
        </w:tc>
        <w:tc>
          <w:p>
            <w:pPr>
              <w:pStyle w:val="Normal"/>
            </w:pPr>
            <w:r>
              <w:t>Spring</w:t>
            </w:r>
          </w:p>
        </w:tc>
        <w:tc>
          <w:p>
            <w:pPr>
              <w:pStyle w:val="Normal"/>
            </w:pPr>
            <w:r>
              <w:t>0.43 ± 0.4</w:t>
            </w:r>
          </w:p>
        </w:tc>
        <w:tc>
          <w:p>
            <w:pPr>
              <w:pStyle w:val="Normal"/>
            </w:pPr>
            <w:r>
              <w:t>14
± 2.2</w:t>
            </w:r>
          </w:p>
        </w:tc>
        <w:tc>
          <w:p>
            <w:pPr>
              <w:pStyle w:val="Normal"/>
            </w:pPr>
            <w:r>
              <w:t>15 ± 4.1</w:t>
            </w:r>
          </w:p>
        </w:tc>
      </w:tr>
      <w:tr>
        <w:tc>
          <w:p>
            <w:pPr>
              <w:pStyle w:val="Normal"/>
            </w:pPr>
            <w:r>
              <w:t>Bourguès et al. 1996</w:t>
            </w:r>
          </w:p>
        </w:tc>
        <w:tc>
          <w:p>
            <w:pPr>
              <w:pStyle w:val="Normal"/>
            </w:pPr>
            <w:r>
              <w:t>Ulvaria obscura</w:t>
            </w:r>
          </w:p>
        </w:tc>
        <w:tc>
          <w:p>
            <w:pPr>
              <w:pStyle w:val="Normal"/>
            </w:pPr>
            <w:r>
              <w:t>Summer</w:t>
            </w:r>
          </w:p>
        </w:tc>
        <w:tc>
          <w:p>
            <w:pPr>
              <w:pStyle w:val="Normal"/>
            </w:pPr>
            <w:r>
              <w:t>0.7 ± 0.71</w:t>
            </w:r>
          </w:p>
        </w:tc>
        <w:tc>
          <w:p>
            <w:pPr>
              <w:pStyle w:val="Normal"/>
            </w:pPr>
            <w:r>
              <w:t>4.4
± 1.8</w:t>
            </w:r>
          </w:p>
        </w:tc>
        <w:tc>
          <w:p>
            <w:pPr>
              <w:pStyle w:val="Normal"/>
            </w:pPr>
            <w:r>
              <w:t>12 ± 2.5</w:t>
            </w:r>
          </w:p>
        </w:tc>
      </w:tr>
      <w:tr>
        <w:tc>
          <w:p>
            <w:pPr>
              <w:pStyle w:val="Normal"/>
            </w:pPr>
            <w:r>
              <w:t>Bourguès et al. 1996</w:t>
            </w:r>
          </w:p>
        </w:tc>
        <w:tc>
          <w:p>
            <w:pPr>
              <w:pStyle w:val="Normal"/>
            </w:pPr>
            <w:r>
              <w:t>Ulvaria obscura</w:t>
            </w:r>
          </w:p>
        </w:tc>
        <w:tc>
          <w:p>
            <w:pPr>
              <w:pStyle w:val="Normal"/>
            </w:pPr>
            <w:r>
              <w:t>Autumn</w:t>
            </w:r>
          </w:p>
        </w:tc>
        <w:tc>
          <w:p>
            <w:pPr>
              <w:pStyle w:val="Normal"/>
            </w:pPr>
            <w:r>
              <w:t>0.6 ± 0.33</w:t>
            </w:r>
          </w:p>
        </w:tc>
        <w:tc>
          <w:p>
            <w:pPr>
              <w:pStyle w:val="Normal"/>
            </w:pPr>
            <w:r>
              <w:t>23
± 2.8</w:t>
            </w:r>
          </w:p>
        </w:tc>
        <w:tc>
          <w:p>
            <w:pPr>
              <w:pStyle w:val="Normal"/>
            </w:pPr>
            <w:r>
              <w:t>14 ± 3.4</w:t>
            </w:r>
          </w:p>
        </w:tc>
      </w:tr>
      <w:tr>
        <w:tc>
          <w:p>
            <w:pPr>
              <w:pStyle w:val="Normal"/>
            </w:pPr>
            <w:r>
              <w:t>Bourguès et al. 1996</w:t>
            </w:r>
          </w:p>
        </w:tc>
        <w:tc>
          <w:p>
            <w:pPr>
              <w:pStyle w:val="Normal"/>
            </w:pPr>
            <w:r>
              <w:t>Ulvaria obscura</w:t>
            </w:r>
          </w:p>
        </w:tc>
        <w:tc>
          <w:p>
            <w:pPr>
              <w:pStyle w:val="Normal"/>
            </w:pPr>
            <w:r>
              <w:t>Winter</w:t>
            </w:r>
          </w:p>
        </w:tc>
        <w:tc>
          <w:p>
            <w:pPr>
              <w:pStyle w:val="Normal"/>
            </w:pPr>
            <w:r>
              <w:t>0.29 ± 0.3</w:t>
            </w:r>
          </w:p>
        </w:tc>
        <w:tc>
          <w:p>
            <w:pPr>
              <w:pStyle w:val="Normal"/>
            </w:pPr>
            <w:r>
              <w:t>24
± 7.3</w:t>
            </w:r>
          </w:p>
        </w:tc>
        <w:tc>
          <w:p>
            <w:pPr>
              <w:pStyle w:val="Normal"/>
            </w:pPr>
            <w:r>
              <w:t>9.5 ± 4.9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lukawright</cp:lastModifiedBy>
  <cp:revision>9</cp:revision>
  <dcterms:created xsi:type="dcterms:W3CDTF">2017-02-28T11:18:00Z</dcterms:created>
  <dcterms:modified xsi:type="dcterms:W3CDTF">2025-10-09T12:28:08Z</dcterms:modified>
  <cp:category/>
</cp:coreProperties>
</file>