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bl>
    <w:p w:rsidR="00402E1C" w:rsidRDefault="00AF111F" w:rsidP="00402E1C">
      <w:pPr>
        <w:pStyle w:val="Heading2"/>
      </w:pPr>
      <w:r>
        <w:t>Vision</w:t>
      </w:r>
    </w:p>
    <w:p w:rsidR="00C3308E" w:rsidRPr="00C3308E" w:rsidRDefault="00C3308E" w:rsidP="00C3308E">
      <w:r>
        <w:t>Zurzeit studieren rund 1200 Personen an der HSR</w:t>
      </w:r>
      <w:r w:rsidR="00545B7C">
        <w:t xml:space="preserve"> und nochmals etwa 600</w:t>
      </w:r>
      <w:r>
        <w:t xml:space="preserve"> </w:t>
      </w:r>
      <w:r w:rsidR="00545B7C">
        <w:t>werden</w:t>
      </w:r>
      <w:r>
        <w:t xml:space="preserve"> von ihr angestellt.</w:t>
      </w:r>
      <w:bookmarkStart w:id="1" w:name="_GoBack"/>
      <w:bookmarkEnd w:id="1"/>
    </w:p>
    <w:p w:rsidR="00DC33F4" w:rsidRDefault="007B74F2" w:rsidP="007B74F2">
      <w:pPr>
        <w:pStyle w:val="Heading2"/>
      </w:pPr>
      <w:r>
        <w:t>Passanten Analyse</w:t>
      </w:r>
    </w:p>
    <w:p w:rsidR="006E5CF4" w:rsidRDefault="00120E67">
      <w:r>
        <w:t xml:space="preserve">Um festzustellen </w:t>
      </w:r>
      <w:r w:rsidR="00B623FB">
        <w:t xml:space="preserve">mit welchem Abstand zur Wand, an welcher die Video Wall befestigt werden soll, sich die Passanten bewegen, wurde eine Benutzeranalyse durchgeführt. </w:t>
      </w:r>
      <w:r w:rsidR="003D78E0">
        <w:t>Zudem konnten dadurch die verschiedenen Gruppengrössen analysiert werden.</w:t>
      </w:r>
      <w:r w:rsidR="00040982">
        <w:t xml:space="preserve"> Um </w:t>
      </w:r>
      <w:r w:rsidR="006E5CF4">
        <w:t xml:space="preserve">das Verhalten </w:t>
      </w:r>
      <w:r w:rsidR="00040982">
        <w:t>möglichst viele</w:t>
      </w:r>
      <w:r w:rsidR="006E5CF4">
        <w:t>r</w:t>
      </w:r>
      <w:r w:rsidR="00040982">
        <w:t xml:space="preserve"> Personen erfassen zu können, wurden die zwei H</w:t>
      </w:r>
      <w:r w:rsidR="00CB7B0E">
        <w:t>auptaktivitätszeiten ausgesucht, dies ist einerseits die Zehn Uhr und die Mittagspause</w:t>
      </w:r>
      <w:r w:rsidR="007D7C64">
        <w:t>.</w:t>
      </w:r>
    </w:p>
    <w:p w:rsidR="007D7C64" w:rsidRDefault="000B6D9A">
      <w:r>
        <w:t>Zu folgenden Zeiten wurden</w:t>
      </w:r>
      <w:r w:rsidR="004814AD">
        <w:t xml:space="preserve"> 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fldSimple w:instr=" SEQ Tabelle \* ARABIC ">
        <w:r>
          <w:rPr>
            <w:noProof/>
          </w:rPr>
          <w:t>1</w:t>
        </w:r>
      </w:fldSimple>
      <w:r>
        <w:t xml:space="preserve"> </w:t>
      </w:r>
      <w:r w:rsidR="00120AEB">
        <w:t>–</w:t>
      </w:r>
      <w:r>
        <w:t xml:space="preserve"> Beobachtungszeitabschnitte</w:t>
      </w:r>
    </w:p>
    <w:p w:rsidR="00120AEB" w:rsidRDefault="00120AEB" w:rsidP="00120AEB">
      <w:r>
        <w:t>Während diesen Zeiten wurde insgesamt</w:t>
      </w:r>
      <w:r w:rsidR="004B0ACA">
        <w:t xml:space="preserve"> das Verhalten von</w:t>
      </w:r>
      <w:r>
        <w:t xml:space="preserve"> 1512 Personen</w:t>
      </w:r>
      <w:r w:rsidR="004B0ACA">
        <w:t xml:space="preserve"> </w:t>
      </w:r>
      <w:r w:rsidR="009B4C74">
        <w:t>festgehalten</w:t>
      </w:r>
      <w:r>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D5A74" w:rsidRDefault="006D5A74" w:rsidP="006D5A74">
      <w:pPr>
        <w:pStyle w:val="Caption"/>
      </w:pPr>
      <w:r>
        <w:t xml:space="preserve">Abbildung </w:t>
      </w:r>
      <w:r w:rsidR="008B3DC8">
        <w:fldChar w:fldCharType="begin"/>
      </w:r>
      <w:r w:rsidR="008B3DC8">
        <w:instrText xml:space="preserve"> SEQ Abbildung \* ARABIC </w:instrText>
      </w:r>
      <w:r w:rsidR="008B3DC8">
        <w:fldChar w:fldCharType="separate"/>
      </w:r>
      <w:r w:rsidR="001528C8">
        <w:rPr>
          <w:noProof/>
        </w:rPr>
        <w:t>1</w:t>
      </w:r>
      <w:r w:rsidR="008B3DC8">
        <w:rPr>
          <w:noProof/>
        </w:rPr>
        <w:fldChar w:fldCharType="end"/>
      </w:r>
      <w:r>
        <w:t xml:space="preserve"> - Anzahl Personen über die Zeit</w:t>
      </w:r>
    </w:p>
    <w:p w:rsidR="0085280D" w:rsidRDefault="0085280D" w:rsidP="0085280D">
      <w:pPr>
        <w:pStyle w:val="Heading3"/>
      </w:pPr>
      <w:r>
        <w:t>Abstandwerte</w:t>
      </w:r>
    </w:p>
    <w:p w:rsidR="00426561" w:rsidRDefault="00426561" w:rsidP="00426561">
      <w:r>
        <w:lastRenderedPageBreak/>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4D21" w:rsidRDefault="00444D21" w:rsidP="00444D21">
      <w:pPr>
        <w:pStyle w:val="Caption"/>
      </w:pPr>
      <w:r>
        <w:t xml:space="preserve">Abbildung </w:t>
      </w:r>
      <w:r w:rsidR="008B3DC8">
        <w:fldChar w:fldCharType="begin"/>
      </w:r>
      <w:r w:rsidR="008B3DC8">
        <w:instrText xml:space="preserve"> SEQ Abbildung \* ARABIC </w:instrText>
      </w:r>
      <w:r w:rsidR="008B3DC8">
        <w:fldChar w:fldCharType="separate"/>
      </w:r>
      <w:r w:rsidR="001528C8">
        <w:rPr>
          <w:noProof/>
        </w:rPr>
        <w:t>2</w:t>
      </w:r>
      <w:r w:rsidR="008B3DC8">
        <w:rPr>
          <w:noProof/>
        </w:rPr>
        <w:fldChar w:fldCharType="end"/>
      </w:r>
      <w:r>
        <w:t xml:space="preserve"> - Auslastung der Abstandszonen</w:t>
      </w:r>
    </w:p>
    <w:p w:rsidR="00444D21" w:rsidRDefault="00444D21" w:rsidP="00444D21">
      <w:r>
        <w:t>Im Grundriss sind diese Werte auf der folgenden Ansicht noch einmal ersichtlich</w:t>
      </w:r>
    </w:p>
    <w:p w:rsidR="00077156" w:rsidRDefault="00D26F57">
      <w:r>
        <w:rPr>
          <w:noProof/>
          <w:lang w:eastAsia="de-CH"/>
        </w:rPr>
        <w:lastRenderedPageBreak/>
        <w:drawing>
          <wp:inline distT="0" distB="0" distL="0" distR="0" wp14:anchorId="589A5738" wp14:editId="3410F0F0">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1"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r>
        <w:t xml:space="preserve">Abbildung </w:t>
      </w:r>
      <w:r w:rsidR="008B3DC8">
        <w:fldChar w:fldCharType="begin"/>
      </w:r>
      <w:r w:rsidR="008B3DC8">
        <w:instrText xml:space="preserve"> SEQ Abbildung \* ARABIC </w:instrText>
      </w:r>
      <w:r w:rsidR="008B3DC8">
        <w:fldChar w:fldCharType="separate"/>
      </w:r>
      <w:r w:rsidR="001528C8">
        <w:rPr>
          <w:noProof/>
        </w:rPr>
        <w:t>3</w:t>
      </w:r>
      <w:r w:rsidR="008B3DC8">
        <w:rPr>
          <w:noProof/>
        </w:rPr>
        <w:fldChar w:fldCharType="end"/>
      </w:r>
      <w:r>
        <w:t xml:space="preserve"> - Auslastung der Abstandszonen</w:t>
      </w:r>
      <w:r>
        <w:rPr>
          <w:noProof/>
        </w:rPr>
        <w:t>, Grundriss Gebäude 4</w:t>
      </w:r>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6C36" w:rsidRDefault="008F6C36" w:rsidP="008F6C36">
      <w:pPr>
        <w:pStyle w:val="Caption"/>
      </w:pPr>
      <w:r>
        <w:t xml:space="preserve">Abbildung </w:t>
      </w:r>
      <w:r w:rsidR="008B3DC8">
        <w:fldChar w:fldCharType="begin"/>
      </w:r>
      <w:r w:rsidR="008B3DC8">
        <w:instrText xml:space="preserve"> SEQ Abbildung \* ARABIC </w:instrText>
      </w:r>
      <w:r w:rsidR="008B3DC8">
        <w:fldChar w:fldCharType="separate"/>
      </w:r>
      <w:r w:rsidR="001528C8">
        <w:rPr>
          <w:noProof/>
        </w:rPr>
        <w:t>4</w:t>
      </w:r>
      <w:r w:rsidR="008B3DC8">
        <w:rPr>
          <w:noProof/>
        </w:rPr>
        <w:fldChar w:fldCharType="end"/>
      </w:r>
      <w:r>
        <w:t xml:space="preserve"> - Vorkommen der Gruppengrössen</w:t>
      </w:r>
    </w:p>
    <w:p w:rsidR="00760B65" w:rsidRPr="00760B65" w:rsidRDefault="00760B65" w:rsidP="00760B65">
      <w:r>
        <w:t xml:space="preserve">Wichtig für dieses Projekt ist jedoch vor allem wie viele Personen sich in Gruppen oder einzeln bewegen. </w:t>
      </w:r>
      <w:r w:rsidR="006118A4">
        <w:t>Dies kann folgendem Diagramm entnommen werden:</w:t>
      </w:r>
    </w:p>
    <w:p w:rsidR="0077276C" w:rsidRPr="0077276C" w:rsidRDefault="0077276C" w:rsidP="0077276C">
      <w:r>
        <w:rPr>
          <w:noProof/>
          <w:lang w:eastAsia="de-CH"/>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E534B" w:rsidRDefault="002C2C6F" w:rsidP="002C2C6F">
      <w:pPr>
        <w:pStyle w:val="Caption"/>
        <w:rPr>
          <w:rFonts w:asciiTheme="majorHAnsi" w:hAnsiTheme="majorHAnsi"/>
          <w:b w:val="0"/>
          <w:color w:val="FFFFFF" w:themeColor="background1"/>
          <w:spacing w:val="15"/>
          <w:sz w:val="24"/>
          <w:szCs w:val="22"/>
        </w:rPr>
      </w:pPr>
      <w:r>
        <w:t xml:space="preserve">Abbildung </w:t>
      </w:r>
      <w:r w:rsidR="008B3DC8">
        <w:fldChar w:fldCharType="begin"/>
      </w:r>
      <w:r w:rsidR="008B3DC8">
        <w:instrText xml:space="preserve"> SEQ Abbildung \* ARABIC </w:instrText>
      </w:r>
      <w:r w:rsidR="008B3DC8">
        <w:fldChar w:fldCharType="separate"/>
      </w:r>
      <w:r w:rsidR="001528C8">
        <w:rPr>
          <w:noProof/>
        </w:rPr>
        <w:t>5</w:t>
      </w:r>
      <w:r w:rsidR="008B3DC8">
        <w:rPr>
          <w:noProof/>
        </w:rPr>
        <w:fldChar w:fldCharType="end"/>
      </w:r>
      <w:r>
        <w:t xml:space="preserve"> Aufteilung Einzelpersonen zu Gruppen</w:t>
      </w:r>
      <w:r w:rsidR="004E534B">
        <w:br w:type="page"/>
      </w:r>
    </w:p>
    <w:p w:rsidR="00361ABD" w:rsidRDefault="00637BEA" w:rsidP="00DC33F4">
      <w:pPr>
        <w:pStyle w:val="Heading2"/>
      </w:pPr>
      <w:r>
        <w:lastRenderedPageBreak/>
        <w:t>Befragung</w:t>
      </w:r>
    </w:p>
    <w:p w:rsidR="005875F5" w:rsidRDefault="005875F5" w:rsidP="005875F5">
      <w:pPr>
        <w:pStyle w:val="Heading3"/>
      </w:pPr>
      <w:r>
        <w:t>Fragebogen</w:t>
      </w:r>
    </w:p>
    <w:p w:rsidR="0090356D" w:rsidRDefault="0090356D" w:rsidP="0090356D">
      <w:pPr>
        <w:tabs>
          <w:tab w:val="left" w:leader="underscore" w:pos="9072"/>
        </w:tabs>
      </w:pPr>
      <w:r>
        <w:t xml:space="preserve">Name: </w:t>
      </w:r>
      <w:r>
        <w:tab/>
      </w:r>
    </w:p>
    <w:p w:rsidR="0090356D" w:rsidRDefault="0090356D" w:rsidP="0090356D">
      <w:pPr>
        <w:tabs>
          <w:tab w:val="left" w:leader="underscore" w:pos="9072"/>
        </w:tabs>
      </w:pPr>
      <w:r>
        <w:t>Studienrichtung:</w:t>
      </w:r>
      <w:r>
        <w:tab/>
      </w:r>
    </w:p>
    <w:p w:rsidR="0090356D" w:rsidRDefault="0090356D" w:rsidP="0090356D">
      <w:pPr>
        <w:tabs>
          <w:tab w:val="left" w:leader="underscore" w:pos="9072"/>
        </w:tabs>
      </w:pPr>
      <w:r>
        <w:t xml:space="preserve">Semester: </w:t>
      </w:r>
      <w:r>
        <w:tab/>
      </w:r>
    </w:p>
    <w:p w:rsidR="0090356D" w:rsidRDefault="0090356D" w:rsidP="0090356D"/>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98238779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Default="0090356D" w:rsidP="0090356D">
      <w:pPr>
        <w:spacing w:after="0"/>
        <w:rPr>
          <w:rFonts w:ascii="Calibri" w:eastAsia="Times New Roman" w:hAnsi="Calibri" w:cs="Calibri"/>
          <w:b/>
          <w:bCs/>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96358183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194364589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1589881764"/>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49911556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88074977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41251689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Default="0090356D" w:rsidP="0090356D">
      <w:pPr>
        <w:spacing w:after="0"/>
        <w:rPr>
          <w:rFonts w:ascii="Calibri" w:eastAsia="Times New Roman" w:hAnsi="Calibri" w:cs="Calibri"/>
          <w:b/>
          <w:bCs/>
          <w:color w:val="000000"/>
          <w:sz w:val="22"/>
          <w:szCs w:val="22"/>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52679614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C618CB" w:rsidRDefault="00C618CB" w:rsidP="009E05B5"/>
    <w:p w:rsidR="00C618CB" w:rsidRDefault="00C618CB" w:rsidP="00C618CB">
      <w:r>
        <w:br w:type="page"/>
      </w:r>
    </w:p>
    <w:p w:rsidR="007F1ABA" w:rsidRDefault="00C618CB" w:rsidP="00C618CB">
      <w:pPr>
        <w:pStyle w:val="Heading3"/>
      </w:pPr>
      <w:r>
        <w:lastRenderedPageBreak/>
        <w:t>Auswertung</w:t>
      </w:r>
    </w:p>
    <w:p w:rsidR="007F1ABA" w:rsidRDefault="007F1ABA" w:rsidP="007F1ABA">
      <w:pPr>
        <w:rPr>
          <w:rFonts w:asciiTheme="majorHAnsi" w:hAnsiTheme="majorHAnsi"/>
          <w:color w:val="00629E"/>
          <w:spacing w:val="15"/>
          <w:sz w:val="22"/>
          <w:szCs w:val="22"/>
        </w:rPr>
      </w:pPr>
      <w:r>
        <w:br w:type="page"/>
      </w:r>
    </w:p>
    <w:p w:rsidR="003E5974" w:rsidRDefault="007F1ABA" w:rsidP="007F1ABA">
      <w:pPr>
        <w:pStyle w:val="Heading2"/>
      </w:pPr>
      <w:r>
        <w:lastRenderedPageBreak/>
        <w:t>Hardware Setup</w:t>
      </w:r>
    </w:p>
    <w:p w:rsidR="001D6D72" w:rsidRDefault="00F61D70" w:rsidP="001D6D72">
      <w:r>
        <w:t>Die Video Wall</w:t>
      </w:r>
      <w:r w:rsidR="00324B10">
        <w:t xml:space="preserve"> ist für die Wand zwischen Rektorat und de</w:t>
      </w:r>
      <w:r>
        <w:t>m Eingang für die Post geplant.</w:t>
      </w:r>
      <w:r w:rsidR="00394058">
        <w:t xml:space="preserve"> Die Raumhöhe ist aber im Vergleich zu anderen Räumen eher tief, diese beträgt 2.81 Meter. </w:t>
      </w:r>
      <w:r w:rsidR="007651C9">
        <w:t xml:space="preserve">Neben den Räumlichkeiten war auch die optimale Bildschirm Anzahl und Anordnung ein wichtiges Thema. </w:t>
      </w:r>
      <w:r w:rsidR="001D6D72">
        <w:t>Folgende 3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5C4E1C" w:rsidRDefault="005C4E1C" w:rsidP="005C4E1C">
      <w:r>
        <w:t>Für eine realistische Einschätzung wie die Monitor Konstellationen in dem echten Raum wirken, wurden die Seitenverhältnisse der Konstellationen übernommen und auf eine A4 Folie gedruckt. Zusätzlich wurde ein gew</w:t>
      </w:r>
      <w:r w:rsidR="006A2C1C">
        <w:t>ünscht</w:t>
      </w:r>
      <w:r w:rsidR="004F1530">
        <w:t>es Anzeigem</w:t>
      </w:r>
      <w:r w:rsidR="006A2C1C">
        <w:t>edium, in diesem Fall</w:t>
      </w:r>
      <w:r>
        <w:t xml:space="preserve"> ein Poster </w:t>
      </w:r>
      <w:r w:rsidR="006A2C1C">
        <w:t>ebenfalls</w:t>
      </w:r>
      <w:r w:rsidR="004F1530">
        <w:t xml:space="preserve"> auf der Folie</w:t>
      </w:r>
      <w:r w:rsidR="006A2C1C">
        <w:t xml:space="preserve"> platziert.</w:t>
      </w:r>
      <w:r w:rsidR="004F1530">
        <w:t xml:space="preserve"> </w:t>
      </w:r>
      <w:r w:rsidR="005F6A3C">
        <w:t xml:space="preserve">An der Wand, an welcher die Video Wall installiert werden soll, befindet sich zurzeit noch ein Infostand (USM Elemente mit Broschüren, Pinnwand mit Plakaten und öffentlich zugänglicher PC). Daher wurden die Varianten an die gegenüberliegende Seite </w:t>
      </w:r>
      <w:proofErr w:type="spellStart"/>
      <w:r w:rsidR="005F6A3C">
        <w:t>projeziert</w:t>
      </w:r>
      <w:proofErr w:type="spellEnd"/>
      <w:r w:rsidR="005F6A3C">
        <w:t xml:space="preserve">. </w:t>
      </w:r>
      <w:r w:rsidR="002D3FE4">
        <w:t>Der Hellraumprojektor wurde so platziert, dass die Projektion so vergrössert wurde, dass sie den echten Massen der Monitore entspricht.</w:t>
      </w:r>
    </w:p>
    <w:p w:rsidR="001528C8" w:rsidRDefault="001528C8">
      <w:pPr>
        <w:rPr>
          <w:rFonts w:asciiTheme="majorHAnsi" w:hAnsiTheme="majorHAnsi"/>
          <w:b/>
          <w:color w:val="00629E"/>
          <w:spacing w:val="15"/>
          <w:sz w:val="22"/>
          <w:szCs w:val="22"/>
        </w:rPr>
      </w:pPr>
      <w:r>
        <w:br w:type="page"/>
      </w:r>
    </w:p>
    <w:p w:rsidR="001D6D72" w:rsidRDefault="001D6D72" w:rsidP="005C4E1C">
      <w:pPr>
        <w:pStyle w:val="Heading3"/>
      </w:pPr>
      <w:r>
        <w:lastRenderedPageBreak/>
        <w:t>Variante A: 1 x 6 55“ Monitore</w:t>
      </w:r>
    </w:p>
    <w:p w:rsidR="001D6D72" w:rsidRDefault="001D6D72" w:rsidP="001D6D72">
      <w:r>
        <w:rPr>
          <w:noProof/>
          <w:lang w:eastAsia="de-CH"/>
        </w:rPr>
        <w:drawing>
          <wp:inline distT="0" distB="0" distL="0" distR="0">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4"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r w:rsidR="008B3DC8">
        <w:fldChar w:fldCharType="begin"/>
      </w:r>
      <w:r w:rsidR="008B3DC8">
        <w:instrText xml:space="preserve"> SEQ Abbildung \* ARABIC </w:instrText>
      </w:r>
      <w:r w:rsidR="008B3DC8">
        <w:fldChar w:fldCharType="separate"/>
      </w:r>
      <w:r>
        <w:rPr>
          <w:noProof/>
        </w:rPr>
        <w:t>6</w:t>
      </w:r>
      <w:r w:rsidR="008B3DC8">
        <w:rPr>
          <w:noProof/>
        </w:rPr>
        <w:fldChar w:fldCharType="end"/>
      </w:r>
      <w:r>
        <w:t xml:space="preserve"> - Variante A: 1 x 6 55" Monitore, Ansicht</w:t>
      </w:r>
    </w:p>
    <w:p w:rsidR="001528C8" w:rsidRDefault="00324B10" w:rsidP="001D6D72">
      <w:r>
        <w:t>Diese Variante fügt sich von den Abmessungen perfekt in den Gang ein.</w:t>
      </w:r>
      <w:r w:rsidR="003365B7">
        <w:t xml:space="preserve"> Sollen angezeigte Objekte einem Nutzer folgen, sobald dieser an </w:t>
      </w:r>
      <w:proofErr w:type="gramStart"/>
      <w:r w:rsidR="003365B7">
        <w:t>der Wall</w:t>
      </w:r>
      <w:proofErr w:type="gramEnd"/>
      <w:r w:rsidR="003365B7">
        <w:t xml:space="preserve"> verbeiläuft, ergibt sich mit dieser Konstellation dafür auch ein längerer Zeitraum. Jedoch ist dieses Format für klassische Anwendungen wie Video oder Spiele </w:t>
      </w:r>
      <w:r w:rsidR="001528C8">
        <w:t>unvorteilhaft</w:t>
      </w:r>
      <w:r w:rsidR="003365B7">
        <w:t xml:space="preserve">. Es würde zu viel Platz auf den Seiten </w:t>
      </w:r>
      <w:r w:rsidR="005F6A3C">
        <w:t xml:space="preserve">der Bildschirmfläche </w:t>
      </w:r>
      <w:r w:rsidR="003365B7">
        <w:t>ungenutzt bleiben.</w:t>
      </w:r>
      <w:r w:rsidR="001528C8">
        <w:t xml:space="preserve"> Wie in der </w:t>
      </w:r>
      <w:r w:rsidR="001528C8">
        <w:fldChar w:fldCharType="begin"/>
      </w:r>
      <w:r w:rsidR="001528C8">
        <w:instrText xml:space="preserve"> REF _Ref318900849 \h </w:instrText>
      </w:r>
      <w:r w:rsidR="001528C8">
        <w:fldChar w:fldCharType="separate"/>
      </w:r>
      <w:r w:rsidR="001528C8">
        <w:t xml:space="preserve">Abbildung </w:t>
      </w:r>
      <w:r w:rsidR="001528C8">
        <w:rPr>
          <w:noProof/>
        </w:rPr>
        <w:t>7</w:t>
      </w:r>
      <w:r w:rsidR="001528C8">
        <w:t xml:space="preserve"> - Variante A: 1 x 6 55" Monitore, Hellraumprojektor Test</w:t>
      </w:r>
      <w:r w:rsidR="001528C8">
        <w:fldChar w:fldCharType="end"/>
      </w:r>
      <w:r w:rsidR="001528C8">
        <w:t xml:space="preserve"> ersichtlich ist.</w:t>
      </w:r>
      <w:r w:rsidR="005F6A3C">
        <w:t xml:space="preserve"> Durch die geringe Höhe dieser Konstellation wirkt sie in Raum verloren.</w:t>
      </w:r>
    </w:p>
    <w:p w:rsidR="005C4E1C" w:rsidRDefault="005C4E1C" w:rsidP="001D6D72">
      <w:r>
        <w:rPr>
          <w:noProof/>
          <w:lang w:eastAsia="de-CH"/>
        </w:rPr>
        <w:drawing>
          <wp:inline distT="0" distB="0" distL="0" distR="0" wp14:anchorId="39F15294" wp14:editId="79F9DDAA">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5"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2" w:name="_Ref318900849"/>
      <w:r>
        <w:t xml:space="preserve">Abbildung </w:t>
      </w:r>
      <w:r w:rsidR="008B3DC8">
        <w:fldChar w:fldCharType="begin"/>
      </w:r>
      <w:r w:rsidR="008B3DC8">
        <w:instrText xml:space="preserve"> SEQ Abbildung \* ARABIC </w:instrText>
      </w:r>
      <w:r w:rsidR="008B3DC8">
        <w:fldChar w:fldCharType="separate"/>
      </w:r>
      <w:r>
        <w:rPr>
          <w:noProof/>
        </w:rPr>
        <w:t>7</w:t>
      </w:r>
      <w:r w:rsidR="008B3DC8">
        <w:rPr>
          <w:noProof/>
        </w:rPr>
        <w:fldChar w:fldCharType="end"/>
      </w:r>
      <w:r>
        <w:t xml:space="preserve"> - Variante A: 1 x 6 55" Monitore, Hellraumprojektor Test</w:t>
      </w:r>
      <w:bookmarkEnd w:id="2"/>
    </w:p>
    <w:p w:rsidR="001D6D72" w:rsidRDefault="001D6D72" w:rsidP="001D6D72">
      <w:pPr>
        <w:pStyle w:val="Heading3"/>
      </w:pPr>
      <w:r>
        <w:t>Variante B: 4 x 4 55“ Monitore</w:t>
      </w:r>
    </w:p>
    <w:p w:rsidR="001528C8" w:rsidRDefault="001D6D72" w:rsidP="001D6D72">
      <w:r>
        <w:rPr>
          <w:noProof/>
          <w:lang w:eastAsia="de-CH"/>
        </w:rPr>
        <w:lastRenderedPageBreak/>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4"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4"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C8" w:rsidRDefault="008B3DC8" w:rsidP="008F2373">
      <w:pPr>
        <w:spacing w:after="0"/>
      </w:pPr>
      <w:r>
        <w:separator/>
      </w:r>
    </w:p>
  </w:endnote>
  <w:endnote w:type="continuationSeparator" w:id="0">
    <w:p w:rsidR="008B3DC8" w:rsidRDefault="008B3DC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C3308E">
      <w:rPr>
        <w:noProof/>
      </w:rPr>
      <w:t>7.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45B7C" w:rsidRPr="00545B7C">
      <w:rPr>
        <w:b/>
        <w:noProof/>
        <w:lang w:val="de-DE"/>
      </w:rPr>
      <w:t>1</w:t>
    </w:r>
    <w:r w:rsidR="00AF4AE0">
      <w:rPr>
        <w:b/>
      </w:rPr>
      <w:fldChar w:fldCharType="end"/>
    </w:r>
    <w:r w:rsidR="008F2373">
      <w:rPr>
        <w:lang w:val="de-DE"/>
      </w:rPr>
      <w:t xml:space="preserve"> von </w:t>
    </w:r>
    <w:r w:rsidR="008B3DC8">
      <w:fldChar w:fldCharType="begin"/>
    </w:r>
    <w:r w:rsidR="008B3DC8">
      <w:instrText>NUMPAGES  \* Arabic  \* MERGEFORMAT</w:instrText>
    </w:r>
    <w:r w:rsidR="008B3DC8">
      <w:fldChar w:fldCharType="separate"/>
    </w:r>
    <w:r w:rsidR="00545B7C" w:rsidRPr="00545B7C">
      <w:rPr>
        <w:b/>
        <w:noProof/>
        <w:lang w:val="de-DE"/>
      </w:rPr>
      <w:t>9</w:t>
    </w:r>
    <w:r w:rsidR="008B3DC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C8" w:rsidRDefault="008B3DC8" w:rsidP="008F2373">
      <w:pPr>
        <w:spacing w:after="0"/>
      </w:pPr>
      <w:r>
        <w:separator/>
      </w:r>
    </w:p>
  </w:footnote>
  <w:footnote w:type="continuationSeparator" w:id="0">
    <w:p w:rsidR="008B3DC8" w:rsidRDefault="008B3DC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3"/>
  </w:num>
  <w:num w:numId="4">
    <w:abstractNumId w:val="9"/>
  </w:num>
  <w:num w:numId="5">
    <w:abstractNumId w:val="8"/>
  </w:num>
  <w:num w:numId="6">
    <w:abstractNumId w:val="11"/>
  </w:num>
  <w:num w:numId="7">
    <w:abstractNumId w:val="12"/>
  </w:num>
  <w:num w:numId="8">
    <w:abstractNumId w:val="0"/>
  </w:num>
  <w:num w:numId="9">
    <w:abstractNumId w:val="2"/>
  </w:num>
  <w:num w:numId="10">
    <w:abstractNumId w:val="1"/>
  </w:num>
  <w:num w:numId="11">
    <w:abstractNumId w:val="10"/>
  </w:num>
  <w:num w:numId="12">
    <w:abstractNumId w:val="6"/>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225DD"/>
    <w:rsid w:val="0003203E"/>
    <w:rsid w:val="00040982"/>
    <w:rsid w:val="00045A3C"/>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20AEB"/>
    <w:rsid w:val="00120E67"/>
    <w:rsid w:val="001337FF"/>
    <w:rsid w:val="0014503D"/>
    <w:rsid w:val="001528C8"/>
    <w:rsid w:val="00153E6F"/>
    <w:rsid w:val="001609C2"/>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7CC2"/>
    <w:rsid w:val="00301F1C"/>
    <w:rsid w:val="00314A8E"/>
    <w:rsid w:val="00324B10"/>
    <w:rsid w:val="003324F5"/>
    <w:rsid w:val="003365B7"/>
    <w:rsid w:val="00352995"/>
    <w:rsid w:val="00353578"/>
    <w:rsid w:val="00361ABD"/>
    <w:rsid w:val="00381B2C"/>
    <w:rsid w:val="00394058"/>
    <w:rsid w:val="003A0ADD"/>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6465"/>
    <w:rsid w:val="004A070C"/>
    <w:rsid w:val="004A43AA"/>
    <w:rsid w:val="004B0ACA"/>
    <w:rsid w:val="004C0739"/>
    <w:rsid w:val="004C2220"/>
    <w:rsid w:val="004D522A"/>
    <w:rsid w:val="004E534B"/>
    <w:rsid w:val="004F1530"/>
    <w:rsid w:val="00506318"/>
    <w:rsid w:val="0050684A"/>
    <w:rsid w:val="0053007C"/>
    <w:rsid w:val="005320A6"/>
    <w:rsid w:val="005407C8"/>
    <w:rsid w:val="00545B7C"/>
    <w:rsid w:val="005532E5"/>
    <w:rsid w:val="00560405"/>
    <w:rsid w:val="00561AEA"/>
    <w:rsid w:val="00567864"/>
    <w:rsid w:val="005743C4"/>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118A4"/>
    <w:rsid w:val="00613195"/>
    <w:rsid w:val="006156A4"/>
    <w:rsid w:val="006211F6"/>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5280D"/>
    <w:rsid w:val="00870C31"/>
    <w:rsid w:val="008722E3"/>
    <w:rsid w:val="00887085"/>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A"/>
    <w:rsid w:val="00974170"/>
    <w:rsid w:val="00976450"/>
    <w:rsid w:val="00976894"/>
    <w:rsid w:val="00986E0E"/>
    <w:rsid w:val="00992A18"/>
    <w:rsid w:val="009962A5"/>
    <w:rsid w:val="009A060D"/>
    <w:rsid w:val="009A2DEF"/>
    <w:rsid w:val="009A48A3"/>
    <w:rsid w:val="009B283A"/>
    <w:rsid w:val="009B4C74"/>
    <w:rsid w:val="009C4A89"/>
    <w:rsid w:val="009E05B5"/>
    <w:rsid w:val="009E072F"/>
    <w:rsid w:val="009E4FD9"/>
    <w:rsid w:val="009E7E2F"/>
    <w:rsid w:val="009F0453"/>
    <w:rsid w:val="009F4E6A"/>
    <w:rsid w:val="009F5349"/>
    <w:rsid w:val="00A06B4F"/>
    <w:rsid w:val="00A31DA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5526F"/>
    <w:rsid w:val="00B5674E"/>
    <w:rsid w:val="00B623FB"/>
    <w:rsid w:val="00B712B5"/>
    <w:rsid w:val="00B920E7"/>
    <w:rsid w:val="00BA2470"/>
    <w:rsid w:val="00BB1425"/>
    <w:rsid w:val="00BB289B"/>
    <w:rsid w:val="00BC3D6A"/>
    <w:rsid w:val="00BC64A4"/>
    <w:rsid w:val="00BD4531"/>
    <w:rsid w:val="00BE6DFC"/>
    <w:rsid w:val="00BF1750"/>
    <w:rsid w:val="00C14F5B"/>
    <w:rsid w:val="00C20E2C"/>
    <w:rsid w:val="00C22202"/>
    <w:rsid w:val="00C3308E"/>
    <w:rsid w:val="00C34D92"/>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2879"/>
    <w:rsid w:val="00CB5B30"/>
    <w:rsid w:val="00CB7B0E"/>
    <w:rsid w:val="00CC5D9B"/>
    <w:rsid w:val="00CD42C7"/>
    <w:rsid w:val="00CE0072"/>
    <w:rsid w:val="00CE533D"/>
    <w:rsid w:val="00CF7C6B"/>
    <w:rsid w:val="00D03F49"/>
    <w:rsid w:val="00D0606E"/>
    <w:rsid w:val="00D072D8"/>
    <w:rsid w:val="00D106FE"/>
    <w:rsid w:val="00D1407B"/>
    <w:rsid w:val="00D26F57"/>
    <w:rsid w:val="00D32379"/>
    <w:rsid w:val="00D36BAE"/>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30DE"/>
    <w:rsid w:val="00E5522E"/>
    <w:rsid w:val="00E56DB5"/>
    <w:rsid w:val="00E66AFD"/>
    <w:rsid w:val="00E711E0"/>
    <w:rsid w:val="00E757CA"/>
    <w:rsid w:val="00E860CF"/>
    <w:rsid w:val="00E87169"/>
    <w:rsid w:val="00EA10FA"/>
    <w:rsid w:val="00EA18CE"/>
    <w:rsid w:val="00EA2F23"/>
    <w:rsid w:val="00EE2997"/>
    <w:rsid w:val="00EE2AB1"/>
    <w:rsid w:val="00EE2AFB"/>
    <w:rsid w:val="00EE3281"/>
    <w:rsid w:val="00EF676F"/>
    <w:rsid w:val="00F14036"/>
    <w:rsid w:val="00F21003"/>
    <w:rsid w:val="00F30F5B"/>
    <w:rsid w:val="00F37EE6"/>
    <w:rsid w:val="00F42E13"/>
    <w:rsid w:val="00F559D6"/>
    <w:rsid w:val="00F615AF"/>
    <w:rsid w:val="00F61D70"/>
    <w:rsid w:val="00F75EAF"/>
    <w:rsid w:val="00F8391A"/>
    <w:rsid w:val="00F842AC"/>
    <w:rsid w:val="00F9181E"/>
    <w:rsid w:val="00FA0A45"/>
    <w:rsid w:val="00FA4200"/>
    <w:rsid w:val="00FA78A4"/>
    <w:rsid w:val="00FB472D"/>
    <w:rsid w:val="00FB7E05"/>
    <w:rsid w:val="00FC564C"/>
    <w:rsid w:val="00FC5B3C"/>
    <w:rsid w:val="00FE05E2"/>
    <w:rsid w:val="00FE62F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45066112"/>
        <c:axId val="45805952"/>
      </c:lineChart>
      <c:catAx>
        <c:axId val="45066112"/>
        <c:scaling>
          <c:orientation val="minMax"/>
        </c:scaling>
        <c:delete val="0"/>
        <c:axPos val="b"/>
        <c:majorTickMark val="out"/>
        <c:minorTickMark val="none"/>
        <c:tickLblPos val="nextTo"/>
        <c:crossAx val="45805952"/>
        <c:crosses val="autoZero"/>
        <c:auto val="1"/>
        <c:lblAlgn val="ctr"/>
        <c:lblOffset val="100"/>
        <c:noMultiLvlLbl val="0"/>
      </c:catAx>
      <c:valAx>
        <c:axId val="45805952"/>
        <c:scaling>
          <c:orientation val="minMax"/>
        </c:scaling>
        <c:delete val="0"/>
        <c:axPos val="l"/>
        <c:majorGridlines/>
        <c:numFmt formatCode="General" sourceLinked="1"/>
        <c:majorTickMark val="out"/>
        <c:minorTickMark val="none"/>
        <c:tickLblPos val="nextTo"/>
        <c:crossAx val="450661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53D69-32B7-4B6C-86F2-C2A0DB0D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730</Words>
  <Characters>4602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227</cp:revision>
  <dcterms:created xsi:type="dcterms:W3CDTF">2012-02-24T08:17:00Z</dcterms:created>
  <dcterms:modified xsi:type="dcterms:W3CDTF">2012-03-07T15:47:00Z</dcterms:modified>
</cp:coreProperties>
</file>