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r>
        <w:t>Entwurf</w:t>
      </w:r>
      <w:bookmarkEnd w:id="0"/>
    </w:p>
    <w:p w:rsidR="007B716D" w:rsidRDefault="007B716D" w:rsidP="002E374D">
      <w:pPr>
        <w:pStyle w:val="berschrift3"/>
      </w:pPr>
      <w:bookmarkStart w:id="1" w:name="_Toc287347253"/>
      <w:bookmarkStart w:id="2" w:name="_Toc325440850"/>
      <w:r>
        <w:t>Änderungsgeschichte</w:t>
      </w:r>
      <w:bookmarkEnd w:id="1"/>
      <w:bookmarkEnd w:id="2"/>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3" w:name="_Toc325440851"/>
      <w:r>
        <w:lastRenderedPageBreak/>
        <w:t>Design Entscheide</w:t>
      </w:r>
      <w:bookmarkEnd w:id="3"/>
    </w:p>
    <w:p w:rsidR="00AD2C71" w:rsidRDefault="00AD2C71" w:rsidP="002E374D">
      <w:pPr>
        <w:pStyle w:val="berschrift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unotenzeichen"/>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berschrift5"/>
      </w:pPr>
      <w:bookmarkStart w:id="7" w:name="_Ref318986646"/>
      <w:bookmarkStart w:id="8" w:name="_Toc325440854"/>
      <w:r>
        <w:t>Framework 2: OpenNI</w:t>
      </w:r>
      <w:r w:rsidR="00111EC2">
        <w:rPr>
          <w:rStyle w:val="Funotenzeichen"/>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berschrift5"/>
      </w:pPr>
      <w:bookmarkStart w:id="9" w:name="_Toc325440855"/>
      <w:r>
        <w:t>Framework 3: OpenKinect</w:t>
      </w:r>
      <w:r w:rsidR="00767682">
        <w:rPr>
          <w:rStyle w:val="Funotenzeichen"/>
        </w:rPr>
        <w:footnoteReference w:id="5"/>
      </w:r>
      <w:r w:rsidR="00D76CA7">
        <w:t xml:space="preserve"> / libfreenect</w:t>
      </w:r>
      <w:r w:rsidR="00D76CA7">
        <w:rPr>
          <w:rStyle w:val="Funotenzeichen"/>
        </w:rPr>
        <w:footnoteReference w:id="6"/>
      </w:r>
      <w:bookmarkEnd w:id="9"/>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berschrift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berschrift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berschrift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17" w:name="_Toc325440860"/>
      <w:r>
        <w:t>Varianten</w:t>
      </w:r>
      <w:bookmarkEnd w:id="17"/>
    </w:p>
    <w:p w:rsidR="00D15585" w:rsidRDefault="00D15585" w:rsidP="002E374D">
      <w:pPr>
        <w:pStyle w:val="berschrift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25" w:name="_Ref322071085"/>
      <w:r>
        <w:t xml:space="preserve">Tabelle </w:t>
      </w:r>
      <w:fldSimple w:instr=" SEQ Tabelle \* ARABIC ">
        <w:r>
          <w:rPr>
            <w:noProof/>
          </w:rPr>
          <w:t>2</w:t>
        </w:r>
      </w:fldSimple>
      <w:r>
        <w:t>- Nutzwertanalyse: PDF Darstellung</w:t>
      </w:r>
      <w:bookmarkEnd w:id="25"/>
    </w:p>
    <w:p w:rsidR="00132938" w:rsidRDefault="00132938" w:rsidP="00132938">
      <w:pPr>
        <w:pStyle w:val="berschrift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r>
        <w:t>Lebenszyklus der Applikation</w:t>
      </w:r>
    </w:p>
    <w:p w:rsidR="00132938" w:rsidRDefault="00132938" w:rsidP="00132938">
      <w:pPr>
        <w:pStyle w:val="berschrift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Deployment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Bis Oktober 2012: Weiterentwicklung der Videowall bis im Oktober 2012 (siehe auch TODO: ref Weiterentwicklung)</w:t>
      </w:r>
    </w:p>
    <w:p w:rsidR="00132938" w:rsidRDefault="00132938" w:rsidP="00132938">
      <w:pPr>
        <w:pStyle w:val="Listenabsatz"/>
        <w:numPr>
          <w:ilvl w:val="0"/>
          <w:numId w:val="9"/>
        </w:numPr>
      </w:pPr>
      <w:r>
        <w:t xml:space="preserve">Ende Oktober: erstes Deployment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r>
        <w:t>Plug-i</w:t>
      </w:r>
      <w:r w:rsidR="00132938">
        <w:t>ns</w:t>
      </w:r>
    </w:p>
    <w:p w:rsidR="002F0949" w:rsidRDefault="00186FBC" w:rsidP="002F0949">
      <w:r>
        <w:t xml:space="preserve">Ein denkbarer Ablauf ist für das Erstellen und Deployen </w:t>
      </w:r>
      <w:r w:rsidR="00DF30DF">
        <w:t>der</w:t>
      </w:r>
      <w:r>
        <w:t xml:space="preserve"> Plug-ins ist im Kapitel (TODO ref</w:t>
      </w:r>
      <w:r w:rsidR="0092006C">
        <w:t xml:space="preserve"> domain analyse</w:t>
      </w:r>
      <w:r>
        <w:t>) beschrieben.</w:t>
      </w:r>
      <w:r w:rsidR="002F0949" w:rsidRPr="002F0949">
        <w:t xml:space="preserve"> </w:t>
      </w:r>
    </w:p>
    <w:p w:rsidR="002F0949" w:rsidRDefault="002F0949" w:rsidP="002F0949">
      <w:pPr>
        <w:pStyle w:val="berschrift3"/>
      </w:pPr>
      <w:r>
        <w:t>Systemübersicht</w:t>
      </w:r>
    </w:p>
    <w:p w:rsidR="002F0949" w:rsidRDefault="002F0949" w:rsidP="002F0949">
      <w:r>
        <w:t xml:space="preserve">In der Domain Analyse sind die Tiers der gewünschten Architektur grob beschrieben.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0DDD9753" wp14:editId="0903090C">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Beschriftung"/>
      </w:pPr>
      <w:bookmarkStart w:id="27" w:name="_Ref327185437"/>
      <w:r>
        <w:t xml:space="preserve">Abbildung </w:t>
      </w:r>
      <w:r>
        <w:fldChar w:fldCharType="begin"/>
      </w:r>
      <w:r>
        <w:instrText xml:space="preserve"> SEQ Abbildung \* ARABIC </w:instrText>
      </w:r>
      <w:r>
        <w:fldChar w:fldCharType="separate"/>
      </w:r>
      <w:r>
        <w:rPr>
          <w:noProof/>
        </w:rPr>
        <w:t>1</w:t>
      </w:r>
      <w:r>
        <w:rPr>
          <w:noProof/>
        </w:rPr>
        <w:fldChar w:fldCharType="end"/>
      </w:r>
      <w:r>
        <w:t xml:space="preserve"> </w:t>
      </w:r>
      <w:r w:rsidR="00C3630A">
        <w:t>–</w:t>
      </w:r>
      <w:r>
        <w:t xml:space="preserve"> Systemübersicht</w:t>
      </w:r>
      <w:bookmarkEnd w:id="27"/>
    </w:p>
    <w:p w:rsidR="00C3630A" w:rsidRDefault="00C3630A" w:rsidP="00C3630A">
      <w:r>
        <w:t>Der Prototyp der Machbarkeitsstudie bietet folgende Funktionen:</w:t>
      </w:r>
    </w:p>
    <w:p w:rsidR="00C3630A" w:rsidRPr="00C3630A" w:rsidRDefault="00C3630A" w:rsidP="00C3630A">
      <w:r>
        <w:t>TODO</w:t>
      </w:r>
      <w:bookmarkStart w:id="28" w:name="_GoBack"/>
      <w:bookmarkEnd w:id="28"/>
    </w:p>
    <w:p w:rsidR="006307E6" w:rsidRDefault="006307E6" w:rsidP="00DE349A">
      <w:pPr>
        <w:pStyle w:val="berschrift3"/>
      </w:pPr>
      <w:bookmarkStart w:id="29" w:name="_Toc325440865"/>
      <w:r>
        <w:t>Architektur</w:t>
      </w:r>
      <w:bookmarkEnd w:id="29"/>
    </w:p>
    <w:p w:rsidR="00B05036" w:rsidRPr="00B05036" w:rsidRDefault="00B05036" w:rsidP="001207E3">
      <w:pPr>
        <w:pStyle w:val="berschrift4"/>
      </w:pPr>
      <w:bookmarkStart w:id="30" w:name="_Toc325440872"/>
      <w:bookmarkStart w:id="31" w:name="_Ref326391821"/>
      <w:bookmarkStart w:id="32" w:name="_Ref326391827"/>
      <w:r>
        <w:t>Logische Sicht</w:t>
      </w:r>
      <w:bookmarkEnd w:id="30"/>
      <w:bookmarkEnd w:id="31"/>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33" w:name="_Ref322103519"/>
      <w:r>
        <w:t xml:space="preserve">Abbildung </w:t>
      </w:r>
      <w:fldSimple w:instr=" SEQ Abbildung \* ARABIC ">
        <w:r w:rsidR="00BC6AD3">
          <w:rPr>
            <w:noProof/>
          </w:rPr>
          <w:t>2</w:t>
        </w:r>
      </w:fldSimple>
      <w:r>
        <w:t xml:space="preserve"> - Architektur Diagramm</w:t>
      </w:r>
      <w:bookmarkEnd w:id="33"/>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berschrift5"/>
      </w:pPr>
      <w:bookmarkStart w:id="34" w:name="_Toc325440873"/>
      <w:r w:rsidRPr="005E7C77">
        <w:t>Common</w:t>
      </w:r>
      <w:bookmarkEnd w:id="34"/>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r>
        <w:t>ResourceLoader</w:t>
      </w:r>
    </w:p>
    <w:p w:rsidR="005E7C77" w:rsidRDefault="00DA0D0D" w:rsidP="00F1540F">
      <w:r>
        <w:lastRenderedPageBreak/>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berschrift5"/>
      </w:pPr>
      <w:r>
        <w:t>Interfaces</w:t>
      </w:r>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berschrift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berschrift5"/>
      </w:pPr>
      <w:bookmarkStart w:id="36" w:name="_Toc325440875"/>
      <w:r>
        <w:t>Service</w:t>
      </w:r>
      <w:bookmarkEnd w:id="36"/>
      <w:r w:rsidR="002B027A">
        <w:t>Model</w:t>
      </w:r>
      <w:r w:rsidR="00E11414">
        <w:t>s</w:t>
      </w:r>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berschrift5"/>
      </w:pPr>
      <w:bookmarkStart w:id="37" w:name="_Toc325440876"/>
      <w:r>
        <w:t>ViewModels</w:t>
      </w:r>
      <w:bookmarkEnd w:id="37"/>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berschrift5"/>
      </w:pPr>
      <w:bookmarkStart w:id="38" w:name="_Toc325440877"/>
      <w:r>
        <w:t>Views</w:t>
      </w:r>
      <w:bookmarkEnd w:id="38"/>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berschrift4"/>
      </w:pPr>
      <w:r>
        <w:lastRenderedPageBreak/>
        <w:t>Patterns</w:t>
      </w:r>
    </w:p>
    <w:p w:rsidR="00FA3413" w:rsidRPr="00FA3413" w:rsidRDefault="00FA3413" w:rsidP="00FA3413">
      <w:r>
        <w:t>Nachfolgend sind die verwendeten Patterns beschrieben.</w:t>
      </w:r>
    </w:p>
    <w:p w:rsidR="008E17FE" w:rsidRDefault="008E17FE" w:rsidP="008E17FE">
      <w:pPr>
        <w:pStyle w:val="berschrift5"/>
      </w:pPr>
      <w:r>
        <w:t>MVVM</w:t>
      </w:r>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berschrift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p>
    <w:p w:rsidR="00582EFC" w:rsidRDefault="00340A5A" w:rsidP="0068261B">
      <w:r>
        <w:t>Damit die Komponenten jederzeit und einfach ausgetauscht werden könn</w:t>
      </w:r>
      <w:r w:rsidR="006E7E03">
        <w:t>en, wurde mit Unity Containern</w:t>
      </w:r>
      <w:bookmarkStart w:id="39" w:name="_Ref327097242"/>
      <w:r w:rsidR="006E7E03">
        <w:rPr>
          <w:rStyle w:val="Funotenzeichen"/>
        </w:rPr>
        <w:footnoteReference w:id="9"/>
      </w:r>
      <w:bookmarkEnd w:id="39"/>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berschrift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r>
        <w:t>Plug-in Framework</w:t>
      </w:r>
      <w:r>
        <w:fldChar w:fldCharType="end"/>
      </w:r>
      <w:r>
        <w:t>) nachgelesen werden.</w:t>
      </w:r>
    </w:p>
    <w:p w:rsidR="00810E75" w:rsidRDefault="00810E75" w:rsidP="00810E75">
      <w:pPr>
        <w:pStyle w:val="berschrift4"/>
      </w:pPr>
      <w:r>
        <w:t>Prozesse und Threads</w:t>
      </w:r>
    </w:p>
    <w:p w:rsidR="00F02044" w:rsidRDefault="00F02044" w:rsidP="00F02044">
      <w:pPr>
        <w:pStyle w:val="berschrift5"/>
      </w:pPr>
      <w:r>
        <w:t>Allgemein</w:t>
      </w:r>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BC6AD3">
          <w:rPr>
            <w:noProof/>
          </w:rPr>
          <w:t>11</w:t>
        </w:r>
      </w:fldSimple>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r>
        <w:t>Kinect</w:t>
      </w:r>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r>
        <w:t>Plug-</w:t>
      </w:r>
      <w:r w:rsidR="001D7BB0">
        <w:t>i</w:t>
      </w:r>
      <w:r>
        <w:t>ns</w:t>
      </w:r>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berschrift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40" w:name="_Ref326237304"/>
      <w:bookmarkStart w:id="41" w:name="_Ref324343900"/>
      <w:bookmarkStart w:id="42" w:name="_Toc324860370"/>
      <w:bookmarkStart w:id="43" w:name="_Toc325440878"/>
      <w:bookmarkStart w:id="44" w:name="_Ref326482694"/>
      <w:bookmarkStart w:id="45" w:name="_Ref326482698"/>
      <w:bookmarkStart w:id="46" w:name="_Ref327171123"/>
      <w:bookmarkStart w:id="47" w:name="_Ref327171125"/>
      <w:r>
        <w:lastRenderedPageBreak/>
        <w:t>Plug-in Framework</w:t>
      </w:r>
      <w:bookmarkEnd w:id="40"/>
    </w:p>
    <w:p w:rsidR="001810A9" w:rsidRDefault="001810A9" w:rsidP="001810A9">
      <w:pPr>
        <w:pStyle w:val="berschrift4"/>
      </w:pPr>
      <w:bookmarkStart w:id="48" w:name="_Ref325447589"/>
      <w:r>
        <w:t>Grundlagen</w:t>
      </w:r>
      <w:bookmarkEnd w:id="48"/>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49" w:name="_Ref327097190"/>
      <w:r>
        <w:rPr>
          <w:rStyle w:val="Funotenzeichen"/>
        </w:rPr>
        <w:footnoteReference w:id="11"/>
      </w:r>
      <w:bookmarkEnd w:id="4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07DE4ADE" wp14:editId="75EADAA5">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Pr>
            <w:noProof/>
          </w:rPr>
          <w:t>3</w:t>
        </w:r>
      </w:fldSimple>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4DD2EE64" wp14:editId="3010554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Pr>
            <w:noProof/>
          </w:rPr>
          <w:t>4</w:t>
        </w:r>
      </w:fldSimple>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DA58F83" wp14:editId="537F904C">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Pr>
            <w:noProof/>
          </w:rPr>
          <w:t>5</w:t>
        </w:r>
      </w:fldSimple>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5FCF8940" wp14:editId="37D14DB1">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Pr>
            <w:noProof/>
          </w:rPr>
          <w:t>6</w:t>
        </w:r>
      </w:fldSimple>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Pr="00D645E2">
        <w:rPr>
          <w:rStyle w:val="Funotenzeichen"/>
        </w:rPr>
        <w:t>11</w:t>
      </w:r>
      <w:r>
        <w:fldChar w:fldCharType="end"/>
      </w:r>
      <w:r>
        <w:t xml:space="preserve"> aus.</w:t>
      </w:r>
    </w:p>
    <w:p w:rsidR="001810A9" w:rsidRPr="006A33CD" w:rsidRDefault="001810A9" w:rsidP="001810A9">
      <w:pPr>
        <w:pStyle w:val="berschrift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739E5949" wp14:editId="1CD44B7E">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50" w:name="_Ref325447852"/>
      <w:r>
        <w:t xml:space="preserve">Abbildung </w:t>
      </w:r>
      <w:fldSimple w:instr=" SEQ Abbildung \* ARABIC ">
        <w:r>
          <w:rPr>
            <w:noProof/>
          </w:rPr>
          <w:t>7</w:t>
        </w:r>
      </w:fldSimple>
      <w:r>
        <w:t xml:space="preserve"> - Anfängliche Implementation des Interfaces IApp</w:t>
      </w:r>
      <w:bookmarkEnd w:id="50"/>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berschrift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unotenzeichen"/>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1760F1EC" wp14:editId="7D2DB9B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51" w:name="_Ref325448935"/>
      <w:r>
        <w:t xml:space="preserve">Abbildung </w:t>
      </w:r>
      <w:fldSimple w:instr=" SEQ Abbildung \* ARABIC ">
        <w:r>
          <w:rPr>
            <w:noProof/>
          </w:rPr>
          <w:t>8</w:t>
        </w:r>
      </w:fldSimple>
      <w:r>
        <w:t xml:space="preserve"> - </w:t>
      </w:r>
      <w:r w:rsidRPr="003B0930">
        <w:t>Das IApp Interface</w:t>
      </w:r>
      <w:bookmarkEnd w:id="51"/>
    </w:p>
    <w:p w:rsidR="001810A9" w:rsidRPr="00722C60" w:rsidRDefault="001810A9" w:rsidP="001810A9">
      <w:r>
        <w:t xml:space="preserve">Das IApp Interface (siehe </w:t>
      </w:r>
      <w:r>
        <w:fldChar w:fldCharType="begin"/>
      </w:r>
      <w:r>
        <w:instrText xml:space="preserve"> REF _Ref325448935 \h </w:instrText>
      </w:r>
      <w:r>
        <w:fldChar w:fldCharType="separate"/>
      </w:r>
      <w:r>
        <w:t xml:space="preserve">Abbildung </w:t>
      </w:r>
      <w:r>
        <w:rPr>
          <w:noProof/>
        </w:rPr>
        <w:t>4</w:t>
      </w:r>
      <w:r>
        <w:t xml:space="preserve"> - </w:t>
      </w:r>
      <w:r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5E3A3FD3" wp14:editId="7BAF7138">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Pr>
            <w:noProof/>
          </w:rPr>
          <w:t>9</w:t>
        </w:r>
      </w:fldSimple>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berschrift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14975CF2" wp14:editId="0DD55D19">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Beschriftung"/>
      </w:pPr>
      <w:bookmarkStart w:id="52" w:name="_Ref326398115"/>
      <w:r>
        <w:t xml:space="preserve">Abbildung </w:t>
      </w:r>
      <w:fldSimple w:instr=" SEQ Abbildung \* ARABIC ">
        <w:r>
          <w:rPr>
            <w:noProof/>
          </w:rPr>
          <w:t>10</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52"/>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berschrift3"/>
      </w:pPr>
      <w:r w:rsidRPr="00307B11">
        <w:lastRenderedPageBreak/>
        <w:t>U</w:t>
      </w:r>
      <w:r w:rsidRPr="00307B11">
        <w:rPr>
          <w:rStyle w:val="berschrift5Zchn"/>
          <w:i w:val="0"/>
        </w:rPr>
        <w:t>m</w:t>
      </w:r>
      <w:r w:rsidRPr="00307B11">
        <w:t>setzung des Demomodus</w:t>
      </w:r>
      <w:bookmarkEnd w:id="41"/>
      <w:bookmarkEnd w:id="42"/>
    </w:p>
    <w:p w:rsidR="00BF20D4" w:rsidRPr="00BF20D4" w:rsidRDefault="001D73BD" w:rsidP="00BF20D4">
      <w:r>
        <w:t>Die für den Demomodus gesammelten Ideen sind im Kapitel (TODO Link  Domainanalyse Demomodus) zu finden.</w:t>
      </w:r>
    </w:p>
    <w:p w:rsidR="00BF20D4" w:rsidRDefault="00BF20D4" w:rsidP="001810A9">
      <w:pPr>
        <w:pStyle w:val="berschrift5"/>
      </w:pPr>
      <w:bookmarkStart w:id="53" w:name="_Ref324520798"/>
      <w:bookmarkStart w:id="54" w:name="_Toc324860368"/>
      <w:r>
        <w:t>Besprechung des Demomodus „Kraftfeld“</w:t>
      </w:r>
      <w:bookmarkEnd w:id="53"/>
      <w:bookmarkEnd w:id="54"/>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fldChar w:fldCharType="begin"/>
      </w:r>
      <w:r>
        <w:instrText xml:space="preserve"> REF _Ref324342112 \h </w:instrText>
      </w:r>
      <w:r>
        <w:fldChar w:fldCharType="separate"/>
      </w:r>
      <w:r>
        <w:t xml:space="preserve">Abbildung </w:t>
      </w:r>
      <w:r>
        <w:rPr>
          <w:noProof/>
        </w:rPr>
        <w:t>17</w:t>
      </w:r>
      <w:r>
        <w:t xml:space="preserve"> - Teilaufgaben des Demomodus "Kraftfeld"</w: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BF20D4" w:rsidRDefault="00BF20D4" w:rsidP="00BF20D4">
      <w:pPr>
        <w:keepNext/>
      </w:pPr>
      <w:r>
        <w:rPr>
          <w:noProof/>
          <w:lang w:eastAsia="de-CH"/>
        </w:rPr>
        <w:drawing>
          <wp:inline distT="0" distB="0" distL="0" distR="0" wp14:anchorId="344FF210" wp14:editId="7A062F9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BF20D4" w:rsidP="00BF20D4">
      <w:pPr>
        <w:pStyle w:val="Beschriftung"/>
      </w:pPr>
      <w:bookmarkStart w:id="55" w:name="_Ref324342112"/>
      <w:r>
        <w:t xml:space="preserve">Abbildung </w:t>
      </w:r>
      <w:fldSimple w:instr=" SEQ Abbildung \* ARABIC ">
        <w:r>
          <w:rPr>
            <w:noProof/>
          </w:rPr>
          <w:t>17</w:t>
        </w:r>
      </w:fldSimple>
      <w:r>
        <w:t xml:space="preserve"> - Teilaufgaben des Demomodus "Kraftfeld"</w:t>
      </w:r>
      <w:bookmarkEnd w:id="55"/>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036079">
        <w:t xml:space="preserve">Abbildung </w:t>
      </w:r>
      <w:r w:rsidR="00036079">
        <w:rPr>
          <w:noProof/>
        </w:rPr>
        <w:t>18</w:t>
      </w:r>
      <w:r w:rsidR="00036079">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5A5BD31F" wp14:editId="0FBF396F">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56" w:name="_Ref324342625"/>
      <w:r>
        <w:t xml:space="preserve">Abbildung </w:t>
      </w:r>
      <w:fldSimple w:instr=" SEQ Abbildung \* ARABIC ">
        <w:r>
          <w:rPr>
            <w:noProof/>
          </w:rPr>
          <w:t>18</w:t>
        </w:r>
      </w:fldSimple>
      <w:r>
        <w:t xml:space="preserve"> - Ideen zur Bewegungsart der Teilchen</w:t>
      </w:r>
      <w:bookmarkEnd w:id="56"/>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berschrift6"/>
      </w:pPr>
      <w:bookmarkStart w:id="57" w:name="_Toc324860369"/>
      <w:r>
        <w:t>Fazit</w:t>
      </w:r>
      <w:bookmarkEnd w:id="57"/>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berschrift5Zchn"/>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berschrift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fldChar w:fldCharType="begin"/>
      </w:r>
      <w:r>
        <w:instrText xml:space="preserve"> REF _Ref323983857 \h </w:instrText>
      </w:r>
      <w:r>
        <w:fldChar w:fldCharType="separate"/>
      </w:r>
      <w:r>
        <w:t xml:space="preserve">Abbildung </w:t>
      </w:r>
      <w:r>
        <w:rPr>
          <w:noProof/>
        </w:rPr>
        <w:t>9</w:t>
      </w:r>
      <w:r>
        <w:t xml:space="preserve"> - Demomodus, Ideen 1-3</w:t>
      </w:r>
      <w:r>
        <w:fldChar w:fldCharType="end"/>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t xml:space="preserve">Abbildung </w:t>
      </w:r>
      <w:r>
        <w:rPr>
          <w:noProof/>
        </w:rPr>
        <w:t>16</w:t>
      </w:r>
      <w:r>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Zu Beginn befindet sich die Applikation im Interaktionsmodus (Active).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389A0959" wp14:editId="0865655D">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58" w:name="_Ref324932651"/>
      <w:r>
        <w:t xml:space="preserve">Abbildung </w:t>
      </w:r>
      <w:fldSimple w:instr=" SEQ Abbildung \* ARABIC ">
        <w:r>
          <w:rPr>
            <w:noProof/>
          </w:rPr>
          <w:t>19</w:t>
        </w:r>
      </w:fldSimple>
      <w:r>
        <w:t xml:space="preserve"> - Zustandsdiagramm Interaktions- und Demomodus</w:t>
      </w:r>
      <w:bookmarkEnd w:id="58"/>
    </w:p>
    <w:p w:rsidR="005E418B" w:rsidRDefault="005E418B" w:rsidP="005E418B">
      <w:pPr>
        <w:pStyle w:val="berschrift3"/>
      </w:pPr>
      <w:r>
        <w:t>Interaktion durch Handtracking</w:t>
      </w:r>
      <w:bookmarkEnd w:id="43"/>
      <w:bookmarkEnd w:id="44"/>
      <w:bookmarkEnd w:id="45"/>
      <w:bookmarkEnd w:id="46"/>
      <w:bookmarkEnd w:id="4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59" w:name="_Toc325440879"/>
      <w:r>
        <w:t>Kinect Daten</w:t>
      </w:r>
      <w:bookmarkEnd w:id="59"/>
    </w:p>
    <w:p w:rsidR="005E418B" w:rsidRDefault="005E418B" w:rsidP="005E418B">
      <w:r>
        <w:t>Eines der wichtigsten Features des Kinect SDK ist das sogenannte Skeletal Tracking. Hierbei wird mit Hilfe der Sensoren (Tiefensensor, Bildsensor, Infrarotsensor) versucht, ein menschliches Skelett zu erkennen, und zwar 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60" w:name="_Ref322358724"/>
      <w:r>
        <w:t xml:space="preserve">Abbildung </w:t>
      </w:r>
      <w:fldSimple w:instr=" SEQ Abbildung \* ARABIC ">
        <w:r w:rsidR="00BC6AD3">
          <w:rPr>
            <w:noProof/>
          </w:rPr>
          <w:t>12</w:t>
        </w:r>
      </w:fldSimple>
      <w:r>
        <w:t xml:space="preserve"> - Beispiel eines Skeletts</w:t>
      </w:r>
      <w:bookmarkEnd w:id="60"/>
    </w:p>
    <w:p w:rsidR="005E418B" w:rsidRDefault="005E418B" w:rsidP="005E418B">
      <w:pPr>
        <w:pStyle w:val="berschrift4"/>
      </w:pPr>
      <w:bookmarkStart w:id="61" w:name="_Toc325440880"/>
      <w:r>
        <w:t>Handtracking</w:t>
      </w:r>
      <w:bookmarkEnd w:id="61"/>
    </w:p>
    <w:p w:rsidR="005E418B" w:rsidRDefault="005E418B" w:rsidP="005E418B">
      <w:r>
        <w:t>Wie aus der obigen Abbildung (</w:t>
      </w:r>
      <w:r>
        <w:fldChar w:fldCharType="begin"/>
      </w:r>
      <w:r>
        <w:instrText xml:space="preserve"> REF _Ref322358724 \h </w:instrText>
      </w:r>
      <w:r>
        <w:fldChar w:fldCharType="separate"/>
      </w:r>
      <w:r w:rsidR="00E9328A">
        <w:t xml:space="preserve">Abbildung </w:t>
      </w:r>
      <w:r w:rsidR="00E9328A">
        <w:rPr>
          <w:noProof/>
        </w:rPr>
        <w:t>12</w:t>
      </w:r>
      <w:r w:rsidR="00E9328A">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BC6AD3">
          <w:rPr>
            <w:noProof/>
          </w:rPr>
          <w:t>13</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t xml:space="preserve">Abbildung </w:t>
      </w:r>
      <w:r>
        <w:rPr>
          <w:noProof/>
        </w:rPr>
        <w:t>14</w:t>
      </w:r>
      <w:r>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62" w:name="_Ref322358687"/>
      <w:r>
        <w:t xml:space="preserve">Abbildung </w:t>
      </w:r>
      <w:fldSimple w:instr=" SEQ Abbildung \* ARABIC ">
        <w:r w:rsidR="00BC6AD3">
          <w:rPr>
            <w:noProof/>
          </w:rPr>
          <w:t>14</w:t>
        </w:r>
      </w:fldSimple>
      <w:r>
        <w:t xml:space="preserve"> - Beispiel Monitor mit Handtracking</w:t>
      </w:r>
      <w:bookmarkEnd w:id="6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BC6AD3">
          <w:rPr>
            <w:noProof/>
          </w:rPr>
          <w:t>15</w:t>
        </w:r>
      </w:fldSimple>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BC6AD3">
          <w:rPr>
            <w:noProof/>
          </w:rPr>
          <w:t>16</w:t>
        </w:r>
      </w:fldSimple>
      <w:r>
        <w:t xml:space="preserve"> - Ablauf eines Klicks auf einen Button</w:t>
      </w:r>
      <w:r w:rsidR="001207E3">
        <w:br w:type="page"/>
      </w:r>
    </w:p>
    <w:p w:rsidR="00F95CF0" w:rsidRDefault="00F95CF0" w:rsidP="001207E3">
      <w:pPr>
        <w:pStyle w:val="berschrift3"/>
      </w:pPr>
      <w:r>
        <w:lastRenderedPageBreak/>
        <w:t>Applikationen</w:t>
      </w:r>
    </w:p>
    <w:p w:rsidR="00BC026E" w:rsidRDefault="00F95CF0" w:rsidP="00F95CF0">
      <w:pPr>
        <w:pStyle w:val="berschrift4"/>
      </w:pPr>
      <w:r>
        <w:t>Hauptapplikation</w:t>
      </w:r>
    </w:p>
    <w:p w:rsidR="00BC026E" w:rsidRDefault="002E6572" w:rsidP="00BC026E">
      <w:r>
        <w:t xml:space="preserve">Die Videowall Applikation stellt die Hauptapplikation dar. </w:t>
      </w:r>
      <w:r w:rsidR="00C46BE0">
        <w:t>Sie sorgt dafür, dass die verschiedenen Plug-ins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r w:rsidR="00700A2A">
        <w:t>Plug-in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Plug-ins </w:t>
      </w:r>
      <w:r w:rsidR="00E9328A">
        <w:t>implementiert</w:t>
      </w:r>
      <w:r w:rsidR="003C707E">
        <w:t xml:space="preserve"> werden</w:t>
      </w:r>
      <w:r w:rsidR="007075B1">
        <w:t>.</w:t>
      </w:r>
    </w:p>
    <w:p w:rsidR="002E6572" w:rsidRDefault="00BC6AD3" w:rsidP="002E6572">
      <w:pPr>
        <w:pStyle w:val="berschrift4"/>
      </w:pPr>
      <w:r>
        <w:t>Plug-in-</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berschrift5"/>
      </w:pPr>
      <w:r>
        <w:t>Poster-</w:t>
      </w:r>
      <w:r w:rsidR="00E9452A">
        <w:t>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berschrift5"/>
      </w:pPr>
      <w:r>
        <w:t>Mittagsmenu-</w:t>
      </w:r>
      <w:r w:rsidR="00BE22D7">
        <w:t>Applikation</w:t>
      </w:r>
    </w:p>
    <w:p w:rsidR="00BE22D7" w:rsidRPr="00BE22D7" w:rsidRDefault="00CD4F37" w:rsidP="00BE22D7">
      <w:r>
        <w:t>Die M</w:t>
      </w:r>
      <w:r w:rsidR="009B1E94">
        <w:t>ittagsmenu Applikation ze</w:t>
      </w:r>
      <w:r w:rsidR="00F73AEF">
        <w:t>igt das</w:t>
      </w:r>
      <w:r>
        <w:t xml:space="preserve"> aktuelle Menu der Mensa der HSR an.</w:t>
      </w:r>
    </w:p>
    <w:p w:rsidR="00444C75" w:rsidRDefault="00BC6AD3" w:rsidP="00F95CF0">
      <w:pPr>
        <w:pStyle w:val="berschrift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r w:rsidR="00A31683" w:rsidRPr="00A31683">
        <w:t>code\miniapps\trunk</w:t>
      </w:r>
      <w:r>
        <w:t xml:space="preserve"> </w:t>
      </w:r>
      <w:r w:rsidR="00A31683">
        <w:t xml:space="preserve">und </w:t>
      </w:r>
      <w:r>
        <w:t xml:space="preserve">werden nachfolgend </w:t>
      </w:r>
      <w:r w:rsidR="00407BE6">
        <w:t>kurz erläutert</w:t>
      </w:r>
      <w:r w:rsidR="00A31683">
        <w:t>.</w:t>
      </w:r>
    </w:p>
    <w:p w:rsidR="00F771F8" w:rsidRDefault="00F771F8" w:rsidP="00F95CF0">
      <w:pPr>
        <w:pStyle w:val="berschrift5"/>
      </w:pPr>
      <w:r>
        <w:t>DemoMode</w:t>
      </w:r>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berschrift5"/>
      </w:pPr>
      <w:r>
        <w:t>DesignMenu</w:t>
      </w:r>
    </w:p>
    <w:p w:rsidR="00F771F8" w:rsidRPr="00F771F8" w:rsidRDefault="001314F3" w:rsidP="00F771F8">
      <w:r>
        <w:t>Die</w:t>
      </w:r>
      <w:r w:rsidR="000B74DA">
        <w:t xml:space="preserve"> DesignMenu</w:t>
      </w:r>
      <w:r>
        <w:t>-</w:t>
      </w:r>
      <w:r w:rsidR="000B74DA">
        <w:t xml:space="preserve">Applikation wurde </w:t>
      </w:r>
      <w:r>
        <w:t>be</w:t>
      </w:r>
      <w:r w:rsidR="000B74DA">
        <w:t>nutzt</w:t>
      </w:r>
      <w:r>
        <w:t>,</w:t>
      </w:r>
      <w:r w:rsidR="000B74DA">
        <w:t xml:space="preserve"> um direkt in Expression Blend verschiedene Designs für die Tabs des Menus zu erstellen und untereinander zu vergleichen.</w:t>
      </w:r>
    </w:p>
    <w:p w:rsidR="00F771F8" w:rsidRDefault="00F771F8" w:rsidP="00F95CF0">
      <w:pPr>
        <w:pStyle w:val="berschrift5"/>
      </w:pPr>
      <w:r>
        <w:t>DesignPosterNavigationButtons</w:t>
      </w:r>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in Expression Blend erstell</w:t>
      </w:r>
      <w:r w:rsidR="001314F3">
        <w:t>t</w:t>
      </w:r>
      <w:r>
        <w:t xml:space="preserve"> und </w:t>
      </w:r>
      <w:r w:rsidR="001314F3">
        <w:t>vergl</w:t>
      </w:r>
      <w:r>
        <w:t>ichen.</w:t>
      </w:r>
    </w:p>
    <w:p w:rsidR="00F771F8" w:rsidRDefault="00F771F8" w:rsidP="00F95CF0">
      <w:pPr>
        <w:pStyle w:val="berschrift5"/>
      </w:pPr>
      <w:r>
        <w:t>HandCursorDemoApp</w:t>
      </w:r>
    </w:p>
    <w:p w:rsidR="00F771F8" w:rsidRPr="00F771F8" w:rsidRDefault="006852CD" w:rsidP="00F771F8">
      <w:r>
        <w:t>Für den Wizard of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berschrift5"/>
      </w:pPr>
      <w:r>
        <w:t>KinectHandTracker</w:t>
      </w:r>
    </w:p>
    <w:p w:rsidR="00F771F8" w:rsidRPr="00F771F8" w:rsidRDefault="00063751" w:rsidP="00F771F8">
      <w:r>
        <w:t xml:space="preserve">Beim KinectHandTracker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berschrift5"/>
      </w:pPr>
      <w:r>
        <w:t>KinectRecorder</w:t>
      </w:r>
    </w:p>
    <w:p w:rsidR="00F771F8" w:rsidRPr="00F771F8" w:rsidRDefault="00407BE6" w:rsidP="00F771F8">
      <w:r>
        <w:lastRenderedPageBreak/>
        <w:t>In der KinectRecorder-</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de</w:t>
      </w:r>
      <w:r>
        <w:t>sse</w:t>
      </w:r>
      <w:r w:rsidR="007335EE">
        <w:t xml:space="preserve">en Bewegungen zu simulieren auch wenn kein Kinect </w:t>
      </w:r>
      <w:r>
        <w:t xml:space="preserve">Sensor am Computer </w:t>
      </w:r>
      <w:r w:rsidR="007335EE">
        <w:t>angeschlossen ist.</w:t>
      </w:r>
    </w:p>
    <w:p w:rsidR="00F771F8" w:rsidRDefault="00F771F8" w:rsidP="00F95CF0">
      <w:pPr>
        <w:pStyle w:val="berschrift5"/>
      </w:pPr>
      <w:r>
        <w:t>KinectW</w:t>
      </w:r>
      <w:r w:rsidR="00B81754">
        <w:t>pf</w:t>
      </w:r>
      <w:r>
        <w:t>Viewers</w:t>
      </w:r>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berschrift5"/>
      </w:pPr>
      <w:r>
        <w:t>ObjectTrackingVisualizer</w:t>
      </w:r>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berschrift6"/>
      </w:pPr>
      <w:r>
        <w:t>Pl</w:t>
      </w:r>
      <w:r w:rsidR="003B3280">
        <w:t>u</w:t>
      </w:r>
      <w:r>
        <w:t>ginDemo</w:t>
      </w:r>
    </w:p>
    <w:p w:rsidR="00F771F8" w:rsidRPr="00F771F8" w:rsidRDefault="007A4239" w:rsidP="00F771F8">
      <w:r>
        <w:t xml:space="preserve">PluginDemo ist ein </w:t>
      </w:r>
      <w:r w:rsidR="00633119">
        <w:t xml:space="preserve">Beispielprojekt </w:t>
      </w:r>
      <w:r>
        <w:t>für ein</w:t>
      </w:r>
      <w:r w:rsidR="00633119">
        <w:t xml:space="preserve"> mit MEF </w:t>
      </w:r>
      <w:r>
        <w:t>erst</w:t>
      </w:r>
      <w:r w:rsidR="00633119">
        <w:t>ellt</w:t>
      </w:r>
      <w:r>
        <w:t>es Plugin</w:t>
      </w:r>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berschrift5"/>
      </w:pPr>
      <w:r>
        <w:t>VideoWithWPF</w:t>
      </w:r>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der </w:t>
      </w:r>
      <w:r w:rsidR="00306C26">
        <w:t>Videowall</w:t>
      </w:r>
      <w:r w:rsidR="00BF1F23">
        <w:t xml:space="preserve"> laufen.</w:t>
      </w:r>
    </w:p>
    <w:p w:rsidR="00181A53" w:rsidRDefault="00181A53" w:rsidP="00F95CF0">
      <w:pPr>
        <w:pStyle w:val="berschrift5"/>
      </w:pPr>
      <w:r>
        <w:t>WizardOfOzTest</w:t>
      </w:r>
    </w:p>
    <w:p w:rsidR="00FA0874" w:rsidRPr="008F6180" w:rsidRDefault="00BC6AD3" w:rsidP="001D7BB0">
      <w:r>
        <w:t>Die WizardOfOzTest-</w:t>
      </w:r>
      <w:r w:rsidR="00181A53">
        <w:t xml:space="preserve">Applikation wurde für den Wizard of Oz Test </w:t>
      </w:r>
      <w:r w:rsidR="00A36C8C">
        <w:t xml:space="preserve">zu Beginn der Implementation </w:t>
      </w:r>
      <w:r w:rsidR="00181A53">
        <w:t>(TODO</w:t>
      </w:r>
      <w:r w:rsidR="00A36C8C">
        <w:t>:</w:t>
      </w:r>
      <w:r w:rsidR="00181A53">
        <w:t xml:space="preserve"> ref</w:t>
      </w:r>
      <w:r w:rsidR="00A36C8C">
        <w:t xml:space="preserve"> realisierung und test, wizard of oz test</w:t>
      </w:r>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D20" w:rsidRDefault="008B4D20" w:rsidP="008F2373">
      <w:pPr>
        <w:spacing w:after="0"/>
      </w:pPr>
      <w:r>
        <w:separator/>
      </w:r>
    </w:p>
  </w:endnote>
  <w:endnote w:type="continuationSeparator" w:id="0">
    <w:p w:rsidR="008B4D20" w:rsidRDefault="008B4D2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uzeile"/>
    </w:pPr>
    <w:r>
      <w:t>HSR Videowall - Entwurf</w:t>
    </w:r>
    <w:r w:rsidRPr="005E2896">
      <w:tab/>
    </w:r>
    <w:r>
      <w:fldChar w:fldCharType="begin"/>
    </w:r>
    <w:r>
      <w:instrText xml:space="preserve"> DATE  \@ "d. MMMM yyyy"  \* MERGEFORMAT </w:instrText>
    </w:r>
    <w:r>
      <w:fldChar w:fldCharType="separate"/>
    </w:r>
    <w:r w:rsidR="002F0949">
      <w:rPr>
        <w:noProof/>
      </w:rPr>
      <w:t>12.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C3630A" w:rsidRPr="00C3630A">
      <w:rPr>
        <w:b/>
        <w:noProof/>
        <w:lang w:val="de-DE"/>
      </w:rPr>
      <w:t>7</w:t>
    </w:r>
    <w:r>
      <w:rPr>
        <w:b/>
      </w:rPr>
      <w:fldChar w:fldCharType="end"/>
    </w:r>
    <w:r>
      <w:rPr>
        <w:lang w:val="de-DE"/>
      </w:rPr>
      <w:t xml:space="preserve"> von </w:t>
    </w:r>
    <w:fldSimple w:instr="NUMPAGES  \* Arabic  \* MERGEFORMAT">
      <w:r w:rsidR="00C3630A" w:rsidRPr="00C3630A">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D20" w:rsidRDefault="008B4D20" w:rsidP="008F2373">
      <w:pPr>
        <w:spacing w:after="0"/>
      </w:pPr>
      <w:r>
        <w:separator/>
      </w:r>
    </w:p>
  </w:footnote>
  <w:footnote w:type="continuationSeparator" w:id="0">
    <w:p w:rsidR="008B4D20" w:rsidRDefault="008B4D20" w:rsidP="008F2373">
      <w:pPr>
        <w:spacing w:after="0"/>
      </w:pPr>
      <w:r>
        <w:continuationSeparator/>
      </w:r>
    </w:p>
  </w:footnote>
  <w:footnote w:id="1">
    <w:p w:rsidR="005C25EF" w:rsidRDefault="005C25EF">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5C25EF" w:rsidRDefault="005C25EF">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5C25EF" w:rsidRDefault="005C25EF">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5C25EF" w:rsidRDefault="005C25EF">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5C25EF" w:rsidRDefault="005C25EF">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unotentext"/>
      </w:pPr>
      <w:r>
        <w:rPr>
          <w:rStyle w:val="Funotenzeichen"/>
        </w:rPr>
        <w:footnoteRef/>
      </w:r>
      <w:r>
        <w:t xml:space="preserve"> </w:t>
      </w:r>
      <w:hyperlink r:id="rId8" w:history="1">
        <w:r w:rsidRPr="00DC43D4">
          <w:rPr>
            <w:rStyle w:val="Hyperlink"/>
          </w:rPr>
          <w:t>www.imagemagick.org</w:t>
        </w:r>
      </w:hyperlink>
    </w:p>
  </w:footnote>
  <w:footnote w:id="9">
    <w:p w:rsidR="005C25EF" w:rsidRDefault="005C25EF">
      <w:pPr>
        <w:pStyle w:val="Funotentext"/>
      </w:pPr>
      <w:r>
        <w:rPr>
          <w:rStyle w:val="Funotenzeichen"/>
        </w:rPr>
        <w:footnoteRef/>
      </w:r>
      <w:r>
        <w:t xml:space="preserve"> </w:t>
      </w:r>
      <w:hyperlink r:id="rId9" w:history="1">
        <w:r>
          <w:rPr>
            <w:rStyle w:val="Hyperlink"/>
          </w:rPr>
          <w:t>http://unity.codeplex.com/</w:t>
        </w:r>
      </w:hyperlink>
    </w:p>
  </w:footnote>
  <w:footnote w:id="10">
    <w:p w:rsidR="005C25EF" w:rsidRDefault="005C25EF"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unotenzeichen"/>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8B4D20"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unotentext"/>
      </w:pPr>
    </w:p>
  </w:footnote>
  <w:footnote w:id="12">
    <w:p w:rsidR="005C25EF" w:rsidRPr="00E42B98" w:rsidRDefault="005C25EF"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F5F3D403-A591-4611-9DFA-D9E8CEA56238}" srcId="{A5701BE9-8239-43A2-9D62-2921AE5995F8}" destId="{D99802DF-9EC5-4281-835D-310C6CC09345}" srcOrd="0" destOrd="0" parTransId="{C2404346-B9FB-4B34-B6D7-0A0CD2CFAA04}" sibTransId="{FCB83E72-5F70-4DF4-8F70-DA5A7D899E3B}"/>
    <dgm:cxn modelId="{02215871-BDF0-40D8-8DAF-234A06960FC1}" type="presOf" srcId="{A5701BE9-8239-43A2-9D62-2921AE5995F8}" destId="{0E45096C-CE97-40EF-971A-5A5DC5029BCF}" srcOrd="0" destOrd="0" presId="urn:microsoft.com/office/officeart/2005/8/layout/hProcess10"/>
    <dgm:cxn modelId="{8FCF2CC8-DD22-49DE-9132-43B03B6A6D08}" type="presOf" srcId="{2C5668CF-2928-41BD-B41A-3A69DCB9BE9D}" destId="{675A7D19-7B0F-4E7C-A9F3-04B706F78CC6}" srcOrd="0" destOrd="0" presId="urn:microsoft.com/office/officeart/2005/8/layout/hProcess10"/>
    <dgm:cxn modelId="{C1F4403F-82EE-46A4-AD0C-DC153B692FFF}" type="presOf" srcId="{A0A940F3-60BC-405C-93C5-2E78BDF367D0}" destId="{7F4889F5-F907-48AB-B05A-903191A1F23C}" srcOrd="0" destOrd="0" presId="urn:microsoft.com/office/officeart/2005/8/layout/hProcess10"/>
    <dgm:cxn modelId="{9F60C661-C699-45E9-A20D-F2BB989C0C56}" type="presOf" srcId="{2491DCBB-BD1B-4D18-9A6B-9F6C9745D200}" destId="{D50E5E41-C100-45FF-B4BA-2905D3226AF2}"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B51254BB-FAF4-4A3B-8B02-94596B37596E}" type="presOf" srcId="{2491DCBB-BD1B-4D18-9A6B-9F6C9745D200}" destId="{8E43D6D8-0C16-481D-BDE7-FDCA7F90B40D}" srcOrd="0" destOrd="0" presId="urn:microsoft.com/office/officeart/2005/8/layout/hProcess10"/>
    <dgm:cxn modelId="{FD605C25-47E0-4BC6-98B8-C3A2CBB98B86}" type="presOf" srcId="{DAE817A3-39CD-46B2-B48D-37F15B471088}" destId="{F699E119-03CA-40B4-A095-7BF32235706A}" srcOrd="0" destOrd="0" presId="urn:microsoft.com/office/officeart/2005/8/layout/hProcess10"/>
    <dgm:cxn modelId="{E9C112A5-5481-4B2B-A801-F2A630CF4925}" type="presOf" srcId="{DA998900-39AD-42EA-9C89-D2A94D0E7E5A}" destId="{53E96054-0E0D-40F5-AF8E-9A613F52476E}"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077456E1-8C58-4779-9856-E85A3801BDC6}" type="presOf" srcId="{D99802DF-9EC5-4281-835D-310C6CC09345}" destId="{2DB77FCA-6AE7-4774-884D-F677A6B939D6}" srcOrd="0" destOrd="0" presId="urn:microsoft.com/office/officeart/2005/8/layout/hProcess10"/>
    <dgm:cxn modelId="{4FFD4D6A-8834-4713-9651-E958CA81C1C2}" type="presOf" srcId="{FCB83E72-5F70-4DF4-8F70-DA5A7D899E3B}" destId="{F10C46B9-DB60-4336-998F-89E02CA1ABBD}" srcOrd="1" destOrd="0" presId="urn:microsoft.com/office/officeart/2005/8/layout/hProcess10"/>
    <dgm:cxn modelId="{8E1B7B3D-33C4-44D5-9688-11CBE3920418}" type="presOf" srcId="{DA998900-39AD-42EA-9C89-D2A94D0E7E5A}" destId="{0BA2202F-2A02-47A3-9F90-4A1DFC6033A1}" srcOrd="1"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4CA1028A-8746-4994-B322-1AFF12AB255B}" type="presOf" srcId="{FCB83E72-5F70-4DF4-8F70-DA5A7D899E3B}" destId="{3E1B54CA-89CC-4C04-A76B-65BF3A0F1365}" srcOrd="0" destOrd="0" presId="urn:microsoft.com/office/officeart/2005/8/layout/hProcess10"/>
    <dgm:cxn modelId="{9FF3CF69-92A5-4BAD-802B-45F8BE7E3AF1}" type="presParOf" srcId="{0E45096C-CE97-40EF-971A-5A5DC5029BCF}" destId="{0681F987-33BE-41DB-AA2D-EE647E063F12}" srcOrd="0" destOrd="0" presId="urn:microsoft.com/office/officeart/2005/8/layout/hProcess10"/>
    <dgm:cxn modelId="{405890ED-7099-4744-A3AF-23C0CBCFEB8F}" type="presParOf" srcId="{0681F987-33BE-41DB-AA2D-EE647E063F12}" destId="{E2B603FB-8A5B-4389-9D8F-A86A86DDD690}" srcOrd="0" destOrd="0" presId="urn:microsoft.com/office/officeart/2005/8/layout/hProcess10"/>
    <dgm:cxn modelId="{B3454DB3-A8C3-4701-BB50-A9A544139585}" type="presParOf" srcId="{0681F987-33BE-41DB-AA2D-EE647E063F12}" destId="{2DB77FCA-6AE7-4774-884D-F677A6B939D6}" srcOrd="1" destOrd="0" presId="urn:microsoft.com/office/officeart/2005/8/layout/hProcess10"/>
    <dgm:cxn modelId="{88D8E4FC-5DBF-4929-83B7-2FC48D812E2D}" type="presParOf" srcId="{0E45096C-CE97-40EF-971A-5A5DC5029BCF}" destId="{3E1B54CA-89CC-4C04-A76B-65BF3A0F1365}" srcOrd="1" destOrd="0" presId="urn:microsoft.com/office/officeart/2005/8/layout/hProcess10"/>
    <dgm:cxn modelId="{5ADDFF7E-8319-46FA-9DA1-6D1D3C7B810C}" type="presParOf" srcId="{3E1B54CA-89CC-4C04-A76B-65BF3A0F1365}" destId="{F10C46B9-DB60-4336-998F-89E02CA1ABBD}" srcOrd="0" destOrd="0" presId="urn:microsoft.com/office/officeart/2005/8/layout/hProcess10"/>
    <dgm:cxn modelId="{11577CFB-4AE6-43DD-81BB-556DF41867D7}" type="presParOf" srcId="{0E45096C-CE97-40EF-971A-5A5DC5029BCF}" destId="{7B693EA9-103D-4DB4-B8E9-7635E066F4FB}" srcOrd="2" destOrd="0" presId="urn:microsoft.com/office/officeart/2005/8/layout/hProcess10"/>
    <dgm:cxn modelId="{5E86EBB0-4EBD-47B4-B1CC-DE102885FFA7}" type="presParOf" srcId="{7B693EA9-103D-4DB4-B8E9-7635E066F4FB}" destId="{0C9A1922-F13F-4030-B09E-928F3DDE21F4}" srcOrd="0" destOrd="0" presId="urn:microsoft.com/office/officeart/2005/8/layout/hProcess10"/>
    <dgm:cxn modelId="{401C04F1-2068-4E60-B0A6-38A466533995}" type="presParOf" srcId="{7B693EA9-103D-4DB4-B8E9-7635E066F4FB}" destId="{675A7D19-7B0F-4E7C-A9F3-04B706F78CC6}" srcOrd="1" destOrd="0" presId="urn:microsoft.com/office/officeart/2005/8/layout/hProcess10"/>
    <dgm:cxn modelId="{48DA79D8-B439-4D01-B5F7-5739F8BD836B}" type="presParOf" srcId="{0E45096C-CE97-40EF-971A-5A5DC5029BCF}" destId="{8E43D6D8-0C16-481D-BDE7-FDCA7F90B40D}" srcOrd="3" destOrd="0" presId="urn:microsoft.com/office/officeart/2005/8/layout/hProcess10"/>
    <dgm:cxn modelId="{43B779CF-8832-4118-B713-4A3D98FD781B}" type="presParOf" srcId="{8E43D6D8-0C16-481D-BDE7-FDCA7F90B40D}" destId="{D50E5E41-C100-45FF-B4BA-2905D3226AF2}" srcOrd="0" destOrd="0" presId="urn:microsoft.com/office/officeart/2005/8/layout/hProcess10"/>
    <dgm:cxn modelId="{412B4271-456F-4FFB-B945-BCF83B766A7F}" type="presParOf" srcId="{0E45096C-CE97-40EF-971A-5A5DC5029BCF}" destId="{4EA51DE0-340F-4893-B8AE-8E3D91DD69E7}" srcOrd="4" destOrd="0" presId="urn:microsoft.com/office/officeart/2005/8/layout/hProcess10"/>
    <dgm:cxn modelId="{7A291597-A593-487A-AB82-453A499469AD}" type="presParOf" srcId="{4EA51DE0-340F-4893-B8AE-8E3D91DD69E7}" destId="{EF6EAE48-2E15-4041-A15C-9C4888BBA078}" srcOrd="0" destOrd="0" presId="urn:microsoft.com/office/officeart/2005/8/layout/hProcess10"/>
    <dgm:cxn modelId="{D4C9609C-300F-4C29-94FA-2C109BAEB8F7}" type="presParOf" srcId="{4EA51DE0-340F-4893-B8AE-8E3D91DD69E7}" destId="{7F4889F5-F907-48AB-B05A-903191A1F23C}" srcOrd="1" destOrd="0" presId="urn:microsoft.com/office/officeart/2005/8/layout/hProcess10"/>
    <dgm:cxn modelId="{F8B54AEC-0AD9-4A9A-B504-5100E702E2F9}" type="presParOf" srcId="{0E45096C-CE97-40EF-971A-5A5DC5029BCF}" destId="{53E96054-0E0D-40F5-AF8E-9A613F52476E}" srcOrd="5" destOrd="0" presId="urn:microsoft.com/office/officeart/2005/8/layout/hProcess10"/>
    <dgm:cxn modelId="{B6E787EA-03FF-4B74-B90C-A04F5B1F318B}" type="presParOf" srcId="{53E96054-0E0D-40F5-AF8E-9A613F52476E}" destId="{0BA2202F-2A02-47A3-9F90-4A1DFC6033A1}" srcOrd="0" destOrd="0" presId="urn:microsoft.com/office/officeart/2005/8/layout/hProcess10"/>
    <dgm:cxn modelId="{09F1584A-7414-44D0-B75E-8238E2EC2B3C}" type="presParOf" srcId="{0E45096C-CE97-40EF-971A-5A5DC5029BCF}" destId="{EFC5FA6A-5244-4EB7-8545-812944D0415B}" srcOrd="6" destOrd="0" presId="urn:microsoft.com/office/officeart/2005/8/layout/hProcess10"/>
    <dgm:cxn modelId="{C6F48669-6A3E-4100-8D22-6F903D09877E}" type="presParOf" srcId="{EFC5FA6A-5244-4EB7-8545-812944D0415B}" destId="{C267BF18-1801-459C-9276-1BDB644C3D63}" srcOrd="0" destOrd="0" presId="urn:microsoft.com/office/officeart/2005/8/layout/hProcess10"/>
    <dgm:cxn modelId="{EFD91570-D94F-4EC1-BFF1-281BE19773A0}"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BC6A-4384-4F57-AE52-D27A2E68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5189</Words>
  <Characters>32695</Characters>
  <Application>Microsoft Office Word</Application>
  <DocSecurity>0</DocSecurity>
  <Lines>272</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716</cp:revision>
  <dcterms:created xsi:type="dcterms:W3CDTF">2012-05-19T07:31:00Z</dcterms:created>
  <dcterms:modified xsi:type="dcterms:W3CDTF">2012-06-12T21:53:00Z</dcterms:modified>
</cp:coreProperties>
</file>