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 SICUREZZA, s.r.o.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Průmyslová 566/5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00  Praha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zapsaná v obchodním rejstříku vedeném Městským soudem v Praze, oddíl C, vložka 315498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(dále jen „zaměstnavatel“)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pan/paní: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[first_name] [last_name]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nar.: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[birth]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trvale bytem: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[residence]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(dále jen „zaměstnanec“)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uzavírají tuto dohodu o pracovní činnosti podle § 76 zákona č. 262/2006 Sb., zákoníku práce, v platném znění: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zahájí provádění prací dne: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[beginning_of_cooperation]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bude osobně vykonávat práci (druh práce):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[type_of_work]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Místo výkonu práce: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[work_location]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Pracovní činnost bude dle aktuální dohody vykonávána v rozsahu dle potřeby zaměstnavatele a možností zaměstnance – max. 18,75 hod./týden a nebude překračovat v průměru polovinu stanovené týdenní pracovní doby u zaměstnavatele.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Rozsah minimálního nepřetržitého denního odpočinku a nepřetržitého odpočinku v týdnu a poskytování přestávky v práci na jídlo a oddech se řídí ustanoveními § 88 zákoníku práce.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Dohoda o pracovní činnosti se sjednává na dobu: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[end_of_cooperation]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Smluvní strany se dohodly na základní hodinové odměně: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[hourly_wage]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Kč.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Hodinová p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ohyblivá složka odměny: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Kč.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Zaměstnavatel poskytne zaměstnanci  náhradu na údržbu a čištění uniformy: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Kč/hod.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Odměna je splatná po vykonání práce vždy do 25. dne následujícího měsíce v souladu s příslušnými ustanoveními zákoníku práce a vnitřními předpisy zaměstnavatele. Odměna je vyplácena bezhotovostně na bankovní účet uvedený zaměstnancem, v případě neuvedení bankovního účtu zaměstnancem poštovní poukázkou na adresu trvalého popř. přechodného pobytu. Odměna může být mimořádně vyplacena v hotovosti v sídle zaměstnavatele.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Zaměstnavatel, vznikne-li mu povinnost odvádí pojistné na sociální zabezpečení za jednotlivé kalendářní měsíce na účet příslušné okresní správy sociálního zabezpečení. Odvody pojistného se řídí ustanoveními § 9 zákona 589/1992 sb.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Výměra dovolené, čerpání a způsob určování délky dovolené se řídí usneseními § 217 – 223 zákoníku práce.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Dohoda o ukončení, výpověď, výpovědní doba, důvody a způsob výpovědi se řídí ustanoveními § 77 zákoníku práce. Zaměstnavatel je oprávněn dohodu o pracovní činnosti okamžitě zrušit v případech, kdy by byl oprávněn okamžitě zrušit pracovní poměr.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byl řádně seznámen s právy a povinnostmi, které pro něho z dohody o pracovní činnosti vyplývají, s pracovními podmínkami, za nichž bude práci konat, s předpisy k zajištění bezpečnosti a ochrany zdraví při práci a s protipožárními předpisy, které musí při své práci dodržovat.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uděluje zaměstnavateli dobrovolně souhlas se zpracováním osobních údajů, které zaměstnavateli poskytl, včetně rodného čísla a údajů citlivých, pro účely jejich interního zpracování v souvislosti s dohodou o pracovní činnosti se zaměstnancem na dobu nezbytně nutnou. Zaměstnanec byl před poskytnutím tohoto souhlasu poučen o právu na přístup a opravu jeho osobních údajů a o dalších právech podle § 12 a 21 zákona č. 101/2000 Sb., o ochraně osobních údajů, v platném znění, a o možnosti obracet se se svými dotazy a žádostmi v této záležitosti na zaměstnavatele. Zaměstnanec je povinen  hlásit veškeré změny v osobních údajích, mající vliv na personální nebo mzdovou agendu, ke kterým dojde po dobu trvání dohody o pracovní činnosti, včetně změny zdravotní pojišťovny.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se zavazuje, že bude řádně hospodařit s majetkem zaměstnavatele, svědomitě s ním nakládat a opatrovat jej.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je povinen po dobu trvání dohody o pracovní činnosti a i po jejím skončení bez časového omezení zachovat mlčenlivost o veškerých skutečnostech, které se v souvislosti s výkonem pracovní činnosti pro zaměstnavatele dozvěděl a které jsou z jakýchkoli důvodů utajovány nebo jejichž prozrazení by mohlo způsobit zaměstnavateli, jeho obchodním partnerům nebo osobám blízkým zaměstnavateli přímo či nepřímo jakoukoli újmu. Podrobnosti může zaměstnavatel stanovit vnitřním předpisem.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Zaměstnanec byl seznámen s  pracovním řádem a vnitřními předpisy zaměstnavatele, které jsou pro něj závazné a svým podpisem stvrzuje, že je bude dodržovat.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 dohoda o pracovní činnosti se řídí příslušnými ustanoveními zákoníku práce v platném znění a dalšími právními předpisy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Obsah této dohody o pracovní činnosti lze měnit pouze písemně po vzájemné dohodě obou stran.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 dohoda je vyhotovena ve dvou stejnopisech, z nichž jeden stejnopis obdrží zaměstnanec a druhý zaměstnavatel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Další ujednání: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 Praze dne: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[current_date]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………………………………..</w:t>
        <w:tab/>
        <w:tab/>
        <w:tab/>
        <w:tab/>
        <w:tab/>
        <w:t xml:space="preserve">………………………………..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zaměstnavatel</w:t>
        <w:tab/>
        <w:tab/>
        <w:tab/>
        <w:tab/>
        <w:tab/>
        <w:tab/>
        <w:tab/>
        <w:t xml:space="preserve">  zaměstnanec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2268" w:left="1134" w:right="1134" w:header="567" w:footer="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DOHODA O PRACOVNÍ ČINNOSTI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Nero Sicurezza, s.r.o.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190500</wp:posOffset>
              </wp:positionV>
              <wp:extent cx="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dbl" w="381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190500</wp:posOffset>
              </wp:positionV>
              <wp:extent cx="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í">
    <w:name w:val="Normální"/>
    <w:next w:val="Normální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adpis2">
    <w:name w:val="Nadpis 2"/>
    <w:basedOn w:val="Normální"/>
    <w:next w:val="Normální"/>
    <w:autoRedefine w:val="0"/>
    <w:hidden w:val="0"/>
    <w:qFormat w:val="0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right" w:leader="none" w:pos="10206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cs-CZ"/>
    </w:rPr>
  </w:style>
  <w:style w:type="character" w:styleId="Standardnípísmoodstavce">
    <w:name w:val="Standardní písmo odstavce"/>
    <w:next w:val="Standardnípísmoodstav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ítabulka">
    <w:name w:val="Normální tabulka"/>
    <w:next w:val="Normálnítabul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nítabulk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>
    <w:name w:val="Bez seznamu"/>
    <w:next w:val="Bezseznam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Záhlaví">
    <w:name w:val="Záhlaví"/>
    <w:basedOn w:val="Normální"/>
    <w:next w:val="Záhlaví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Zápatí">
    <w:name w:val="Zápatí"/>
    <w:basedOn w:val="Normální"/>
    <w:next w:val="Zápatí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Číslostránky">
    <w:name w:val="Číslo stránky"/>
    <w:basedOn w:val="Standardnípísmoodstavce"/>
    <w:next w:val="Číslostránk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Mřížkatabulky">
    <w:name w:val="Mřížka tabulky"/>
    <w:basedOn w:val="Normálnítabulka"/>
    <w:next w:val="Mřížkatabulk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Mřížkatabulky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ázev">
    <w:name w:val="Název"/>
    <w:basedOn w:val="Normální"/>
    <w:next w:val="Název"/>
    <w:autoRedefine w:val="0"/>
    <w:hidden w:val="0"/>
    <w:qFormat w:val="0"/>
    <w:pPr>
      <w:tabs>
        <w:tab w:val="left" w:leader="none" w:pos="3119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cs-CZ" w:val="cs-CZ"/>
    </w:rPr>
  </w:style>
  <w:style w:type="paragraph" w:styleId="Základnítext">
    <w:name w:val="Základní text"/>
    <w:basedOn w:val="Normální"/>
    <w:next w:val="Základní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cs-CZ" w:val="cs-CZ"/>
    </w:rPr>
  </w:style>
  <w:style w:type="paragraph" w:styleId="Textbubliny">
    <w:name w:val="Text bubliny"/>
    <w:basedOn w:val="Normální"/>
    <w:next w:val="Textbubli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Qfk4YO4pP8ux3g6y04PKy7CMQ==">CgMxLjAyCWlkLmdqZGd4czgAciExRHBDLXhqc2xHTGdSbF9aeVNTVGYtX2twV3FHSlRleVM=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2023-12-06T10:18:00Z</dcterms:created>
  <dc:creator>Spravce</dc:creator>
</cp:coreProperties>
</file>