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08A1E" w:sz="18" w:space="10"/>
        </w:pBdr>
        <w:spacing w:after="0" w:before="1200"/>
      </w:pPr>
      <w:r>
        <w:rPr>
          <w:rFonts w:ascii="Calibri" w:cs="Calibri" w:eastAsia="Calibri" w:hAnsi="Calibri"/>
          <w:b/>
          <w:bCs/>
          <w:color w:val="2C5F8A"/>
          <w:sz w:val="19"/>
          <w:szCs w:val="19"/>
        </w:rPr>
        <w:t xml:space="preserve">NORTHWIND PAYMENTS — PLATFORM ENGINEERING</w:t>
      </w:r>
    </w:p>
    <w:p>
      <w:pPr>
        <w:spacing w:after="0" w:before="700"/>
      </w:pPr>
      <w:r>
        <w:rPr>
          <w:rFonts w:ascii="Georgia" w:cs="Georgia" w:eastAsia="Georgia" w:hAnsi="Georgia"/>
          <w:b/>
          <w:bCs/>
          <w:color w:val="1B3A5C"/>
          <w:sz w:val="60"/>
          <w:szCs w:val="60"/>
        </w:rPr>
        <w:t xml:space="preserve">Ledger Service v3</w:t>
      </w:r>
    </w:p>
    <w:p>
      <w:pPr>
        <w:spacing w:after="0" w:before="120"/>
      </w:pPr>
      <w:r>
        <w:rPr>
          <w:rFonts w:ascii="Georgia" w:cs="Georgia" w:eastAsia="Georgia" w:hAnsi="Georgia"/>
          <w:color w:val="2C5F8A"/>
          <w:sz w:val="34"/>
          <w:szCs w:val="34"/>
        </w:rPr>
        <w:t xml:space="preserve">Migration Readiness Assessment</w:t>
      </w:r>
    </w:p>
    <w:p>
      <w:pPr>
        <w:spacing w:after="0" w:before="400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An assessment of whether the v3.0 ledger can safely replace v2.7 in production, based on twenty-one days of shadow traffic and a full performance soak.</w:t>
      </w:r>
    </w:p>
    <w:p>
      <w:pPr>
        <w:spacing w:after="1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88888"/>
                <w:sz w:val="19"/>
                <w:szCs w:val="19"/>
              </w:rPr>
              <w:t xml:space="preserve">Prepared for</w:t>
            </w:r>
          </w:p>
        </w:tc>
        <w:tc>
          <w:tcPr>
            <w:tcW w:type="dxa" w:w="696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R. Halversen, VP Engineering</w:t>
            </w:r>
          </w:p>
        </w:tc>
      </w:tr>
      <w:tr>
        <w:tc>
          <w:tcPr>
            <w:tcW w:type="dxa" w:w="2400"/>
            <w:tcBorders>
              <w:top w:val="none" w:color="CCCCCC" w:sz="4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88888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6960"/>
            <w:tcBorders>
              <w:top w:val="none" w:color="CCCCCC" w:sz="4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A. Reyes (lead), M. Farouk, J. Lindqvist</w:t>
            </w:r>
          </w:p>
        </w:tc>
      </w:tr>
      <w:tr>
        <w:tc>
          <w:tcPr>
            <w:tcW w:type="dxa" w:w="2400"/>
            <w:tcBorders>
              <w:top w:val="none" w:color="CCCCCC" w:sz="4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88888"/>
                <w:sz w:val="19"/>
                <w:szCs w:val="19"/>
              </w:rPr>
              <w:t xml:space="preserve">Date</w:t>
            </w:r>
          </w:p>
        </w:tc>
        <w:tc>
          <w:tcPr>
            <w:tcW w:type="dxa" w:w="6960"/>
            <w:tcBorders>
              <w:top w:val="none" w:color="CCCCCC" w:sz="4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21 August 2026</w:t>
            </w:r>
          </w:p>
        </w:tc>
      </w:tr>
      <w:tr>
        <w:tc>
          <w:tcPr>
            <w:tcW w:type="dxa" w:w="2400"/>
            <w:tcBorders>
              <w:top w:val="none" w:color="CCCCCC" w:sz="4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88888"/>
                <w:sz w:val="19"/>
                <w:szCs w:val="19"/>
              </w:rPr>
              <w:t xml:space="preserve">Document</w:t>
            </w:r>
          </w:p>
        </w:tc>
        <w:tc>
          <w:tcPr>
            <w:tcW w:type="dxa" w:w="6960"/>
            <w:tcBorders>
              <w:top w:val="none" w:color="CCCCCC" w:sz="4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PE-RA-2026-014 · Rev. C</w:t>
            </w:r>
          </w:p>
        </w:tc>
      </w:tr>
      <w:tr>
        <w:tc>
          <w:tcPr>
            <w:tcW w:type="dxa" w:w="2400"/>
            <w:tcBorders>
              <w:top w:val="none" w:color="CCCCCC" w:sz="4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88888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6960"/>
            <w:tcBorders>
              <w:top w:val="none" w:color="CCCCCC" w:sz="4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Internal — Confidential</w:t>
            </w:r>
          </w:p>
        </w:tc>
      </w:tr>
    </w:tbl>
    <w:p>
      <w:pPr>
        <w:spacing w:after="700"/>
      </w:pPr>
    </w:p>
    <w:p>
      <w:pPr>
        <w:spacing w:after="140" w:line="276"/>
      </w:pP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Sample document. Demonstrates a cover page, an automatic table of contents, running headers and footers with page numbering, multi-level headings, bulleted and numbered lists, styled tables with alternating rows and a totals row, callout boxes, headline metric tiles, a block quotation, footnotes, internal and external hyperlinks, mixed portrait and landscape sections, and explicit page breaks. All names, figures and findings are invented.</w:t>
      </w: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2240" w:h="15840" w:orient="portrait"/>
          <w:pgMar w:top="1440" w:right="1440" w:bottom="1440" w:left="1440" w:header="720" w:footer="720" w:gutter="0"/>
          <w:pgNumType/>
          <w:titlePg/>
          <w:docGrid w:linePitch="360"/>
        </w:sectPr>
      </w:pPr>
    </w:p>
    <w:p>
      <w:pPr>
        <w:spacing w:after="200"/>
      </w:pPr>
      <w:r>
        <w:rPr>
          <w:rFonts w:ascii="Georgia" w:cs="Georgia" w:eastAsia="Georgia" w:hAnsi="Georgia"/>
          <w:b/>
          <w:bCs/>
          <w:color w:val="1B3A5C"/>
          <w:sz w:val="34"/>
          <w:szCs w:val="3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CCCCCC" w:sz="6" w:space="6"/>
        </w:pBdr>
        <w:spacing w:after="140" w:before="360"/>
      </w:pPr>
      <w:bookmarkStart w:name="exec" w:id="1"/>
      <w:r>
        <w:rPr>
          <w:rFonts w:ascii="Georgia" w:cs="Georgia" w:eastAsia="Georgia" w:hAnsi="Georgia"/>
          <w:b/>
          <w:bCs/>
          <w:color w:val="1B3A5C"/>
          <w:sz w:val="34"/>
          <w:szCs w:val="34"/>
        </w:rPr>
        <w:t xml:space="preserve">1. Executive summary</w:t>
      </w:r>
      <w:bookmarkEnd w:id="1"/>
    </w:p>
    <w:p>
      <w:pPr>
        <w:spacing w:after="14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Ledger Service v3.0 is materially faster than the version it replaces, and twenty-one days of shadow traffic found no unexplained divergence between the two systems. Posting throughput more than doubled, reversal latency fell by 57%, and the projected infrastructure bill drops by $3,150 a month even after the worker tier grows.</w:t>
      </w:r>
    </w:p>
    <w:p>
      <w:pPr>
        <w:spacing w:after="14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Three items stand between the current state and a safe cutover. The statement endpoint has regressed and now misses its latency objective by roughly 50%. The rollback path has been designed but never rehearsed against the 30-minute recovery objective. And only one of the two required game days has been run, which leaves half the on-call rotation working from a runbook they have not exercised.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F5F7FA" w:sz="2"/>
              <w:left w:val="single" w:color="FFFFFF" w:sz="2"/>
              <w:bottom w:val="single" w:color="2E6B45" w:sz="18"/>
              <w:right w:val="single" w:color="FFFFFF" w:sz="2"/>
            </w:tcBorders>
            <w:shd w:fill="F5F7FA" w:color="auto" w:val="clear"/>
            <w:tcMar>
              <w:top w:type="dxa" w:w="180"/>
              <w:left w:type="dxa" w:w="160"/>
              <w:bottom w:type="dxa" w:w="18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E6B45"/>
                <w:sz w:val="36"/>
                <w:szCs w:val="36"/>
              </w:rPr>
              <w:t xml:space="preserve">+124%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888888"/>
                <w:sz w:val="17"/>
                <w:szCs w:val="17"/>
              </w:rPr>
              <w:t xml:space="preserve">Posting throughput</w:t>
            </w:r>
          </w:p>
        </w:tc>
        <w:tc>
          <w:tcPr>
            <w:tcW w:type="dxa" w:w="2340"/>
            <w:tcBorders>
              <w:top w:val="single" w:color="F5F7FA" w:sz="2"/>
              <w:left w:val="single" w:color="FFFFFF" w:sz="2"/>
              <w:bottom w:val="single" w:color="2C5F8A" w:sz="18"/>
              <w:right w:val="single" w:color="FFFFFF" w:sz="2"/>
            </w:tcBorders>
            <w:shd w:fill="F5F7FA" w:color="auto" w:val="clear"/>
            <w:tcMar>
              <w:top w:type="dxa" w:w="180"/>
              <w:left w:type="dxa" w:w="160"/>
              <w:bottom w:type="dxa" w:w="18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5F8A"/>
                <w:sz w:val="36"/>
                <w:szCs w:val="36"/>
              </w:rPr>
              <w:t xml:space="preserve">37 ms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888888"/>
                <w:sz w:val="17"/>
                <w:szCs w:val="17"/>
              </w:rPr>
              <w:t xml:space="preserve">p95, POST /entries</w:t>
            </w:r>
          </w:p>
        </w:tc>
        <w:tc>
          <w:tcPr>
            <w:tcW w:type="dxa" w:w="2340"/>
            <w:tcBorders>
              <w:top w:val="single" w:color="F5F7FA" w:sz="2"/>
              <w:left w:val="single" w:color="FFFFFF" w:sz="2"/>
              <w:bottom w:val="single" w:color="C08A1E" w:sz="18"/>
              <w:right w:val="single" w:color="FFFFFF" w:sz="2"/>
            </w:tcBorders>
            <w:shd w:fill="F5F7FA" w:color="auto" w:val="clear"/>
            <w:tcMar>
              <w:top w:type="dxa" w:w="180"/>
              <w:left w:type="dxa" w:w="160"/>
              <w:bottom w:type="dxa" w:w="18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8A1E"/>
                <w:sz w:val="36"/>
                <w:szCs w:val="36"/>
              </w:rPr>
              <w:t xml:space="preserve">37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888888"/>
                <w:sz w:val="17"/>
                <w:szCs w:val="17"/>
              </w:rPr>
              <w:t xml:space="preserve">Mismatches in 412M</w:t>
            </w:r>
          </w:p>
        </w:tc>
        <w:tc>
          <w:tcPr>
            <w:tcW w:type="dxa" w:w="2340"/>
            <w:tcBorders>
              <w:top w:val="single" w:color="F5F7FA" w:sz="2"/>
              <w:left w:val="single" w:color="FFFFFF" w:sz="2"/>
              <w:bottom w:val="single" w:color="2E6B45" w:sz="18"/>
              <w:right w:val="single" w:color="FFFFFF" w:sz="2"/>
            </w:tcBorders>
            <w:shd w:fill="F5F7FA" w:color="auto" w:val="clear"/>
            <w:tcMar>
              <w:top w:type="dxa" w:w="180"/>
              <w:left w:type="dxa" w:w="160"/>
              <w:bottom w:type="dxa" w:w="18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E6B45"/>
                <w:sz w:val="36"/>
                <w:szCs w:val="36"/>
              </w:rPr>
              <w:t xml:space="preserve">−5.7%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888888"/>
                <w:sz w:val="17"/>
                <w:szCs w:val="17"/>
              </w:rPr>
              <w:t xml:space="preserve">Monthly run cost</w:t>
            </w:r>
          </w:p>
        </w:tc>
      </w:tr>
    </w:tbl>
    <w:p>
      <w:pPr>
        <w:spacing w:after="2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1F8" w:sz="2"/>
              <w:left w:val="single" w:color="1B3A5C" w:sz="18"/>
              <w:bottom w:val="single" w:color="EAF1F8" w:sz="2"/>
              <w:right w:val="single" w:color="EAF1F8" w:sz="2"/>
            </w:tcBorders>
            <w:shd w:fill="EAF1F8" w:color="auto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2"/>
                <w:szCs w:val="22"/>
              </w:rPr>
              <w:t xml:space="preserve">Recommendation: </w:t>
            </w: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conditional go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. Proceed with the October cutover on the condition that all three blockers listed in §6 are closed and signed off by 25 September. None of them is technically difficult; all of them are schedule risks.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CCCCCC" w:sz="6" w:space="6"/>
        </w:pBdr>
        <w:spacing w:after="140" w:before="360"/>
      </w:pPr>
      <w:bookmarkStart w:name="scope" w:id="1"/>
      <w:r>
        <w:rPr>
          <w:rFonts w:ascii="Georgia" w:cs="Georgia" w:eastAsia="Georgia" w:hAnsi="Georgia"/>
          <w:b/>
          <w:bCs/>
          <w:color w:val="1B3A5C"/>
          <w:sz w:val="34"/>
          <w:szCs w:val="34"/>
        </w:rPr>
        <w:t xml:space="preserve">2. Scope and method</w:t>
      </w:r>
      <w:bookmarkEnd w:id="1"/>
    </w:p>
    <w:p>
      <w:pPr>
        <w:spacing w:after="14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This assessment covers the ledger service only. It does not cover the reporting warehouse, the settlement scheduler, or the partner-facing API gateway, all of which have their own migration tracks.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2C5F8A"/>
          <w:sz w:val="26"/>
          <w:szCs w:val="26"/>
        </w:rPr>
        <w:t xml:space="preserve">2.1 What was tested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Functional parity against the v2.7 contract test suite (1,847 cases).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 45-minute performance soak per workload, repeated three times per configuration.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Twenty-one consecutive days of shadow traffic at 100% of production volume.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 restore drill from the previous night's snapshot into a clean account.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Two failure injections: primary database failover, and a full cache flush at peak.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2C5F8A"/>
          <w:sz w:val="26"/>
          <w:szCs w:val="26"/>
        </w:rPr>
        <w:t xml:space="preserve">2.2 How the numbers were produced</w:t>
      </w:r>
    </w:p>
    <w:p>
      <w:pPr>
        <w:spacing w:after="14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Every figure in this report is the median of three runs against the build named in Appendix A, measured at the load generator rather than inside the service.</w:t>
      </w:r>
      <w:r>
        <w:rPr>
          <w:rStyle w:val="FootnoteReference"/>
        </w:rPr>
        <w:footnoteReference w:id="1"/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Percentage changes are computed against the v2.7 baseline captured on the same hardware in the same week, so they are not affected by drift in the underlying instance types.</w:t>
      </w:r>
    </w:p>
    <w:p>
      <w:pPr>
        <w:pBdr>
          <w:left w:val="single" w:color="CCCCCC" w:sz="12" w:space="12"/>
        </w:pBdr>
        <w:spacing w:after="60" w:before="160" w:line="276"/>
        <w:ind w:left="36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We agreed early that a number nobody can reproduce is worse than no number at all. Everything here comes with a run identifier and a retained artefact.</w:t>
      </w:r>
    </w:p>
    <w:p>
      <w:pPr>
        <w:spacing w:after="200"/>
        <w:ind w:left="36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— Assessment charter, §2</w:t>
      </w:r>
    </w:p>
    <w:p>
      <w:pPr>
        <w:pStyle w:val="Heading1"/>
        <w:pBdr>
          <w:bottom w:val="single" w:color="CCCCCC" w:sz="6" w:space="6"/>
        </w:pBdr>
        <w:spacing w:after="140" w:before="360"/>
      </w:pPr>
      <w:bookmarkStart w:name="findings" w:id="1"/>
      <w:r>
        <w:rPr>
          <w:rFonts w:ascii="Georgia" w:cs="Georgia" w:eastAsia="Georgia" w:hAnsi="Georgia"/>
          <w:b/>
          <w:bCs/>
          <w:color w:val="1B3A5C"/>
          <w:sz w:val="34"/>
          <w:szCs w:val="34"/>
        </w:rPr>
        <w:t xml:space="preserve">3. Findings</w:t>
      </w:r>
      <w:bookmarkEnd w:id="1"/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2C5F8A"/>
          <w:sz w:val="26"/>
          <w:szCs w:val="26"/>
        </w:rPr>
        <w:t xml:space="preserve">3.1 Throughput</w:t>
      </w:r>
    </w:p>
    <w:p>
      <w:pPr>
        <w:spacing w:after="14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Write paths improved substantially; the cached read path improved modestly; the cold read path regressed.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Workload</w:t>
            </w:r>
          </w:p>
        </w:tc>
        <w:tc>
          <w:tcPr>
            <w:tcW w:type="dxa" w:w="212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v2.7 baseline</w:t>
            </w:r>
          </w:p>
        </w:tc>
        <w:tc>
          <w:tcPr>
            <w:tcW w:type="dxa" w:w="212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v3.0 candidate</w:t>
            </w:r>
          </w:p>
        </w:tc>
        <w:tc>
          <w:tcPr>
            <w:tcW w:type="dxa" w:w="212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Posting, single entry</w:t>
            </w:r>
          </w:p>
        </w:tc>
        <w:tc>
          <w:tcPr>
            <w:tcW w:type="dxa" w:w="2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1,420 tps</w:t>
            </w:r>
          </w:p>
        </w:tc>
        <w:tc>
          <w:tcPr>
            <w:tcW w:type="dxa" w:w="2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3,180 tps</w:t>
            </w:r>
          </w:p>
        </w:tc>
        <w:tc>
          <w:tcPr>
            <w:tcW w:type="dxa" w:w="2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E6B45"/>
                <w:sz w:val="20"/>
                <w:szCs w:val="20"/>
              </w:rPr>
              <w:t xml:space="preserve">+124%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Posting, batch of 500</w:t>
            </w:r>
          </w:p>
        </w:tc>
        <w:tc>
          <w:tcPr>
            <w:tcW w:type="dxa" w:w="2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9,600 tps</w:t>
            </w:r>
          </w:p>
        </w:tc>
        <w:tc>
          <w:tcPr>
            <w:tcW w:type="dxa" w:w="2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24,100 tps</w:t>
            </w:r>
          </w:p>
        </w:tc>
        <w:tc>
          <w:tcPr>
            <w:tcW w:type="dxa" w:w="2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E6B45"/>
                <w:sz w:val="20"/>
                <w:szCs w:val="20"/>
              </w:rPr>
              <w:t xml:space="preserve">+151%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Balance read, cached</w:t>
            </w:r>
          </w:p>
        </w:tc>
        <w:tc>
          <w:tcPr>
            <w:tcW w:type="dxa" w:w="2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41,000 tps</w:t>
            </w:r>
          </w:p>
        </w:tc>
        <w:tc>
          <w:tcPr>
            <w:tcW w:type="dxa" w:w="2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44,500 tps</w:t>
            </w:r>
          </w:p>
        </w:tc>
        <w:tc>
          <w:tcPr>
            <w:tcW w:type="dxa" w:w="2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E6B45"/>
                <w:sz w:val="20"/>
                <w:szCs w:val="20"/>
              </w:rPr>
              <w:t xml:space="preserve">+8.5%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Balance read, cold</w:t>
            </w:r>
          </w:p>
        </w:tc>
        <w:tc>
          <w:tcPr>
            <w:tcW w:type="dxa" w:w="2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2,050 tps</w:t>
            </w:r>
          </w:p>
        </w:tc>
        <w:tc>
          <w:tcPr>
            <w:tcW w:type="dxa" w:w="2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1,780 tps</w:t>
            </w:r>
          </w:p>
        </w:tc>
        <w:tc>
          <w:tcPr>
            <w:tcW w:type="dxa" w:w="2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A3312B"/>
                <w:sz w:val="20"/>
                <w:szCs w:val="20"/>
              </w:rPr>
              <w:t xml:space="preserve">−13%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Reversal</w:t>
            </w:r>
          </w:p>
        </w:tc>
        <w:tc>
          <w:tcPr>
            <w:tcW w:type="dxa" w:w="2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880 tps</w:t>
            </w:r>
          </w:p>
        </w:tc>
        <w:tc>
          <w:tcPr>
            <w:tcW w:type="dxa" w:w="2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1,910 tps</w:t>
            </w:r>
          </w:p>
        </w:tc>
        <w:tc>
          <w:tcPr>
            <w:tcW w:type="dxa" w:w="2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E6B45"/>
                <w:sz w:val="20"/>
                <w:szCs w:val="20"/>
              </w:rPr>
              <w:t xml:space="preserve">+117%</w:t>
            </w:r>
          </w:p>
        </w:tc>
      </w:tr>
    </w:tbl>
    <w:p>
      <w:pPr>
        <w:spacing w:after="260" w:before="8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Table 1 — Sustained throughput by workload, median of three 45-minute soaks.</w:t>
      </w:r>
    </w:p>
    <w:p>
      <w:pPr>
        <w:spacing w:after="14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cold-read regression is a direct consequence of the new cache key layout: entries that used to share a key now occupy separate slots, so a flush costs more to recover from. Pre-warming closes most of the gap, which is why R-06 is mitigated by a staged rollout rather than a code change.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2C5F8A"/>
          <w:sz w:val="26"/>
          <w:szCs w:val="26"/>
        </w:rPr>
        <w:t xml:space="preserve">3.2 Latency against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40"/>
        <w:gridCol w:w="1540"/>
        <w:gridCol w:w="1620"/>
        <w:gridCol w:w="1860"/>
      </w:tblGrid>
      <w:tr>
        <w:trPr>
          <w:tblHeader/>
        </w:trPr>
        <w:tc>
          <w:tcPr>
            <w:tcW w:type="dxa" w:w="2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4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v2.7 p95</w:t>
            </w:r>
          </w:p>
        </w:tc>
        <w:tc>
          <w:tcPr>
            <w:tcW w:type="dxa" w:w="154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v3.0 p95</w:t>
            </w:r>
          </w:p>
        </w:tc>
        <w:tc>
          <w:tcPr>
            <w:tcW w:type="dxa" w:w="162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8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POST /entries</w:t>
            </w:r>
          </w:p>
        </w:tc>
        <w:tc>
          <w:tcPr>
            <w:tcW w:type="dxa" w:w="15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84 ms</w:t>
            </w:r>
          </w:p>
        </w:tc>
        <w:tc>
          <w:tcPr>
            <w:tcW w:type="dxa" w:w="15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37 ms</w:t>
            </w:r>
          </w:p>
        </w:tc>
        <w:tc>
          <w:tcPr>
            <w:tcW w:type="dxa" w:w="16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≤ 50 ms</w:t>
            </w:r>
          </w:p>
        </w:tc>
        <w:tc>
          <w:tcPr>
            <w:tcW w:type="dxa" w:w="1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6B4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 /accounts/{id}/balance</w:t>
            </w:r>
          </w:p>
        </w:tc>
        <w:tc>
          <w:tcPr>
            <w:tcW w:type="dxa" w:w="15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12 ms</w:t>
            </w:r>
          </w:p>
        </w:tc>
        <w:tc>
          <w:tcPr>
            <w:tcW w:type="dxa" w:w="15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11 ms</w:t>
            </w:r>
          </w:p>
        </w:tc>
        <w:tc>
          <w:tcPr>
            <w:tcW w:type="dxa" w:w="16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≤ 25 ms</w:t>
            </w:r>
          </w:p>
        </w:tc>
        <w:tc>
          <w:tcPr>
            <w:tcW w:type="dxa" w:w="1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6B4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POST /reversals</w:t>
            </w:r>
          </w:p>
        </w:tc>
        <w:tc>
          <w:tcPr>
            <w:tcW w:type="dxa" w:w="15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143 ms</w:t>
            </w:r>
          </w:p>
        </w:tc>
        <w:tc>
          <w:tcPr>
            <w:tcW w:type="dxa" w:w="15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61 ms</w:t>
            </w:r>
          </w:p>
        </w:tc>
        <w:tc>
          <w:tcPr>
            <w:tcW w:type="dxa" w:w="16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≤ 100 ms</w:t>
            </w:r>
          </w:p>
        </w:tc>
        <w:tc>
          <w:tcPr>
            <w:tcW w:type="dxa" w:w="1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6B4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 /statements (90 d)</w:t>
            </w:r>
          </w:p>
        </w:tc>
        <w:tc>
          <w:tcPr>
            <w:tcW w:type="dxa" w:w="15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1,910 ms</w:t>
            </w:r>
          </w:p>
        </w:tc>
        <w:tc>
          <w:tcPr>
            <w:tcW w:type="dxa" w:w="15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2,240 ms</w:t>
            </w:r>
          </w:p>
        </w:tc>
        <w:tc>
          <w:tcPr>
            <w:tcW w:type="dxa" w:w="16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≤ 1,500 ms</w:t>
            </w:r>
          </w:p>
        </w:tc>
        <w:tc>
          <w:tcPr>
            <w:tcW w:type="dxa" w:w="1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A3312B"/>
                <w:sz w:val="20"/>
                <w:szCs w:val="20"/>
              </w:rPr>
              <w:t xml:space="preserve">Fail</w:t>
            </w:r>
          </w:p>
        </w:tc>
      </w:tr>
    </w:tbl>
    <w:p>
      <w:pPr>
        <w:spacing w:after="260" w:before="8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Table 2 — p95 latency at peak load against the published service level objectives.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BF3E3" w:sz="2"/>
              <w:left w:val="single" w:color="C08A1E" w:sz="18"/>
              <w:bottom w:val="single" w:color="FBF3E3" w:sz="2"/>
              <w:right w:val="single" w:color="FBF3E3" w:sz="2"/>
            </w:tcBorders>
            <w:shd w:fill="FBF3E3" w:color="auto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C08A1E"/>
                <w:sz w:val="22"/>
                <w:szCs w:val="22"/>
              </w:rPr>
              <w:t xml:space="preserve">Blocker B-1.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GET /statements over a 90-day range is 17% slower than v2.7 and misses its 1,500 ms objective by 740 ms. The cause is a missing covering index on the new partition scheme, confirmed by query plan diff. The fix is queued for 3.0.5 and must land before Phase 2.</w:t>
            </w:r>
          </w:p>
        </w:tc>
      </w:tr>
    </w:tbl>
    <w:p>
      <w:pPr>
        <w:spacing w:after="240"/>
      </w:pP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2C5F8A"/>
          <w:sz w:val="26"/>
          <w:szCs w:val="26"/>
        </w:rPr>
        <w:t xml:space="preserve">3.3 Data integrity</w:t>
      </w:r>
    </w:p>
    <w:p>
      <w:pPr>
        <w:spacing w:after="14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Over twenty-one days the shadow run compared 412,380,551 posted entries. Thirty-seven mismatches were recorded, all of them on foreign-exchange legs carrying six or more decimal places, and all of them traced to a single rounding path corrected in 3.0.4.</w:t>
      </w:r>
      <w:r>
        <w:rPr>
          <w:rStyle w:val="FootnoteReference"/>
        </w:rPr>
        <w:footnoteReference w:id="2"/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No mismatch was found after the fix shipped on day 14.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37 mismatches in 412,380,551 entries — a rate of 9.0 × 10⁻⁸.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All 37 occurred before 3.0.4; zero in the final seven days.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Maximum absolute divergence: 0.000004 of the minor unit.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No mismatch affected a settled balance.</w:t>
      </w:r>
    </w:p>
    <w:p>
      <w:pPr>
        <w:pStyle w:val="Heading2"/>
        <w:spacing w:after="90" w:before="260"/>
      </w:pPr>
      <w:r>
        <w:rPr>
          <w:rFonts w:ascii="Georgia" w:cs="Georgia" w:eastAsia="Georgia" w:hAnsi="Georgia"/>
          <w:b/>
          <w:bCs/>
          <w:color w:val="2C5F8A"/>
          <w:sz w:val="26"/>
          <w:szCs w:val="26"/>
        </w:rPr>
        <w:t xml:space="preserve">3.4 Operational readiness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Runbooks rewritten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S. Okafor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6B45"/>
                <w:sz w:val="20"/>
                <w:szCs w:val="20"/>
              </w:rPr>
              <w:t xml:space="preserve">Complete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PE-DOC-311, reviewed 4 Aug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Dashboards + alerts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M. Farouk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6B45"/>
                <w:sz w:val="20"/>
                <w:szCs w:val="20"/>
              </w:rPr>
              <w:t xml:space="preserve">Complete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18 panels, 11 alert rules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Rollback rehearsal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A. Reyes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A3312B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Blocker B-2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Game days (2 required)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S. Okafor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 of 2 done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Blocker B-3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Backup / restore drill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J. Lindqvist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6B45"/>
                <w:sz w:val="20"/>
                <w:szCs w:val="20"/>
              </w:rPr>
              <w:t xml:space="preserve">Complete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Restored 412M rows in 24 m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Capacity headroom ≥ 40%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M. Farouk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6B45"/>
                <w:sz w:val="20"/>
                <w:szCs w:val="20"/>
              </w:rPr>
              <w:t xml:space="preserve">Complete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Measured 61% at peak</w:t>
            </w:r>
          </w:p>
        </w:tc>
      </w:tr>
    </w:tbl>
    <w:p>
      <w:pPr>
        <w:spacing w:after="260" w:before="8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Table 3 — Readiness checklist as of 21 August 2026.</w:t>
      </w:r>
    </w:p>
    <w:p>
      <w:r>
        <w:br w:type="page"/>
      </w:r>
    </w:p>
    <w:p>
      <w:pPr>
        <w:pStyle w:val="Heading1"/>
        <w:pBdr>
          <w:bottom w:val="single" w:color="CCCCCC" w:sz="6" w:space="6"/>
        </w:pBdr>
        <w:spacing w:after="140" w:before="360"/>
      </w:pPr>
      <w:bookmarkStart w:name="cost" w:id="1"/>
      <w:r>
        <w:rPr>
          <w:rFonts w:ascii="Georgia" w:cs="Georgia" w:eastAsia="Georgia" w:hAnsi="Georgia"/>
          <w:b/>
          <w:bCs/>
          <w:color w:val="1B3A5C"/>
          <w:sz w:val="34"/>
          <w:szCs w:val="34"/>
        </w:rPr>
        <w:t xml:space="preserve">4. Cost analysis</w:t>
      </w:r>
      <w:bookmarkEnd w:id="1"/>
    </w:p>
    <w:p>
      <w:pPr>
        <w:spacing w:after="14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API tier shrinks because v3.0 handles more than twice the posting throughput per core. The worker tier grows because reconciliation now runs continuously rather than nightly.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0"/>
        <w:gridCol w:w="1900"/>
        <w:gridCol w:w="1900"/>
        <w:gridCol w:w="1900"/>
      </w:tblGrid>
      <w:tr>
        <w:trPr>
          <w:tblHeader/>
        </w:trPr>
        <w:tc>
          <w:tcPr>
            <w:tcW w:type="dxa" w:w="36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Line item</w:t>
            </w:r>
          </w:p>
        </w:tc>
        <w:tc>
          <w:tcPr>
            <w:tcW w:type="dxa" w:w="19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v2.7 / month</w:t>
            </w:r>
          </w:p>
        </w:tc>
        <w:tc>
          <w:tcPr>
            <w:tcW w:type="dxa" w:w="19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v3.0 / month</w:t>
            </w:r>
          </w:p>
        </w:tc>
        <w:tc>
          <w:tcPr>
            <w:tcW w:type="dxa" w:w="19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3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Compute — API tier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$18,400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$11,900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E6B45"/>
                <w:sz w:val="20"/>
                <w:szCs w:val="20"/>
              </w:rPr>
              <w:t xml:space="preserve">−$6,500</w:t>
            </w:r>
          </w:p>
        </w:tc>
      </w:tr>
      <w:tr>
        <w:tc>
          <w:tcPr>
            <w:tcW w:type="dxa" w:w="3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Compute — worker tier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$7,250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$8,900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A3312B"/>
                <w:sz w:val="20"/>
                <w:szCs w:val="20"/>
              </w:rPr>
              <w:t xml:space="preserve">+$1,650</w:t>
            </w:r>
          </w:p>
        </w:tc>
      </w:tr>
      <w:tr>
        <w:tc>
          <w:tcPr>
            <w:tcW w:type="dxa" w:w="3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Managed PostgreSQL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$22,000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$22,000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Redis cache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$3,100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$4,400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A3312B"/>
                <w:sz w:val="20"/>
                <w:szCs w:val="20"/>
              </w:rPr>
              <w:t xml:space="preserve">+$1,300</w:t>
            </w:r>
          </w:p>
        </w:tc>
      </w:tr>
      <w:tr>
        <w:tc>
          <w:tcPr>
            <w:tcW w:type="dxa" w:w="3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Object storage and egress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$1,860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$1,910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A3312B"/>
                <w:sz w:val="20"/>
                <w:szCs w:val="20"/>
              </w:rPr>
              <w:t xml:space="preserve">+$50</w:t>
            </w:r>
          </w:p>
        </w:tc>
      </w:tr>
      <w:tr>
        <w:tc>
          <w:tcPr>
            <w:tcW w:type="dxa" w:w="3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$2,400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$2,750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A3312B"/>
                <w:sz w:val="20"/>
                <w:szCs w:val="20"/>
              </w:rPr>
              <w:t xml:space="preserve">+$350</w:t>
            </w:r>
          </w:p>
        </w:tc>
      </w:tr>
      <w:tr>
        <w:tc>
          <w:tcPr>
            <w:tcW w:type="dxa" w:w="3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7EDF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Total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7EDF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$55,010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7EDF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$51,860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7EDF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−$3,150</w:t>
            </w:r>
          </w:p>
        </w:tc>
      </w:tr>
    </w:tbl>
    <w:p>
      <w:pPr>
        <w:spacing w:after="260" w:before="8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Table 4 — Projected monthly infrastructure cost at current production volume.</w:t>
      </w:r>
    </w:p>
    <w:p>
      <w:pPr>
        <w:spacing w:after="14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One-time migration cost is estimated at 6.5 engineer-weeks, or roughly $41,000 fully loaded. Against a saving of $3,150 a month the payback period is thirteen months, which sits inside the eighteen-month threshold the platform group uses for infrastructure 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1F8" w:sz="2"/>
              <w:left w:val="single" w:color="1B3A5C" w:sz="18"/>
              <w:bottom w:val="single" w:color="EAF1F8" w:sz="2"/>
              <w:right w:val="single" w:color="EAF1F8" w:sz="2"/>
            </w:tcBorders>
            <w:shd w:fill="EAF1F8" w:color="auto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2"/>
                <w:szCs w:val="22"/>
              </w:rPr>
              <w:t xml:space="preserve">Note.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These projections hold volume constant. Finance currently forecasts 22% transaction growth over the next year; at that volume the saving widens to about $4,900 a month because the API tier is the component that scales with posting rate.</w:t>
            </w:r>
          </w:p>
        </w:tc>
      </w:tr>
    </w:tbl>
    <w:p>
      <w:pPr>
        <w:sectPr>
          <w:headerReference w:type="default" r:id="rId11"/>
          <w:footerReference w:type="default" r:id="rId12"/>
          <w:type w:val="nextPage"/>
          <w:pgSz w:w="12240" w:h="15840" w:orient="portrait"/>
          <w:pgMar w:top="1440" w:right="1440" w:bottom="1440" w:left="1440" w:header="720" w:footer="720" w:gutter="0"/>
          <w:pgNumType/>
          <w:docGrid w:linePitch="360"/>
        </w:sectPr>
      </w:pPr>
    </w:p>
    <w:p>
      <w:pPr>
        <w:pStyle w:val="Heading1"/>
        <w:pBdr>
          <w:bottom w:val="single" w:color="CCCCCC" w:sz="6" w:space="6"/>
        </w:pBdr>
        <w:spacing w:after="140" w:before="360"/>
      </w:pPr>
      <w:bookmarkStart w:name="risks" w:id="1"/>
      <w:r>
        <w:rPr>
          <w:rFonts w:ascii="Georgia" w:cs="Georgia" w:eastAsia="Georgia" w:hAnsi="Georgia"/>
          <w:b/>
          <w:bCs/>
          <w:color w:val="1B3A5C"/>
          <w:sz w:val="34"/>
          <w:szCs w:val="34"/>
        </w:rPr>
        <w:t xml:space="preserve">5. Risk register</w:t>
      </w:r>
      <w:bookmarkEnd w:id="1"/>
    </w:p>
    <w:p>
      <w:pPr>
        <w:spacing w:after="14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Score is likelihood (1–5) multiplied by impact (1–5). Anything scoring 12 or above requires a named owner and a dated mitigation before cutover.</w:t>
      </w:r>
      <w:r>
        <w:rPr>
          <w:rStyle w:val="FootnoteReference"/>
        </w:rPr>
        <w:footnoteReference w:id="3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900"/>
        <w:gridCol w:w="1300"/>
        <w:gridCol w:w="1150"/>
        <w:gridCol w:w="800"/>
        <w:gridCol w:w="1250"/>
        <w:gridCol w:w="5640"/>
      </w:tblGrid>
      <w:tr>
        <w:trPr>
          <w:tblHeader/>
        </w:trPr>
        <w:tc>
          <w:tcPr>
            <w:tcW w:type="dxa" w:w="64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3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15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25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564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6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R-01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Statement endpoint misses its latency SLO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Likely</w:t>
            </w:r>
          </w:p>
        </w:tc>
        <w:tc>
          <w:tcPr>
            <w:tcW w:type="dxa" w:w="11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Moderate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A3312B"/>
                <w:sz w:val="20"/>
                <w:szCs w:val="20"/>
              </w:rPr>
              <w:t xml:space="preserve">12</w:t>
            </w:r>
          </w:p>
        </w:tc>
        <w:tc>
          <w:tcPr>
            <w:tcW w:type="dxa" w:w="12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M. Farouk</w:t>
            </w:r>
          </w:p>
        </w:tc>
        <w:tc>
          <w:tcPr>
            <w:tcW w:type="dxa" w:w="56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Add covering index; ship in 3.0.5 before cutover</w:t>
            </w:r>
          </w:p>
        </w:tc>
      </w:tr>
      <w:tr>
        <w:tc>
          <w:tcPr>
            <w:tcW w:type="dxa" w:w="6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R-02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Dual-write drift during the cutover window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Possible</w:t>
            </w:r>
          </w:p>
        </w:tc>
        <w:tc>
          <w:tcPr>
            <w:tcW w:type="dxa" w:w="11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Severe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A3312B"/>
                <w:sz w:val="20"/>
                <w:szCs w:val="20"/>
              </w:rPr>
              <w:t xml:space="preserve">15</w:t>
            </w:r>
          </w:p>
        </w:tc>
        <w:tc>
          <w:tcPr>
            <w:tcW w:type="dxa" w:w="12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A. Reyes</w:t>
            </w:r>
          </w:p>
        </w:tc>
        <w:tc>
          <w:tcPr>
            <w:tcW w:type="dxa" w:w="56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Freeze writes for 90 s, reconcile before opening traffic</w:t>
            </w:r>
          </w:p>
        </w:tc>
      </w:tr>
      <w:tr>
        <w:tc>
          <w:tcPr>
            <w:tcW w:type="dxa" w:w="6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R-03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FX rounding defect recurs after 3.0.4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Unlikely</w:t>
            </w:r>
          </w:p>
        </w:tc>
        <w:tc>
          <w:tcPr>
            <w:tcW w:type="dxa" w:w="11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Severe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C08A1E"/>
                <w:sz w:val="20"/>
                <w:szCs w:val="20"/>
              </w:rPr>
              <w:t xml:space="preserve">10</w:t>
            </w:r>
          </w:p>
        </w:tc>
        <w:tc>
          <w:tcPr>
            <w:tcW w:type="dxa" w:w="12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J. Lindqvist</w:t>
            </w:r>
          </w:p>
        </w:tc>
        <w:tc>
          <w:tcPr>
            <w:tcW w:type="dxa" w:w="56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Property-based test in CI across 10⁷ generated cases</w:t>
            </w:r>
          </w:p>
        </w:tc>
      </w:tr>
      <w:tr>
        <w:tc>
          <w:tcPr>
            <w:tcW w:type="dxa" w:w="6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R-04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Rollback exceeds the 30-minute RTO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Possible</w:t>
            </w:r>
          </w:p>
        </w:tc>
        <w:tc>
          <w:tcPr>
            <w:tcW w:type="dxa" w:w="11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Severe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A3312B"/>
                <w:sz w:val="20"/>
                <w:szCs w:val="20"/>
              </w:rPr>
              <w:t xml:space="preserve">15</w:t>
            </w:r>
          </w:p>
        </w:tc>
        <w:tc>
          <w:tcPr>
            <w:tcW w:type="dxa" w:w="12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A. Reyes</w:t>
            </w:r>
          </w:p>
        </w:tc>
        <w:tc>
          <w:tcPr>
            <w:tcW w:type="dxa" w:w="56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Rehearse twice; keep v2.7 warm for 14 days</w:t>
            </w:r>
          </w:p>
        </w:tc>
      </w:tr>
      <w:tr>
        <w:tc>
          <w:tcPr>
            <w:tcW w:type="dxa" w:w="6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R-05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On-call unfamiliar with the new runbook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Likely</w:t>
            </w:r>
          </w:p>
        </w:tc>
        <w:tc>
          <w:tcPr>
            <w:tcW w:type="dxa" w:w="11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Minor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2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S. Okafor</w:t>
            </w:r>
          </w:p>
        </w:tc>
        <w:tc>
          <w:tcPr>
            <w:tcW w:type="dxa" w:w="56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Two game days completed before cutover</w:t>
            </w:r>
          </w:p>
        </w:tc>
      </w:tr>
      <w:tr>
        <w:tc>
          <w:tcPr>
            <w:tcW w:type="dxa" w:w="6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R-06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Cold-read regression under cache flush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Possible</w:t>
            </w:r>
          </w:p>
        </w:tc>
        <w:tc>
          <w:tcPr>
            <w:tcW w:type="dxa" w:w="11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Moderate</w:t>
            </w:r>
          </w:p>
        </w:tc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C08A1E"/>
                <w:sz w:val="20"/>
                <w:szCs w:val="20"/>
              </w:rPr>
              <w:t xml:space="preserve">9</w:t>
            </w:r>
          </w:p>
        </w:tc>
        <w:tc>
          <w:tcPr>
            <w:tcW w:type="dxa" w:w="12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M. Farouk</w:t>
            </w:r>
          </w:p>
        </w:tc>
        <w:tc>
          <w:tcPr>
            <w:tcW w:type="dxa" w:w="56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Pre-warm the cache; roll out in 5% stages</w:t>
            </w:r>
          </w:p>
        </w:tc>
      </w:tr>
    </w:tbl>
    <w:p>
      <w:pPr>
        <w:spacing w:after="260" w:before="8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Table 5 — Open risks at the time of assessment. Two entries score 15 and gate the cutover.</w:t>
      </w:r>
    </w:p>
    <w:p>
      <w:pPr>
        <w:sectPr>
          <w:headerReference w:type="default" r:id="rId13"/>
          <w:footerReference w:type="default" r:id="rId14"/>
          <w:type w:val="nextPage"/>
          <w:pgSz w:w="15840" w:h="12240" w:orient="landscape"/>
          <w:pgMar w:top="1080" w:right="1080" w:bottom="1080" w:left="1080" w:header="540" w:footer="540" w:gutter="0"/>
          <w:pgNumType/>
          <w:docGrid w:linePitch="360"/>
        </w:sectPr>
      </w:pPr>
    </w:p>
    <w:p>
      <w:pPr>
        <w:pStyle w:val="Heading1"/>
        <w:pBdr>
          <w:bottom w:val="single" w:color="CCCCCC" w:sz="6" w:space="6"/>
        </w:pBdr>
        <w:spacing w:after="140" w:before="360"/>
      </w:pPr>
      <w:bookmarkStart w:name="recs" w:id="1"/>
      <w:r>
        <w:rPr>
          <w:rFonts w:ascii="Georgia" w:cs="Georgia" w:eastAsia="Georgia" w:hAnsi="Georgia"/>
          <w:b/>
          <w:bCs/>
          <w:color w:val="1B3A5C"/>
          <w:sz w:val="34"/>
          <w:szCs w:val="34"/>
        </w:rPr>
        <w:t xml:space="preserve">6. Recommendations</w:t>
      </w:r>
      <w:bookmarkEnd w:id="1"/>
    </w:p>
    <w:p>
      <w:pPr>
        <w:spacing w:after="14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In priority order. The first three are the blockers referenced throughout this report.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Ship the covering index in 3.0.5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and re-measure GET /statements under the same soak. Do not begin Phase 2 until the endpoint is inside its objective. (Blocker B-1, owner M. Farouk, due 8 September.)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Rehearse the rollback twice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against a production-sized dataset and record the wall-clock time. If either rehearsal exceeds 30 minutes, the cutover date moves. (Blocker B-2, owner A. Reyes, due 18 September.)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Run the second game day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with the half of the rotation that has not yet participated, using the rewritten runbook without assistance. (Blocker B-3, owner S. Okafor, due 25 September.)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Keep the v2.7 fleet warm for fourteen days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after cutover rather than the seven originally planned. The incremental cost is about $12,800 and it buys a second full billing cycle of confidence.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Add a property-based rounding test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to CI covering ten million generated foreign-exchange cases, so the class of defect found in §3.3 cannot silently return.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Publish the reconciliation dashboard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to the finance team before Phase 2, so that drift is visible to the people most likely to notice a wrong number first.</w:t>
      </w:r>
    </w:p>
    <w:p>
      <w:pPr>
        <w:pStyle w:val="Heading1"/>
        <w:pBdr>
          <w:bottom w:val="single" w:color="CCCCCC" w:sz="6" w:space="6"/>
        </w:pBdr>
        <w:spacing w:after="140" w:before="360"/>
      </w:pPr>
      <w:bookmarkStart w:name="timeline" w:id="1"/>
      <w:r>
        <w:rPr>
          <w:rFonts w:ascii="Georgia" w:cs="Georgia" w:eastAsia="Georgia" w:hAnsi="Georgia"/>
          <w:b/>
          <w:bCs/>
          <w:color w:val="1B3A5C"/>
          <w:sz w:val="34"/>
          <w:szCs w:val="34"/>
        </w:rPr>
        <w:t xml:space="preserve">7. Proposed timeline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200"/>
        <w:gridCol w:w="3160"/>
      </w:tblGrid>
      <w:tr>
        <w:trPr>
          <w:tblHeader/>
        </w:trP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Window</w:t>
            </w:r>
          </w:p>
        </w:tc>
        <w:tc>
          <w:tcPr>
            <w:tcW w:type="dxa" w:w="31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Exit criterion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Prep, code freeze, index deploy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1–11 Sep 2026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3.0.5 tagged and in staging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Shadow traffic at 100%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14–25 Sep 2026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Zero unexplained mismatches for 7 days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Canary 5% → 25% of live traffic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28 Sep – 9 Oct 2026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No SLO breach over 10 days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Full cutover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12–13 Oct 2026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100% traffic on v3.0, drift = 0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Decommission v2.7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27 Oct 2026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Fleet terminated, costs reconciled</w:t>
            </w:r>
          </w:p>
        </w:tc>
      </w:tr>
    </w:tbl>
    <w:p>
      <w:pPr>
        <w:spacing w:after="260" w:before="8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Table 6 — Phased cutover plan. Each phase has a single, testable exit criterion.</w:t>
      </w:r>
    </w:p>
    <w:p>
      <w:pPr>
        <w:spacing w:after="14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plan assumes all three blockers close on schedule. If B-2 slips past 18 September the cutover moves to the following maintenance window on 26 October; the team should not compress Phase 2, which exists to catch exactly the kind of slow-burning divergence that a shorter canary would miss. The full operational procedure is in the </w:t>
      </w:r>
      <w:hyperlink w:history="1" r:id="rId7z4dl_0liflqv65avs5jw">
        <w:r>
          <w:rPr>
            <w:rFonts w:ascii="Calibri" w:cs="Calibri" w:eastAsia="Calibri" w:hAnsi="Calibri"/>
            <w:color w:val="2C5F8A"/>
            <w:sz w:val="22"/>
            <w:szCs w:val="22"/>
          </w:rPr>
          <w:t xml:space="preserve">cutover runbook</w:t>
        </w:r>
      </w:hyperlink>
      <w:r>
        <w:rPr>
          <w:rFonts w:ascii="Calibri" w:cs="Calibri" w:eastAsia="Calibri" w:hAnsi="Calibri"/>
          <w:color w:val="333333"/>
          <w:sz w:val="22"/>
          <w:szCs w:val="22"/>
        </w:rPr>
        <w:t xml:space="preserve">, and the risks it hedges against are listed in </w:t>
      </w:r>
      <w:hyperlink w:history="1" w:anchor="risks">
        <w:r>
          <w:rPr>
            <w:rFonts w:ascii="Calibri" w:cs="Calibri" w:eastAsia="Calibri" w:hAnsi="Calibri"/>
            <w:color w:val="2C5F8A"/>
            <w:sz w:val="22"/>
            <w:szCs w:val="22"/>
          </w:rPr>
          <w:t xml:space="preserve">§5, Risk register</w:t>
        </w:r>
      </w:hyperlink>
      <w:r>
        <w:rPr>
          <w:rFonts w:ascii="Calibri" w:cs="Calibri" w:eastAsia="Calibri" w:hAnsi="Calibri"/>
          <w:color w:val="333333"/>
          <w:sz w:val="22"/>
          <w:szCs w:val="22"/>
        </w:rPr>
        <w:t xml:space="preserve">.</w:t>
      </w:r>
    </w:p>
    <w:p>
      <w:r>
        <w:br w:type="page"/>
      </w:r>
    </w:p>
    <w:p>
      <w:pPr>
        <w:pStyle w:val="Heading1"/>
        <w:pBdr>
          <w:bottom w:val="single" w:color="CCCCCC" w:sz="6" w:space="6"/>
        </w:pBdr>
        <w:spacing w:after="140" w:before="360"/>
      </w:pPr>
      <w:bookmarkStart w:name="appa" w:id="1"/>
      <w:r>
        <w:rPr>
          <w:rFonts w:ascii="Georgia" w:cs="Georgia" w:eastAsia="Georgia" w:hAnsi="Georgia"/>
          <w:b/>
          <w:bCs/>
          <w:color w:val="1B3A5C"/>
          <w:sz w:val="34"/>
          <w:szCs w:val="34"/>
        </w:rPr>
        <w:t xml:space="preserve">Appendix A — Test environment</w:t>
      </w:r>
      <w:bookmarkEnd w:id="1"/>
    </w:p>
    <w:p>
      <w:pPr>
        <w:spacing w:after="14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All figures in this report were produced against the following environment. It mirrors production topology at one-third scale, with identical instance families.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Region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eu-central-1, three availability zones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API tier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6 × c7g.2xlarge (8 vCPU, 16 GiB)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Worker tier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 × c7g.xlarge (4 vCPU, 8 GiB)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db.r7g.4xlarge, 2 read replicas, 4 TiB gp3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Cache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 × cache.r7g.large, cluster mode enabled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Dataset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412,380,551 entries across 8,412,077 accounts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Load generator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k6 v0.52, 45-minute soak, 12 injector nodes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Build under test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ledger-svc 3.0.4+build.2291 (commit 7f3ac1e)</w:t>
            </w:r>
          </w:p>
        </w:tc>
      </w:tr>
    </w:tbl>
    <w:p>
      <w:pPr>
        <w:spacing w:after="260" w:before="8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Table 7 — Test environment specification.</w:t>
      </w:r>
    </w:p>
    <w:p>
      <w:r>
        <w:br w:type="page"/>
      </w:r>
    </w:p>
    <w:p>
      <w:pPr>
        <w:pStyle w:val="Heading1"/>
        <w:pBdr>
          <w:bottom w:val="single" w:color="CCCCCC" w:sz="6" w:space="6"/>
        </w:pBdr>
        <w:spacing w:after="140" w:before="360"/>
      </w:pPr>
      <w:bookmarkStart w:name="appb" w:id="1"/>
      <w:r>
        <w:rPr>
          <w:rFonts w:ascii="Georgia" w:cs="Georgia" w:eastAsia="Georgia" w:hAnsi="Georgia"/>
          <w:b/>
          <w:bCs/>
          <w:color w:val="1B3A5C"/>
          <w:sz w:val="34"/>
          <w:szCs w:val="34"/>
        </w:rPr>
        <w:t xml:space="preserve">Appendix B — Glossary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2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Canary</w:t>
            </w:r>
          </w:p>
        </w:tc>
        <w:tc>
          <w:tcPr>
            <w:tcW w:type="dxa" w:w="7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 deployment that receives a small, deliberately capped share of live traffic before a full rollout.</w:t>
            </w:r>
          </w:p>
        </w:tc>
      </w:tr>
      <w:tr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Drift</w:t>
            </w:r>
          </w:p>
        </w:tc>
        <w:tc>
          <w:tcPr>
            <w:tcW w:type="dxa" w:w="7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Any divergence between the records held by the old and new systems while both are being written to.</w:t>
            </w:r>
          </w:p>
        </w:tc>
      </w:tr>
      <w:tr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Dual write</w:t>
            </w:r>
          </w:p>
        </w:tc>
        <w:tc>
          <w:tcPr>
            <w:tcW w:type="dxa" w:w="7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Writing each transaction to both v2.7 and v3.0 so the two can be compared entry by entry.</w:t>
            </w:r>
          </w:p>
        </w:tc>
      </w:tr>
      <w:tr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p95</w:t>
            </w:r>
          </w:p>
        </w:tc>
        <w:tc>
          <w:tcPr>
            <w:tcW w:type="dxa" w:w="7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The value below which 95% of measurements fall; the tail that most users actually notice.</w:t>
            </w:r>
          </w:p>
        </w:tc>
      </w:tr>
      <w:tr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RPO</w:t>
            </w:r>
          </w:p>
        </w:tc>
        <w:tc>
          <w:tcPr>
            <w:tcW w:type="dxa" w:w="7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Recovery point objective — the maximum data loss, expressed as a period of time, that is tolerable.</w:t>
            </w:r>
          </w:p>
        </w:tc>
      </w:tr>
      <w:tr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RTO</w:t>
            </w:r>
          </w:p>
        </w:tc>
        <w:tc>
          <w:tcPr>
            <w:tcW w:type="dxa" w:w="7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Recovery time objective — the maximum tolerable time to restore service after a failure.</w:t>
            </w:r>
          </w:p>
        </w:tc>
      </w:tr>
      <w:tr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Shadow traffic</w:t>
            </w:r>
          </w:p>
        </w:tc>
        <w:tc>
          <w:tcPr>
            <w:tcW w:type="dxa" w:w="7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 copy of live requests replayed against the new system whose responses are discarded.</w:t>
            </w:r>
          </w:p>
        </w:tc>
      </w:tr>
      <w:tr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SLO</w:t>
            </w:r>
          </w:p>
        </w:tc>
        <w:tc>
          <w:tcPr>
            <w:tcW w:type="dxa" w:w="7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Service level objective — an internal target for a measurable aspect of service quality.</w:t>
            </w:r>
          </w:p>
        </w:tc>
      </w:tr>
    </w:tbl>
    <w:p>
      <w:pPr>
        <w:spacing w:after="260" w:before="8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Table 8 — Terms used in this report.</w:t>
      </w:r>
    </w:p>
    <w:p>
      <w:pPr>
        <w:spacing w:after="140" w:line="276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End of assessment PE-RA-2026-014 Rev. C. Circulation is limited to the platform group and the office of the VP Engineering.</w:t>
      </w:r>
    </w:p>
    <w:sectPr>
      <w:headerReference w:type="default" r:id="rId15"/>
      <w:footerReference w:type="default" r:id="rId16"/>
      <w:type w:val="nextPage"/>
      <w:pgSz w:w="12240" w:h="15840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tabs>
        <w:tab w:val="center" w:pos="4680"/>
        <w:tab w:val="right" w:pos="9360"/>
      </w:tabs>
      <w:spacing w:before="0"/>
    </w:pPr>
    <w:r>
      <w:rPr>
        <w:rFonts w:ascii="Calibri" w:cs="Calibri" w:eastAsia="Calibri" w:hAnsi="Calibri"/>
        <w:color w:val="888888"/>
        <w:sz w:val="17"/>
        <w:szCs w:val="17"/>
      </w:rPr>
      <w:t xml:space="preserve">PE-RA-2026-014 · Rev. C</w:t>
    </w:r>
    <w:r>
      <w:tab/>
    </w:r>
    <w:r>
      <w:rPr>
        <w:rFonts w:ascii="Calibri" w:cs="Calibri" w:eastAsia="Calibri" w:hAnsi="Calibri"/>
        <w:color w:val="888888"/>
        <w:sz w:val="17"/>
        <w:szCs w:val="17"/>
      </w:rPr>
      <w:t xml:space="preserve">Page </w:t>
    </w:r>
    <w:r>
      <w:rPr>
        <w:rFonts w:ascii="Calibri" w:cs="Calibri" w:eastAsia="Calibri" w:hAnsi="Calibri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7"/>
        <w:szCs w:val="17"/>
      </w:rPr>
      <w:t xml:space="preserve"> of </w:t>
    </w:r>
    <w:r>
      <w:rPr>
        <w:rFonts w:ascii="Calibri" w:cs="Calibri" w:eastAsia="Calibri" w:hAnsi="Calibri"/>
        <w:color w:val="888888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tab/>
    </w:r>
    <w:r>
      <w:rPr>
        <w:rFonts w:ascii="Calibri" w:cs="Calibri" w:eastAsia="Calibri" w:hAnsi="Calibri"/>
        <w:color w:val="888888"/>
        <w:sz w:val="17"/>
        <w:szCs w:val="17"/>
      </w:rPr>
      <w:t xml:space="preserve">21 August 2026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tabs>
        <w:tab w:val="center" w:pos="6840"/>
        <w:tab w:val="right" w:pos="13680"/>
      </w:tabs>
      <w:spacing w:before="0"/>
    </w:pPr>
    <w:r>
      <w:rPr>
        <w:rFonts w:ascii="Calibri" w:cs="Calibri" w:eastAsia="Calibri" w:hAnsi="Calibri"/>
        <w:color w:val="888888"/>
        <w:sz w:val="17"/>
        <w:szCs w:val="17"/>
      </w:rPr>
      <w:t xml:space="preserve">PE-RA-2026-014 · Rev. C</w:t>
    </w:r>
    <w:r>
      <w:tab/>
    </w:r>
    <w:r>
      <w:rPr>
        <w:rFonts w:ascii="Calibri" w:cs="Calibri" w:eastAsia="Calibri" w:hAnsi="Calibri"/>
        <w:color w:val="888888"/>
        <w:sz w:val="17"/>
        <w:szCs w:val="17"/>
      </w:rPr>
      <w:t xml:space="preserve">Page </w:t>
    </w:r>
    <w:r>
      <w:rPr>
        <w:rFonts w:ascii="Calibri" w:cs="Calibri" w:eastAsia="Calibri" w:hAnsi="Calibri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7"/>
        <w:szCs w:val="17"/>
      </w:rPr>
      <w:t xml:space="preserve"> of </w:t>
    </w:r>
    <w:r>
      <w:rPr>
        <w:rFonts w:ascii="Calibri" w:cs="Calibri" w:eastAsia="Calibri" w:hAnsi="Calibri"/>
        <w:color w:val="888888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tab/>
    </w:r>
    <w:r>
      <w:rPr>
        <w:rFonts w:ascii="Calibri" w:cs="Calibri" w:eastAsia="Calibri" w:hAnsi="Calibri"/>
        <w:color w:val="888888"/>
        <w:sz w:val="17"/>
        <w:szCs w:val="17"/>
      </w:rPr>
      <w:t xml:space="preserve">21 August 2026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tabs>
        <w:tab w:val="center" w:pos="4680"/>
        <w:tab w:val="right" w:pos="9360"/>
      </w:tabs>
      <w:spacing w:before="0"/>
    </w:pPr>
    <w:r>
      <w:rPr>
        <w:rFonts w:ascii="Calibri" w:cs="Calibri" w:eastAsia="Calibri" w:hAnsi="Calibri"/>
        <w:color w:val="888888"/>
        <w:sz w:val="17"/>
        <w:szCs w:val="17"/>
      </w:rPr>
      <w:t xml:space="preserve">PE-RA-2026-014 · Rev. C</w:t>
    </w:r>
    <w:r>
      <w:tab/>
    </w:r>
    <w:r>
      <w:rPr>
        <w:rFonts w:ascii="Calibri" w:cs="Calibri" w:eastAsia="Calibri" w:hAnsi="Calibri"/>
        <w:color w:val="888888"/>
        <w:sz w:val="17"/>
        <w:szCs w:val="17"/>
      </w:rPr>
      <w:t xml:space="preserve">Page </w:t>
    </w:r>
    <w:r>
      <w:rPr>
        <w:rFonts w:ascii="Calibri" w:cs="Calibri" w:eastAsia="Calibri" w:hAnsi="Calibri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7"/>
        <w:szCs w:val="17"/>
      </w:rPr>
      <w:t xml:space="preserve"> of </w:t>
    </w:r>
    <w:r>
      <w:rPr>
        <w:rFonts w:ascii="Calibri" w:cs="Calibri" w:eastAsia="Calibri" w:hAnsi="Calibri"/>
        <w:color w:val="888888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tab/>
    </w:r>
    <w:r>
      <w:rPr>
        <w:rFonts w:ascii="Calibri" w:cs="Calibri" w:eastAsia="Calibri" w:hAnsi="Calibri"/>
        <w:color w:val="888888"/>
        <w:sz w:val="17"/>
        <w:szCs w:val="17"/>
      </w:rPr>
      <w:t xml:space="preserve">21 August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Raw results, including per-run variance, are retained in the performance archive under run identifiers RA-2026-014-01 through -09.</w:t>
      </w:r>
    </w:p>
  </w:footnote>
  <w:footnote w:id="2">
    <w:p>
      <w:r>
        <w:rPr>
          <w:rStyle w:val="FootnoteReference"/>
        </w:rPr>
        <w:footnoteRef/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The count excludes 1,204 records quarantined by the pre-existing foreign-exchange cutoff job, which behaves identically in both versions.</w:t>
      </w:r>
    </w:p>
  </w:footnote>
  <w:footnote w:id="3">
    <w:p>
      <w:r>
        <w:rPr>
          <w:rStyle w:val="FootnoteReference"/>
        </w:rPr>
        <w:footnoteRef/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Scoring follows the platform group's standard risk matrix, PE-STD-004.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6"/>
      </w:pBdr>
      <w:tabs>
        <w:tab w:val="right" w:pos="9360"/>
      </w:tabs>
      <w:spacing w:after="0"/>
    </w:pPr>
    <w:r>
      <w:rPr>
        <w:rFonts w:ascii="Calibri" w:cs="Calibri" w:eastAsia="Calibri" w:hAnsi="Calibri"/>
        <w:color w:val="888888"/>
        <w:sz w:val="17"/>
        <w:szCs w:val="17"/>
      </w:rPr>
      <w:t xml:space="preserve">Ledger Service v3 — Migration Readiness Assessment</w:t>
    </w:r>
    <w:r>
      <w:tab/>
    </w:r>
    <w:r>
      <w:rPr>
        <w:rFonts w:ascii="Calibri" w:cs="Calibri" w:eastAsia="Calibri" w:hAnsi="Calibri"/>
        <w:i/>
        <w:iCs/>
        <w:color w:val="888888"/>
        <w:sz w:val="17"/>
        <w:szCs w:val="17"/>
      </w:rPr>
      <w:t xml:space="preserve">Internal — Confidential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6"/>
      </w:pBdr>
      <w:tabs>
        <w:tab w:val="right" w:pos="13680"/>
      </w:tabs>
      <w:spacing w:after="0"/>
    </w:pPr>
    <w:r>
      <w:rPr>
        <w:rFonts w:ascii="Calibri" w:cs="Calibri" w:eastAsia="Calibri" w:hAnsi="Calibri"/>
        <w:color w:val="888888"/>
        <w:sz w:val="17"/>
        <w:szCs w:val="17"/>
      </w:rPr>
      <w:t xml:space="preserve">Ledger Service v3 — Migration Readiness Assessment</w:t>
    </w:r>
    <w:r>
      <w:tab/>
    </w:r>
    <w:r>
      <w:rPr>
        <w:rFonts w:ascii="Calibri" w:cs="Calibri" w:eastAsia="Calibri" w:hAnsi="Calibri"/>
        <w:i/>
        <w:iCs/>
        <w:color w:val="888888"/>
        <w:sz w:val="17"/>
        <w:szCs w:val="17"/>
      </w:rPr>
      <w:t xml:space="preserve">Internal — Confidential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6"/>
      </w:pBdr>
      <w:tabs>
        <w:tab w:val="right" w:pos="9360"/>
      </w:tabs>
      <w:spacing w:after="0"/>
    </w:pPr>
    <w:r>
      <w:rPr>
        <w:rFonts w:ascii="Calibri" w:cs="Calibri" w:eastAsia="Calibri" w:hAnsi="Calibri"/>
        <w:color w:val="888888"/>
        <w:sz w:val="17"/>
        <w:szCs w:val="17"/>
      </w:rPr>
      <w:t xml:space="preserve">Ledger Service v3 — Migration Readiness Assessment</w:t>
    </w:r>
    <w:r>
      <w:tab/>
    </w:r>
    <w:r>
      <w:rPr>
        <w:rFonts w:ascii="Calibri" w:cs="Calibri" w:eastAsia="Calibri" w:hAnsi="Calibri"/>
        <w:i/>
        <w:iCs/>
        <w:color w:val="888888"/>
        <w:sz w:val="17"/>
        <w:szCs w:val="17"/>
      </w:rPr>
      <w:t xml:space="preserve">Internal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>
      <w:pPr>
        <w:spacing w:after="14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Georgia" w:cs="Georgia" w:eastAsia="Georgia" w:hAnsi="Georgia"/>
      <w:b/>
      <w:bCs/>
      <w:color w:val="1B3A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90" w:before="260"/>
      <w:outlineLvl w:val="1"/>
    </w:pPr>
    <w:rPr>
      <w:rFonts w:ascii="Georgia" w:cs="Georgia" w:eastAsia="Georgia" w:hAnsi="Georgia"/>
      <w:b/>
      <w:bCs/>
      <w:color w:val="2C5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Georgia" w:cs="Georgia" w:eastAsia="Georgia" w:hAnsi="Georgia"/>
      <w:b/>
      <w:bCs/>
      <w:color w:val="2C5F8A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Calibri" w:cs="Calibri" w:eastAsia="Calibri" w:hAnsi="Calibri"/>
      <w:color w:val="555555"/>
      <w:sz w:val="17"/>
      <w:szCs w:val="17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7z4dl_0liflqv65avs5jw" Type="http://schemas.openxmlformats.org/officeDocument/2006/relationships/hyperlink" Target="https://runbooks.example.com/ledger/v3-cutover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Ledger Service v3 — Migration Readiness Assessment</dc:title>
  <dc:subject>Migration readiness</dc:subject>
  <dc:creator>A. Reyes</dc:creator>
  <cp:keywords>sample, report, migration, ledger</cp:keywords>
  <dc:description>Sample technical report generated as a formatting reference.</dc:description>
  <cp:lastModifiedBy>Un-named</cp:lastModifiedBy>
  <cp:revision>1</cp:revision>
  <dcterms:created xsi:type="dcterms:W3CDTF">2026-08-21T01:04:24.023Z</dcterms:created>
  <dcterms:modified xsi:type="dcterms:W3CDTF">2026-08-21T01:04:24.023Z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