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24050"/>
                    </a:xfrm>
                    <a:prstGeom prst="rect">
                      <a:avLst/>
                    </a:prstGeom>
                  </pic:spPr>
                </pic:pic>
              </a:graphicData>
            </a:graphic>
          </wp:inline>
        </w:drawing>
      </w:r>
    </w:p>
    <w:p>
      <w:pPr>
        <w:spacing w:after="60" w:before="300"/>
      </w:pPr>
      <w:r>
        <w:rPr>
          <w:rFonts w:ascii="Calibri" w:cs="Calibri" w:eastAsia="Calibri" w:hAnsi="Calibri"/>
          <w:b/>
          <w:bCs/>
          <w:color w:val="2E8B8B"/>
          <w:spacing w:val="60"/>
          <w:sz w:val="20"/>
          <w:szCs w:val="20"/>
        </w:rPr>
        <w:t xml:space="preserve">NORTHWIND ANALYTICS</w:t>
      </w:r>
    </w:p>
    <w:p>
      <w:pPr>
        <w:spacing w:after="60"/>
      </w:pPr>
      <w:r>
        <w:rPr>
          <w:rFonts w:ascii="Calibri" w:cs="Calibri" w:eastAsia="Calibri" w:hAnsi="Calibri"/>
          <w:b/>
          <w:bCs/>
          <w:color w:val="1F3B63"/>
          <w:sz w:val="52"/>
          <w:szCs w:val="52"/>
        </w:rPr>
        <w:t xml:space="preserve">Quarterly Business Review</w:t>
      </w:r>
    </w:p>
    <w:p>
      <w:pPr>
        <w:pBdr>
          <w:bottom w:val="single" w:color="DCE4EE" w:sz="8" w:space="8"/>
        </w:pBdr>
        <w:spacing w:after="260"/>
      </w:pPr>
      <w:r>
        <w:rPr>
          <w:rFonts w:ascii="Calibri" w:cs="Calibri" w:eastAsia="Calibri" w:hAnsi="Calibri"/>
          <w:color w:val="5A6478"/>
          <w:sz w:val="26"/>
          <w:szCs w:val="26"/>
        </w:rPr>
        <w:t xml:space="preserve">Second quarter, fiscal year 2026</w:t>
      </w:r>
    </w:p>
    <w:tbl>
      <w:tblPr>
        <w:tblW w:type="dxa" w:w="9026"/>
        <w:tblBorders>
          <w:top w:val="single" w:color="DCE4EE" w:sz="4"/>
          <w:left w:val="single" w:color="DCE4EE" w:sz="4"/>
          <w:bottom w:val="single" w:color="DCE4EE" w:sz="4"/>
          <w:right w:val="single" w:color="DCE4EE" w:sz="4"/>
          <w:insideH w:val="single" w:color="DCE4EE" w:sz="4"/>
          <w:insideV w:val="single" w:color="DCE4EE" w:sz="4"/>
        </w:tblBorders>
        <w:tblLayout w:type="fixed"/>
      </w:tblPr>
      <w:tblGrid>
        <w:gridCol w:w="2400"/>
        <w:gridCol w:w="6626"/>
      </w:tblGrid>
      <w:tr>
        <w:tc>
          <w:tcPr>
            <w:tcW w:type="dxa" w:w="24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bCs/>
                <w:color w:val="2B2F36"/>
                <w:sz w:val="20"/>
                <w:szCs w:val="20"/>
              </w:rPr>
              <w:t xml:space="preserve">Document</w:t>
            </w:r>
          </w:p>
        </w:tc>
        <w:tc>
          <w:tcPr>
            <w:tcW w:type="dxa" w:w="6626"/>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QBR-2026-Q2 · Revision C</w:t>
            </w:r>
          </w:p>
        </w:tc>
      </w:tr>
      <w:tr>
        <w:tc>
          <w:tcPr>
            <w:tcW w:type="dxa" w:w="24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bCs/>
                <w:color w:val="2B2F36"/>
                <w:sz w:val="20"/>
                <w:szCs w:val="20"/>
              </w:rPr>
              <w:t xml:space="preserve">Prepared by</w:t>
            </w:r>
          </w:p>
        </w:tc>
        <w:tc>
          <w:tcPr>
            <w:tcW w:type="dxa" w:w="6626"/>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Strategy &amp; Insights team</w:t>
            </w:r>
          </w:p>
        </w:tc>
      </w:tr>
      <w:tr>
        <w:tc>
          <w:tcPr>
            <w:tcW w:type="dxa" w:w="24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bCs/>
                <w:color w:val="2B2F36"/>
                <w:sz w:val="20"/>
                <w:szCs w:val="20"/>
              </w:rPr>
              <w:t xml:space="preserve">Distribution</w:t>
            </w:r>
          </w:p>
        </w:tc>
        <w:tc>
          <w:tcPr>
            <w:tcW w:type="dxa" w:w="6626"/>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Board, executive staff, regional directors</w:t>
            </w:r>
          </w:p>
        </w:tc>
      </w:tr>
      <w:tr>
        <w:tc>
          <w:tcPr>
            <w:tcW w:type="dxa" w:w="24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bCs/>
                <w:color w:val="2B2F36"/>
                <w:sz w:val="20"/>
                <w:szCs w:val="20"/>
              </w:rPr>
              <w:t xml:space="preserve">Date issued</w:t>
            </w:r>
          </w:p>
        </w:tc>
        <w:tc>
          <w:tcPr>
            <w:tcW w:type="dxa" w:w="6626"/>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20 August 2026</w:t>
            </w:r>
          </w:p>
        </w:tc>
      </w:tr>
    </w:tbl>
    <w:p>
      <w:pPr>
        <w:spacing w:after="320"/>
      </w:pPr>
    </w:p>
    <w:p>
      <w:pPr>
        <w:pStyle w:val="Heading2"/>
        <w:spacing w:after="120" w:before="220"/>
      </w:pPr>
      <w:r>
        <w:rPr>
          <w:rFonts w:ascii="Calibri" w:cs="Calibri" w:eastAsia="Calibri" w:hAnsi="Calibri"/>
          <w:b/>
          <w:bCs/>
          <w:color w:val="2E8B8B"/>
          <w:sz w:val="25"/>
          <w:szCs w:val="25"/>
        </w:rPr>
        <w:t xml:space="preserve">Executive summary</w:t>
      </w:r>
    </w:p>
    <w:p>
      <w:pPr>
        <w:spacing w:after="160" w:line="276"/>
        <w:jc w:val="both"/>
      </w:pPr>
      <w:r>
        <w:rPr>
          <w:rFonts w:ascii="Calibri" w:cs="Calibri" w:eastAsia="Calibri" w:hAnsi="Calibri"/>
          <w:color w:val="2B2F36"/>
          <w:sz w:val="21"/>
          <w:szCs w:val="21"/>
        </w:rPr>
        <w:t xml:space="preserve">Revenue grew for the sixth consecutive quarter, closing at 12.8 million USD against a plan of 12.1 million. Growth was broad-based rather than concentrated: every region finished ahead of plan, and the Asia-Pacific business posted the largest relative gain at 29 percent quarter over quarter. Gross margin expanded by 1.4 points as the platform migration retired the last of the legacy hosting contracts.</w:t>
      </w:r>
    </w:p>
    <w:p>
      <w:pPr>
        <w:spacing w:after="160" w:line="276"/>
        <w:jc w:val="both"/>
      </w:pPr>
      <w:r>
        <w:rPr>
          <w:rFonts w:ascii="Calibri" w:cs="Calibri" w:eastAsia="Calibri" w:hAnsi="Calibri"/>
          <w:color w:val="2B2F36"/>
          <w:sz w:val="21"/>
          <w:szCs w:val="21"/>
        </w:rPr>
        <w:t xml:space="preserve">Two areas need attention before the next cycle. Services delivery remains capacity-constrained, with a backlog now averaging eleven weeks, and marketplace take-rate has drifted below target as promotional pricing was extended twice. Both are addressed in the roadmap on page four.</w:t>
      </w:r>
    </w:p>
    <w:p>
      <w:pPr>
        <w:pStyle w:val="Heading2"/>
        <w:spacing w:after="120" w:before="220"/>
      </w:pPr>
      <w:r>
        <w:rPr>
          <w:rFonts w:ascii="Calibri" w:cs="Calibri" w:eastAsia="Calibri" w:hAnsi="Calibri"/>
          <w:b/>
          <w:bCs/>
          <w:color w:val="2E8B8B"/>
          <w:sz w:val="25"/>
          <w:szCs w:val="25"/>
        </w:rPr>
        <w:t xml:space="preserve">At a glance</w:t>
      </w:r>
    </w:p>
    <w:p>
      <w:pPr>
        <w:pStyle w:val="ListParagraph"/>
        <w:numPr>
          <w:ilvl w:val="0"/>
          <w:numId w:val="2"/>
        </w:numPr>
        <w:spacing w:after="90"/>
      </w:pPr>
      <w:r>
        <w:rPr>
          <w:rFonts w:ascii="Calibri" w:cs="Calibri" w:eastAsia="Calibri" w:hAnsi="Calibri"/>
          <w:sz w:val="21"/>
          <w:szCs w:val="21"/>
        </w:rPr>
        <w:t xml:space="preserve">Total revenue of 12.8M USD, up 17.4% year over year and 5.8% ahead of plan.</w:t>
      </w:r>
    </w:p>
    <w:p>
      <w:pPr>
        <w:pStyle w:val="ListParagraph"/>
        <w:numPr>
          <w:ilvl w:val="0"/>
          <w:numId w:val="2"/>
        </w:numPr>
        <w:spacing w:after="90"/>
      </w:pPr>
      <w:r>
        <w:rPr>
          <w:rFonts w:ascii="Calibri" w:cs="Calibri" w:eastAsia="Calibri" w:hAnsi="Calibri"/>
          <w:sz w:val="21"/>
          <w:szCs w:val="21"/>
        </w:rPr>
        <w:t xml:space="preserve">1,601 active accounts at quarter end; net revenue retention of 114%.</w:t>
      </w:r>
    </w:p>
    <w:p>
      <w:pPr>
        <w:pStyle w:val="ListParagraph"/>
        <w:numPr>
          <w:ilvl w:val="0"/>
          <w:numId w:val="2"/>
        </w:numPr>
        <w:spacing w:after="90"/>
      </w:pPr>
      <w:r>
        <w:rPr>
          <w:rFonts w:ascii="Calibri" w:cs="Calibri" w:eastAsia="Calibri" w:hAnsi="Calibri"/>
          <w:sz w:val="21"/>
          <w:szCs w:val="21"/>
        </w:rPr>
        <w:t xml:space="preserve">Monthly churn improved from 3.1% in January to 1.9% in June.</w:t>
      </w:r>
    </w:p>
    <w:p>
      <w:pPr>
        <w:pStyle w:val="ListParagraph"/>
        <w:numPr>
          <w:ilvl w:val="0"/>
          <w:numId w:val="2"/>
        </w:numPr>
        <w:spacing w:after="90"/>
      </w:pPr>
      <w:r>
        <w:rPr>
          <w:rFonts w:ascii="Calibri" w:cs="Calibri" w:eastAsia="Calibri" w:hAnsi="Calibri"/>
          <w:sz w:val="21"/>
          <w:szCs w:val="21"/>
        </w:rPr>
        <w:t xml:space="preserve">Gross margin of 68.2%, the highest recorded since the company began reporting.</w:t>
      </w:r>
    </w:p>
    <w:p>
      <w:pPr>
        <w:pStyle w:val="ListParagraph"/>
        <w:numPr>
          <w:ilvl w:val="0"/>
          <w:numId w:val="2"/>
        </w:numPr>
        <w:spacing w:after="90"/>
      </w:pPr>
      <w:r>
        <w:rPr>
          <w:rFonts w:ascii="Calibri" w:cs="Calibri" w:eastAsia="Calibri" w:hAnsi="Calibri"/>
          <w:sz w:val="21"/>
          <w:szCs w:val="21"/>
        </w:rPr>
        <w:t xml:space="preserve">Headcount grew by 34, of which 21 joined delivery and support functions.</w:t>
      </w:r>
    </w:p>
    <w:p>
      <w:pPr>
        <w:pStyle w:val="Heading2"/>
        <w:spacing w:after="120" w:before="220"/>
      </w:pPr>
      <w:r>
        <w:rPr>
          <w:rFonts w:ascii="Calibri" w:cs="Calibri" w:eastAsia="Calibri" w:hAnsi="Calibri"/>
          <w:b/>
          <w:bCs/>
          <w:color w:val="2E8B8B"/>
          <w:sz w:val="25"/>
          <w:szCs w:val="25"/>
        </w:rPr>
        <w:t xml:space="preserve">Scope and method</w:t>
      </w:r>
    </w:p>
    <w:p>
      <w:pPr>
        <w:spacing w:after="160" w:line="276"/>
        <w:jc w:val="both"/>
      </w:pPr>
      <w:r>
        <w:rPr>
          <w:rFonts w:ascii="Calibri" w:cs="Calibri" w:eastAsia="Calibri" w:hAnsi="Calibri"/>
          <w:color w:val="2B2F36"/>
          <w:sz w:val="21"/>
          <w:szCs w:val="21"/>
        </w:rPr>
        <w:t xml:space="preserve">Figures are drawn from the consolidated ledger as at 30 June 2026 and have not yet been audited. Regional revenue is stated at constant currency using the January rate table, so the totals here will differ slightly from the statutory accounts. Customer counts exclude trial and internal tenants.</w:t>
      </w:r>
    </w:p>
    <w:p>
      <w:r>
        <w:br w:type="page"/>
      </w:r>
    </w:p>
    <w:p>
      <w:pPr>
        <w:pStyle w:val="Heading1"/>
        <w:pBdr>
          <w:bottom w:val="single" w:color="E0A458" w:sz="12" w:space="6"/>
        </w:pBdr>
        <w:spacing w:after="200" w:before="40"/>
      </w:pPr>
      <w:r>
        <w:rPr>
          <w:rFonts w:ascii="Calibri" w:cs="Calibri" w:eastAsia="Calibri" w:hAnsi="Calibri"/>
          <w:b/>
          <w:bCs/>
          <w:color w:val="1F3B63"/>
          <w:sz w:val="34"/>
          <w:szCs w:val="34"/>
        </w:rPr>
        <w:t xml:space="preserve">1. Financial performance</w:t>
      </w:r>
    </w:p>
    <w:p>
      <w:pPr>
        <w:spacing w:after="160" w:line="276"/>
        <w:jc w:val="both"/>
      </w:pPr>
      <w:r>
        <w:rPr>
          <w:rFonts w:ascii="Calibri" w:cs="Calibri" w:eastAsia="Calibri" w:hAnsi="Calibri"/>
          <w:color w:val="2B2F36"/>
          <w:sz w:val="21"/>
          <w:szCs w:val="21"/>
        </w:rPr>
        <w:t xml:space="preserve">The chart below compares regional revenue for the two most recent quarters. North America remains the largest contributor in absolute terms, but its share of the total fell from 43 to 41 percent as the other three regions grew faster. Figures are unaudited and stated in millions of US dollars at constant currency.</w:t>
      </w:r>
    </w:p>
    <w:p>
      <w:pPr>
        <w:spacing w:after="0" w:before="8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9850"/>
                    </a:xfrm>
                    <a:prstGeom prst="rect">
                      <a:avLst/>
                    </a:prstGeom>
                  </pic:spPr>
                </pic:pic>
              </a:graphicData>
            </a:graphic>
          </wp:inline>
        </w:drawing>
      </w:r>
    </w:p>
    <w:p>
      <w:pPr>
        <w:spacing w:after="240" w:before="60"/>
        <w:jc w:val="center"/>
      </w:pPr>
      <w:r>
        <w:rPr>
          <w:rFonts w:ascii="Calibri" w:cs="Calibri" w:eastAsia="Calibri" w:hAnsi="Calibri"/>
          <w:i/>
          <w:iCs/>
          <w:color w:val="5A6478"/>
          <w:sz w:val="17"/>
          <w:szCs w:val="17"/>
        </w:rPr>
        <w:t xml:space="preserve">Figure 1 — Revenue by region, Q1 2026 compared with Q2 2026 (millions USD).</w:t>
      </w:r>
    </w:p>
    <w:p>
      <w:pPr>
        <w:pStyle w:val="Heading2"/>
        <w:spacing w:after="120" w:before="220"/>
      </w:pPr>
      <w:r>
        <w:rPr>
          <w:rFonts w:ascii="Calibri" w:cs="Calibri" w:eastAsia="Calibri" w:hAnsi="Calibri"/>
          <w:b/>
          <w:bCs/>
          <w:color w:val="2E8B8B"/>
          <w:sz w:val="25"/>
          <w:szCs w:val="25"/>
        </w:rPr>
        <w:t xml:space="preserve">Summary of results</w:t>
      </w:r>
    </w:p>
    <w:tbl>
      <w:tblPr>
        <w:tblW w:type="dxa" w:w="9026"/>
        <w:tblBorders>
          <w:top w:val="single" w:color="DCE4EE" w:sz="4"/>
          <w:left w:val="single" w:color="DCE4EE" w:sz="4"/>
          <w:bottom w:val="single" w:color="DCE4EE" w:sz="4"/>
          <w:right w:val="single" w:color="DCE4EE" w:sz="4"/>
          <w:insideH w:val="single" w:color="DCE4EE" w:sz="4"/>
          <w:insideV w:val="single" w:color="DCE4EE" w:sz="4"/>
        </w:tblBorders>
        <w:tblLayout w:type="fixed"/>
      </w:tblPr>
      <w:tblGrid>
        <w:gridCol w:w="2900"/>
        <w:gridCol w:w="1550"/>
        <w:gridCol w:w="1550"/>
        <w:gridCol w:w="1526"/>
        <w:gridCol w:w="1500"/>
      </w:tblGrid>
      <w:tr>
        <w:trPr>
          <w:tblHeader/>
        </w:trPr>
        <w:tc>
          <w:tcPr>
            <w:tcW w:type="dxa" w:w="2900"/>
            <w:shd w:fill="1F3B63"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Metric</w:t>
            </w:r>
          </w:p>
        </w:tc>
        <w:tc>
          <w:tcPr>
            <w:tcW w:type="dxa" w:w="155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Q2 2026</w:t>
            </w:r>
          </w:p>
        </w:tc>
        <w:tc>
          <w:tcPr>
            <w:tcW w:type="dxa" w:w="155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Q1 2026</w:t>
            </w:r>
          </w:p>
        </w:tc>
        <w:tc>
          <w:tcPr>
            <w:tcW w:type="dxa" w:w="1526"/>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Plan</w:t>
            </w:r>
          </w:p>
        </w:tc>
        <w:tc>
          <w:tcPr>
            <w:tcW w:type="dxa" w:w="150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Variance</w:t>
            </w:r>
          </w:p>
        </w:tc>
      </w:tr>
      <w:tr>
        <w:tc>
          <w:tcPr>
            <w:tcW w:type="dxa" w:w="29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Total revenue (M USD)</w:t>
            </w:r>
          </w:p>
        </w:tc>
        <w:tc>
          <w:tcPr>
            <w:tcW w:type="dxa" w:w="1550"/>
            <w:tcMar>
              <w:top w:type="dxa" w:w="80"/>
              <w:left w:type="dxa" w:w="120"/>
              <w:bottom w:type="dxa" w:w="80"/>
              <w:right w:type="dxa" w:w="120"/>
            </w:tcMar>
            <w:vAlign w:val="center"/>
          </w:tcPr>
          <w:p>
            <w:pPr>
              <w:spacing w:after="0"/>
              <w:jc w:val="center"/>
            </w:pPr>
            <w:r>
              <w:rPr>
                <w:rFonts w:ascii="Calibri" w:cs="Calibri" w:eastAsia="Calibri" w:hAnsi="Calibri"/>
                <w:b/>
                <w:bCs/>
                <w:color w:val="2B2F36"/>
                <w:sz w:val="20"/>
                <w:szCs w:val="20"/>
              </w:rPr>
              <w:t xml:space="preserve">12.80</w:t>
            </w:r>
          </w:p>
        </w:tc>
        <w:tc>
          <w:tcPr>
            <w:tcW w:type="dxa" w:w="155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10.60</w:t>
            </w:r>
          </w:p>
        </w:tc>
        <w:tc>
          <w:tcPr>
            <w:tcW w:type="dxa" w:w="1526"/>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12.10</w:t>
            </w:r>
          </w:p>
        </w:tc>
        <w:tc>
          <w:tcPr>
            <w:tcW w:type="dxa" w:w="1500"/>
            <w:tcMar>
              <w:top w:type="dxa" w:w="80"/>
              <w:left w:type="dxa" w:w="120"/>
              <w:bottom w:type="dxa" w:w="80"/>
              <w:right w:type="dxa" w:w="120"/>
            </w:tcMar>
            <w:vAlign w:val="center"/>
          </w:tcPr>
          <w:p>
            <w:pPr>
              <w:spacing w:after="0"/>
              <w:jc w:val="center"/>
            </w:pPr>
            <w:r>
              <w:rPr>
                <w:rFonts w:ascii="Calibri" w:cs="Calibri" w:eastAsia="Calibri" w:hAnsi="Calibri"/>
                <w:b/>
                <w:bCs/>
                <w:color w:val="1F7A4D"/>
                <w:sz w:val="20"/>
                <w:szCs w:val="20"/>
              </w:rPr>
              <w:t xml:space="preserve">+5.8%</w:t>
            </w:r>
          </w:p>
        </w:tc>
      </w:tr>
      <w:tr>
        <w:tc>
          <w:tcPr>
            <w:tcW w:type="dxa" w:w="29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Gross margin</w:t>
            </w:r>
          </w:p>
        </w:tc>
        <w:tc>
          <w:tcPr>
            <w:tcW w:type="dxa" w:w="155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2B2F36"/>
                <w:sz w:val="20"/>
                <w:szCs w:val="20"/>
              </w:rPr>
              <w:t xml:space="preserve">68.2%</w:t>
            </w:r>
          </w:p>
        </w:tc>
        <w:tc>
          <w:tcPr>
            <w:tcW w:type="dxa" w:w="155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66.8%</w:t>
            </w:r>
          </w:p>
        </w:tc>
        <w:tc>
          <w:tcPr>
            <w:tcW w:type="dxa" w:w="1526"/>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67.0%</w:t>
            </w:r>
          </w:p>
        </w:tc>
        <w:tc>
          <w:tcPr>
            <w:tcW w:type="dxa" w:w="150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7A4D"/>
                <w:sz w:val="20"/>
                <w:szCs w:val="20"/>
              </w:rPr>
              <w:t xml:space="preserve">+1.2 pts</w:t>
            </w:r>
          </w:p>
        </w:tc>
      </w:tr>
      <w:tr>
        <w:tc>
          <w:tcPr>
            <w:tcW w:type="dxa" w:w="29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Operating expenses (M USD)</w:t>
            </w:r>
          </w:p>
        </w:tc>
        <w:tc>
          <w:tcPr>
            <w:tcW w:type="dxa" w:w="155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6.91</w:t>
            </w:r>
          </w:p>
        </w:tc>
        <w:tc>
          <w:tcPr>
            <w:tcW w:type="dxa" w:w="155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6.02</w:t>
            </w:r>
          </w:p>
        </w:tc>
        <w:tc>
          <w:tcPr>
            <w:tcW w:type="dxa" w:w="1526"/>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6.70</w:t>
            </w:r>
          </w:p>
        </w:tc>
        <w:tc>
          <w:tcPr>
            <w:tcW w:type="dxa" w:w="1500"/>
            <w:tcMar>
              <w:top w:type="dxa" w:w="80"/>
              <w:left w:type="dxa" w:w="120"/>
              <w:bottom w:type="dxa" w:w="80"/>
              <w:right w:type="dxa" w:w="120"/>
            </w:tcMar>
            <w:vAlign w:val="center"/>
          </w:tcPr>
          <w:p>
            <w:pPr>
              <w:spacing w:after="0"/>
              <w:jc w:val="center"/>
            </w:pPr>
            <w:r>
              <w:rPr>
                <w:rFonts w:ascii="Calibri" w:cs="Calibri" w:eastAsia="Calibri" w:hAnsi="Calibri"/>
                <w:b/>
                <w:bCs/>
                <w:color w:val="B03A3A"/>
                <w:sz w:val="20"/>
                <w:szCs w:val="20"/>
              </w:rPr>
              <w:t xml:space="preserve">−3.1%</w:t>
            </w:r>
          </w:p>
        </w:tc>
      </w:tr>
      <w:tr>
        <w:tc>
          <w:tcPr>
            <w:tcW w:type="dxa" w:w="29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Services backlog (weeks)</w:t>
            </w:r>
          </w:p>
        </w:tc>
        <w:tc>
          <w:tcPr>
            <w:tcW w:type="dxa" w:w="155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11.0</w:t>
            </w:r>
          </w:p>
        </w:tc>
        <w:tc>
          <w:tcPr>
            <w:tcW w:type="dxa" w:w="155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8.5</w:t>
            </w:r>
          </w:p>
        </w:tc>
        <w:tc>
          <w:tcPr>
            <w:tcW w:type="dxa" w:w="1526"/>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7.0</w:t>
            </w:r>
          </w:p>
        </w:tc>
        <w:tc>
          <w:tcPr>
            <w:tcW w:type="dxa" w:w="150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B03A3A"/>
                <w:sz w:val="20"/>
                <w:szCs w:val="20"/>
              </w:rPr>
              <w:t xml:space="preserve">−57%</w:t>
            </w:r>
          </w:p>
        </w:tc>
      </w:tr>
      <w:tr>
        <w:tc>
          <w:tcPr>
            <w:tcW w:type="dxa" w:w="29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Net revenue retention</w:t>
            </w:r>
          </w:p>
        </w:tc>
        <w:tc>
          <w:tcPr>
            <w:tcW w:type="dxa" w:w="1550"/>
            <w:tcMar>
              <w:top w:type="dxa" w:w="80"/>
              <w:left w:type="dxa" w:w="120"/>
              <w:bottom w:type="dxa" w:w="80"/>
              <w:right w:type="dxa" w:w="120"/>
            </w:tcMar>
            <w:vAlign w:val="center"/>
          </w:tcPr>
          <w:p>
            <w:pPr>
              <w:spacing w:after="0"/>
              <w:jc w:val="center"/>
            </w:pPr>
            <w:r>
              <w:rPr>
                <w:rFonts w:ascii="Calibri" w:cs="Calibri" w:eastAsia="Calibri" w:hAnsi="Calibri"/>
                <w:b/>
                <w:bCs/>
                <w:color w:val="2B2F36"/>
                <w:sz w:val="20"/>
                <w:szCs w:val="20"/>
              </w:rPr>
              <w:t xml:space="preserve">114%</w:t>
            </w:r>
          </w:p>
        </w:tc>
        <w:tc>
          <w:tcPr>
            <w:tcW w:type="dxa" w:w="155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109%</w:t>
            </w:r>
          </w:p>
        </w:tc>
        <w:tc>
          <w:tcPr>
            <w:tcW w:type="dxa" w:w="1526"/>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110%</w:t>
            </w:r>
          </w:p>
        </w:tc>
        <w:tc>
          <w:tcPr>
            <w:tcW w:type="dxa" w:w="1500"/>
            <w:tcMar>
              <w:top w:type="dxa" w:w="80"/>
              <w:left w:type="dxa" w:w="120"/>
              <w:bottom w:type="dxa" w:w="80"/>
              <w:right w:type="dxa" w:w="120"/>
            </w:tcMar>
            <w:vAlign w:val="center"/>
          </w:tcPr>
          <w:p>
            <w:pPr>
              <w:spacing w:after="0"/>
              <w:jc w:val="center"/>
            </w:pPr>
            <w:r>
              <w:rPr>
                <w:rFonts w:ascii="Calibri" w:cs="Calibri" w:eastAsia="Calibri" w:hAnsi="Calibri"/>
                <w:b/>
                <w:bCs/>
                <w:color w:val="1F7A4D"/>
                <w:sz w:val="20"/>
                <w:szCs w:val="20"/>
              </w:rPr>
              <w:t xml:space="preserve">+4 pts</w:t>
            </w:r>
          </w:p>
        </w:tc>
      </w:tr>
    </w:tbl>
    <w:p>
      <w:pPr>
        <w:spacing w:after="0" w:before="100"/>
      </w:pPr>
      <w:r>
        <w:rPr>
          <w:rFonts w:ascii="Calibri" w:cs="Calibri" w:eastAsia="Calibri" w:hAnsi="Calibri"/>
          <w:b/>
          <w:bCs/>
          <w:color w:val="5A6478"/>
          <w:sz w:val="17"/>
          <w:szCs w:val="17"/>
        </w:rPr>
        <w:t xml:space="preserve">Note: </w:t>
      </w:r>
      <w:r>
        <w:rPr>
          <w:rFonts w:ascii="Calibri" w:cs="Calibri" w:eastAsia="Calibri" w:hAnsi="Calibri"/>
          <w:i/>
          <w:iCs/>
          <w:color w:val="5A6478"/>
          <w:sz w:val="17"/>
          <w:szCs w:val="17"/>
        </w:rPr>
        <w:t xml:space="preserve">variance is measured against plan, not against the prior quarter. Backlog variance is unfavourable because a longer backlog is worse.</w:t>
      </w:r>
    </w:p>
    <w:p>
      <w:pPr>
        <w:pStyle w:val="Heading2"/>
        <w:spacing w:after="120" w:before="220"/>
      </w:pPr>
      <w:r>
        <w:rPr>
          <w:rFonts w:ascii="Calibri" w:cs="Calibri" w:eastAsia="Calibri" w:hAnsi="Calibri"/>
          <w:b/>
          <w:bCs/>
          <w:color w:val="2E8B8B"/>
          <w:sz w:val="25"/>
          <w:szCs w:val="25"/>
        </w:rPr>
        <w:t xml:space="preserve">What moved the margin</w:t>
      </w:r>
    </w:p>
    <w:p>
      <w:pPr>
        <w:spacing w:after="160" w:line="276"/>
        <w:jc w:val="both"/>
      </w:pPr>
      <w:r>
        <w:rPr>
          <w:rFonts w:ascii="Calibri" w:cs="Calibri" w:eastAsia="Calibri" w:hAnsi="Calibri"/>
          <w:color w:val="2B2F36"/>
          <w:sz w:val="21"/>
          <w:szCs w:val="21"/>
        </w:rPr>
        <w:t xml:space="preserve">Margin expansion came from three identifiable sources. None of them is a one-off, though the hosting saving will not repeat at the same magnitude next quarter because the migration is now complete.</w:t>
      </w:r>
    </w:p>
    <w:p>
      <w:pPr>
        <w:pStyle w:val="ListParagraph"/>
        <w:numPr>
          <w:ilvl w:val="0"/>
          <w:numId w:val="2"/>
        </w:numPr>
        <w:spacing w:after="90"/>
      </w:pPr>
      <w:r>
        <w:rPr>
          <w:rFonts w:ascii="Calibri" w:cs="Calibri" w:eastAsia="Calibri" w:hAnsi="Calibri"/>
          <w:sz w:val="21"/>
          <w:szCs w:val="21"/>
        </w:rPr>
        <w:t xml:space="preserve">Legacy hosting contracts retired in May, removing roughly 210 thousand USD of monthly fixed cost.</w:t>
      </w:r>
    </w:p>
    <w:p>
      <w:pPr>
        <w:pStyle w:val="ListParagraph"/>
        <w:numPr>
          <w:ilvl w:val="0"/>
          <w:numId w:val="2"/>
        </w:numPr>
        <w:spacing w:after="90"/>
      </w:pPr>
      <w:r>
        <w:rPr>
          <w:rFonts w:ascii="Calibri" w:cs="Calibri" w:eastAsia="Calibri" w:hAnsi="Calibri"/>
          <w:sz w:val="21"/>
          <w:szCs w:val="21"/>
        </w:rPr>
        <w:t xml:space="preserve">Support automation deflected 31% of tier-one tickets, holding support headcount flat against 18% account growth.</w:t>
      </w:r>
    </w:p>
    <w:p>
      <w:pPr>
        <w:pStyle w:val="ListParagraph"/>
        <w:numPr>
          <w:ilvl w:val="0"/>
          <w:numId w:val="2"/>
        </w:numPr>
        <w:spacing w:after="90"/>
      </w:pPr>
      <w:r>
        <w:rPr>
          <w:rFonts w:ascii="Calibri" w:cs="Calibri" w:eastAsia="Calibri" w:hAnsi="Calibri"/>
          <w:sz w:val="21"/>
          <w:szCs w:val="21"/>
        </w:rPr>
        <w:t xml:space="preserve">Higher subscription share in the mix, which carries an 81% gross margin against 44% for services.</w:t>
      </w:r>
    </w:p>
    <w:p>
      <w:pPr>
        <w:pStyle w:val="ListParagraph"/>
        <w:numPr>
          <w:ilvl w:val="1"/>
          <w:numId w:val="2"/>
        </w:numPr>
        <w:spacing w:after="90"/>
      </w:pPr>
      <w:r>
        <w:rPr>
          <w:rFonts w:ascii="Calibri" w:cs="Calibri" w:eastAsia="Calibri" w:hAnsi="Calibri"/>
          <w:sz w:val="21"/>
          <w:szCs w:val="21"/>
        </w:rPr>
        <w:t xml:space="preserve">Partly offset by overtime in delivery, which added 140 thousand USD of unplanned cost.</w:t>
      </w:r>
    </w:p>
    <w:p>
      <w:r>
        <w:br w:type="page"/>
      </w:r>
    </w:p>
    <w:p>
      <w:pPr>
        <w:pStyle w:val="Heading1"/>
        <w:pBdr>
          <w:bottom w:val="single" w:color="E0A458" w:sz="12" w:space="6"/>
        </w:pBdr>
        <w:spacing w:after="200" w:before="40"/>
      </w:pPr>
      <w:r>
        <w:rPr>
          <w:rFonts w:ascii="Calibri" w:cs="Calibri" w:eastAsia="Calibri" w:hAnsi="Calibri"/>
          <w:b/>
          <w:bCs/>
          <w:color w:val="1F3B63"/>
          <w:sz w:val="34"/>
          <w:szCs w:val="34"/>
        </w:rPr>
        <w:t xml:space="preserve">2. Customers and growth</w:t>
      </w:r>
    </w:p>
    <w:p>
      <w:pPr>
        <w:spacing w:after="160" w:line="276"/>
        <w:jc w:val="both"/>
      </w:pPr>
      <w:r>
        <w:rPr>
          <w:rFonts w:ascii="Calibri" w:cs="Calibri" w:eastAsia="Calibri" w:hAnsi="Calibri"/>
          <w:color w:val="2B2F36"/>
          <w:sz w:val="21"/>
          <w:szCs w:val="21"/>
        </w:rPr>
        <w:t xml:space="preserve">Account growth and churn moved in the right directions simultaneously, which is unusual — rapid acquisition normally dilutes retention for a quarter or two. The mid-market segment is the main driver, and the cohort onboarded after the March release has so far churned at roughly half the rate of the preceding cohort.</w:t>
      </w:r>
    </w:p>
    <w:p>
      <w:pPr>
        <w:spacing w:after="0" w:before="8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47925"/>
                    </a:xfrm>
                    <a:prstGeom prst="rect">
                      <a:avLst/>
                    </a:prstGeom>
                  </pic:spPr>
                </pic:pic>
              </a:graphicData>
            </a:graphic>
          </wp:inline>
        </w:drawing>
      </w:r>
    </w:p>
    <w:p>
      <w:pPr>
        <w:spacing w:after="240" w:before="60"/>
        <w:jc w:val="center"/>
      </w:pPr>
      <w:r>
        <w:rPr>
          <w:rFonts w:ascii="Calibri" w:cs="Calibri" w:eastAsia="Calibri" w:hAnsi="Calibri"/>
          <w:i/>
          <w:iCs/>
          <w:color w:val="5A6478"/>
          <w:sz w:val="17"/>
          <w:szCs w:val="17"/>
        </w:rPr>
        <w:t xml:space="preserve">Figure 2 — Active accounts and monthly churn rate, January to June 2026.</w:t>
      </w:r>
    </w:p>
    <w:p>
      <w:pPr>
        <w:pStyle w:val="Heading2"/>
        <w:spacing w:after="120" w:before="220"/>
      </w:pPr>
      <w:r>
        <w:rPr>
          <w:rFonts w:ascii="Calibri" w:cs="Calibri" w:eastAsia="Calibri" w:hAnsi="Calibri"/>
          <w:b/>
          <w:bCs/>
          <w:color w:val="2E8B8B"/>
          <w:sz w:val="25"/>
          <w:szCs w:val="25"/>
        </w:rPr>
        <w:t xml:space="preserve">Where the revenue comes from</w:t>
      </w:r>
    </w:p>
    <w:p>
      <w:pPr>
        <w:spacing w:after="160" w:line="276"/>
        <w:jc w:val="both"/>
      </w:pPr>
      <w:r>
        <w:rPr>
          <w:rFonts w:ascii="Calibri" w:cs="Calibri" w:eastAsia="Calibri" w:hAnsi="Calibri"/>
          <w:color w:val="2B2F36"/>
          <w:sz w:val="21"/>
          <w:szCs w:val="21"/>
        </w:rPr>
        <w:t xml:space="preserve">Subscriptions remain the anchor of the business, and their share is growing as marketplace promotions unwind. The mix below reflects recognised revenue for the quarter.</w:t>
      </w:r>
    </w:p>
    <w:p>
      <w:pPr>
        <w:spacing w:after="0" w:before="80"/>
        <w:jc w:val="center"/>
      </w:pPr>
      <w:r>
        <w:drawing>
          <wp:inline distT="0" distB="0" distL="0" distR="0">
            <wp:extent cx="2857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524125"/>
                    </a:xfrm>
                    <a:prstGeom prst="rect">
                      <a:avLst/>
                    </a:prstGeom>
                  </pic:spPr>
                </pic:pic>
              </a:graphicData>
            </a:graphic>
          </wp:inline>
        </w:drawing>
      </w:r>
    </w:p>
    <w:p>
      <w:pPr>
        <w:spacing w:after="240" w:before="60"/>
        <w:jc w:val="center"/>
      </w:pPr>
      <w:r>
        <w:rPr>
          <w:rFonts w:ascii="Calibri" w:cs="Calibri" w:eastAsia="Calibri" w:hAnsi="Calibri"/>
          <w:i/>
          <w:iCs/>
          <w:color w:val="5A6478"/>
          <w:sz w:val="17"/>
          <w:szCs w:val="17"/>
        </w:rPr>
        <w:t xml:space="preserve">Figure 3 — Revenue mix by line of business, Q2 2026.</w:t>
      </w:r>
    </w:p>
    <w:p>
      <w:pPr>
        <w:pBdr>
          <w:left w:val="single" w:color="E0A458" w:sz="18" w:space="12"/>
        </w:pBdr>
        <w:shd w:fill="FBF6EE" w:color="auto" w:val="clear"/>
        <w:spacing w:after="200" w:before="160"/>
        <w:ind w:left="504" w:right="504"/>
      </w:pPr>
      <w:r>
        <w:rPr>
          <w:rFonts w:ascii="Calibri" w:cs="Calibri" w:eastAsia="Calibri" w:hAnsi="Calibri"/>
          <w:i/>
          <w:iCs/>
          <w:color w:val="3A3F4B"/>
          <w:sz w:val="22"/>
          <w:szCs w:val="22"/>
        </w:rPr>
        <w:t xml:space="preserve">“The migration paid for itself two quarters earlier than we forecast, and it is the single reason margin moved this much.”</w:t>
      </w:r>
      <w:r>
        <w:rPr>
          <w:rFonts w:ascii="Calibri" w:cs="Calibri" w:eastAsia="Calibri" w:hAnsi="Calibri"/>
          <w:color w:val="5A6478"/>
          <w:sz w:val="18"/>
          <w:szCs w:val="18"/>
        </w:rPr>
        <w:t xml:space="preserve">  — R. Havlíček, Chief Financial Officer</w:t>
      </w:r>
    </w:p>
    <w:p>
      <w:r>
        <w:br w:type="page"/>
      </w:r>
    </w:p>
    <w:p>
      <w:pPr>
        <w:pStyle w:val="Heading1"/>
        <w:pBdr>
          <w:bottom w:val="single" w:color="E0A458" w:sz="12" w:space="6"/>
        </w:pBdr>
        <w:spacing w:after="200" w:before="40"/>
      </w:pPr>
      <w:r>
        <w:rPr>
          <w:rFonts w:ascii="Calibri" w:cs="Calibri" w:eastAsia="Calibri" w:hAnsi="Calibri"/>
          <w:b/>
          <w:bCs/>
          <w:color w:val="1F3B63"/>
          <w:sz w:val="34"/>
          <w:szCs w:val="34"/>
        </w:rPr>
        <w:t xml:space="preserve">3. Roadmap and next steps</w:t>
      </w:r>
    </w:p>
    <w:p>
      <w:pPr>
        <w:spacing w:after="160" w:line="276"/>
        <w:jc w:val="both"/>
      </w:pPr>
      <w:r>
        <w:rPr>
          <w:rFonts w:ascii="Calibri" w:cs="Calibri" w:eastAsia="Calibri" w:hAnsi="Calibri"/>
          <w:color w:val="2B2F36"/>
          <w:sz w:val="21"/>
          <w:szCs w:val="21"/>
        </w:rPr>
        <w:t xml:space="preserve">The following commitments were agreed at the quarterly planning session. Each has a named owner and a checkpoint date; status is reviewed every second Thursday.</w:t>
      </w:r>
    </w:p>
    <w:tbl>
      <w:tblPr>
        <w:tblW w:type="dxa" w:w="9026"/>
        <w:tblBorders>
          <w:top w:val="single" w:color="DCE4EE" w:sz="4"/>
          <w:left w:val="single" w:color="DCE4EE" w:sz="4"/>
          <w:bottom w:val="single" w:color="DCE4EE" w:sz="4"/>
          <w:right w:val="single" w:color="DCE4EE" w:sz="4"/>
          <w:insideH w:val="single" w:color="DCE4EE" w:sz="4"/>
          <w:insideV w:val="single" w:color="DCE4EE" w:sz="4"/>
        </w:tblBorders>
        <w:tblLayout w:type="fixed"/>
      </w:tblPr>
      <w:tblGrid>
        <w:gridCol w:w="3700"/>
        <w:gridCol w:w="2100"/>
        <w:gridCol w:w="1600"/>
        <w:gridCol w:w="1626"/>
      </w:tblGrid>
      <w:tr>
        <w:trPr>
          <w:tblHeader/>
        </w:trPr>
        <w:tc>
          <w:tcPr>
            <w:tcW w:type="dxa" w:w="3700"/>
            <w:shd w:fill="1F3B63"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Initiative</w:t>
            </w:r>
          </w:p>
        </w:tc>
        <w:tc>
          <w:tcPr>
            <w:tcW w:type="dxa" w:w="210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Owner</w:t>
            </w:r>
          </w:p>
        </w:tc>
        <w:tc>
          <w:tcPr>
            <w:tcW w:type="dxa" w:w="160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Target</w:t>
            </w:r>
          </w:p>
        </w:tc>
        <w:tc>
          <w:tcPr>
            <w:tcW w:type="dxa" w:w="1626"/>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Status</w:t>
            </w:r>
          </w:p>
        </w:tc>
      </w:tr>
      <w:tr>
        <w:tc>
          <w:tcPr>
            <w:tcW w:type="dxa" w:w="37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Expand delivery capacity by 12 consultants</w:t>
            </w:r>
          </w:p>
        </w:tc>
        <w:tc>
          <w:tcPr>
            <w:tcW w:type="dxa" w:w="21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M. Dvořák</w:t>
            </w:r>
          </w:p>
        </w:tc>
        <w:tc>
          <w:tcPr>
            <w:tcW w:type="dxa" w:w="160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Oct 2026</w:t>
            </w:r>
          </w:p>
        </w:tc>
        <w:tc>
          <w:tcPr>
            <w:tcW w:type="dxa" w:w="1626"/>
            <w:tcMar>
              <w:top w:type="dxa" w:w="80"/>
              <w:left w:type="dxa" w:w="120"/>
              <w:bottom w:type="dxa" w:w="80"/>
              <w:right w:type="dxa" w:w="120"/>
            </w:tcMar>
            <w:vAlign w:val="center"/>
          </w:tcPr>
          <w:p>
            <w:pPr>
              <w:spacing w:after="0"/>
              <w:jc w:val="center"/>
            </w:pPr>
            <w:r>
              <w:rPr>
                <w:rFonts w:ascii="Calibri" w:cs="Calibri" w:eastAsia="Calibri" w:hAnsi="Calibri"/>
                <w:b/>
                <w:bCs/>
                <w:color w:val="1F7A4D"/>
                <w:sz w:val="20"/>
                <w:szCs w:val="20"/>
              </w:rPr>
              <w:t xml:space="preserve">On track</w:t>
            </w:r>
          </w:p>
        </w:tc>
      </w:tr>
      <w:tr>
        <w:tc>
          <w:tcPr>
            <w:tcW w:type="dxa" w:w="37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Retire promotional marketplace pricing</w:t>
            </w:r>
          </w:p>
        </w:tc>
        <w:tc>
          <w:tcPr>
            <w:tcW w:type="dxa" w:w="21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S. Okonkwo</w:t>
            </w:r>
          </w:p>
        </w:tc>
        <w:tc>
          <w:tcPr>
            <w:tcW w:type="dxa" w:w="160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Sep 2026</w:t>
            </w:r>
          </w:p>
        </w:tc>
        <w:tc>
          <w:tcPr>
            <w:tcW w:type="dxa" w:w="1626"/>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B03A3A"/>
                <w:sz w:val="20"/>
                <w:szCs w:val="20"/>
              </w:rPr>
              <w:t xml:space="preserve">At risk</w:t>
            </w:r>
          </w:p>
        </w:tc>
      </w:tr>
      <w:tr>
        <w:tc>
          <w:tcPr>
            <w:tcW w:type="dxa" w:w="37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Launch APAC data residency region</w:t>
            </w:r>
          </w:p>
        </w:tc>
        <w:tc>
          <w:tcPr>
            <w:tcW w:type="dxa" w:w="21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A. Tanaka</w:t>
            </w:r>
          </w:p>
        </w:tc>
        <w:tc>
          <w:tcPr>
            <w:tcW w:type="dxa" w:w="160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Jan 2027</w:t>
            </w:r>
          </w:p>
        </w:tc>
        <w:tc>
          <w:tcPr>
            <w:tcW w:type="dxa" w:w="1626"/>
            <w:tcMar>
              <w:top w:type="dxa" w:w="80"/>
              <w:left w:type="dxa" w:w="120"/>
              <w:bottom w:type="dxa" w:w="80"/>
              <w:right w:type="dxa" w:w="120"/>
            </w:tcMar>
            <w:vAlign w:val="center"/>
          </w:tcPr>
          <w:p>
            <w:pPr>
              <w:spacing w:after="0"/>
              <w:jc w:val="center"/>
            </w:pPr>
            <w:r>
              <w:rPr>
                <w:rFonts w:ascii="Calibri" w:cs="Calibri" w:eastAsia="Calibri" w:hAnsi="Calibri"/>
                <w:b/>
                <w:bCs/>
                <w:color w:val="5A6478"/>
                <w:sz w:val="20"/>
                <w:szCs w:val="20"/>
              </w:rPr>
              <w:t xml:space="preserve">Planning</w:t>
            </w:r>
          </w:p>
        </w:tc>
      </w:tr>
      <w:tr>
        <w:tc>
          <w:tcPr>
            <w:tcW w:type="dxa" w:w="37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Automated onboarding for mid-market</w:t>
            </w:r>
          </w:p>
        </w:tc>
        <w:tc>
          <w:tcPr>
            <w:tcW w:type="dxa" w:w="21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L. Ferreira</w:t>
            </w:r>
          </w:p>
        </w:tc>
        <w:tc>
          <w:tcPr>
            <w:tcW w:type="dxa" w:w="160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Nov 2026</w:t>
            </w:r>
          </w:p>
        </w:tc>
        <w:tc>
          <w:tcPr>
            <w:tcW w:type="dxa" w:w="1626"/>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1F7A4D"/>
                <w:sz w:val="20"/>
                <w:szCs w:val="20"/>
              </w:rPr>
              <w:t xml:space="preserve">On track</w:t>
            </w:r>
          </w:p>
        </w:tc>
      </w:tr>
    </w:tbl>
    <w:p>
      <w:pPr>
        <w:pStyle w:val="Heading2"/>
        <w:spacing w:after="120" w:before="220"/>
      </w:pPr>
      <w:r>
        <w:rPr>
          <w:rFonts w:ascii="Calibri" w:cs="Calibri" w:eastAsia="Calibri" w:hAnsi="Calibri"/>
          <w:b/>
          <w:bCs/>
          <w:color w:val="2E8B8B"/>
          <w:sz w:val="25"/>
          <w:szCs w:val="25"/>
        </w:rPr>
        <w:t xml:space="preserve">Actions before the next review</w:t>
      </w:r>
    </w:p>
    <w:p>
      <w:pPr>
        <w:pStyle w:val="ListParagraph"/>
        <w:numPr>
          <w:ilvl w:val="0"/>
          <w:numId w:val="3"/>
        </w:numPr>
        <w:spacing w:after="90"/>
      </w:pPr>
      <w:r>
        <w:rPr>
          <w:rFonts w:ascii="Calibri" w:cs="Calibri" w:eastAsia="Calibri" w:hAnsi="Calibri"/>
          <w:sz w:val="21"/>
          <w:szCs w:val="21"/>
        </w:rPr>
        <w:t xml:space="preserve">Publish the revised services capacity model and circulate it to regional directors.</w:t>
      </w:r>
    </w:p>
    <w:p>
      <w:pPr>
        <w:pStyle w:val="ListParagraph"/>
        <w:numPr>
          <w:ilvl w:val="0"/>
          <w:numId w:val="3"/>
        </w:numPr>
        <w:spacing w:after="90"/>
      </w:pPr>
      <w:r>
        <w:rPr>
          <w:rFonts w:ascii="Calibri" w:cs="Calibri" w:eastAsia="Calibri" w:hAnsi="Calibri"/>
          <w:sz w:val="21"/>
          <w:szCs w:val="21"/>
        </w:rPr>
        <w:t xml:space="preserve">Model three take-rate scenarios for the marketplace and recommend one by 15 September.</w:t>
      </w:r>
    </w:p>
    <w:p>
      <w:pPr>
        <w:pStyle w:val="ListParagraph"/>
        <w:numPr>
          <w:ilvl w:val="0"/>
          <w:numId w:val="3"/>
        </w:numPr>
        <w:spacing w:after="90"/>
      </w:pPr>
      <w:r>
        <w:rPr>
          <w:rFonts w:ascii="Calibri" w:cs="Calibri" w:eastAsia="Calibri" w:hAnsi="Calibri"/>
          <w:sz w:val="21"/>
          <w:szCs w:val="21"/>
        </w:rPr>
        <w:t xml:space="preserve">Complete the security assessment required for the Tokyo region.</w:t>
      </w:r>
    </w:p>
    <w:p>
      <w:pPr>
        <w:pStyle w:val="ListParagraph"/>
        <w:numPr>
          <w:ilvl w:val="0"/>
          <w:numId w:val="3"/>
        </w:numPr>
        <w:spacing w:after="90"/>
      </w:pPr>
      <w:r>
        <w:rPr>
          <w:rFonts w:ascii="Calibri" w:cs="Calibri" w:eastAsia="Calibri" w:hAnsi="Calibri"/>
          <w:sz w:val="21"/>
          <w:szCs w:val="21"/>
        </w:rPr>
        <w:t xml:space="preserve">Reforecast the full-year outlook once September actuals are closed.</w:t>
      </w:r>
    </w:p>
    <w:p>
      <w:pPr>
        <w:pStyle w:val="Heading2"/>
        <w:spacing w:after="120" w:before="220"/>
      </w:pPr>
      <w:r>
        <w:rPr>
          <w:rFonts w:ascii="Calibri" w:cs="Calibri" w:eastAsia="Calibri" w:hAnsi="Calibri"/>
          <w:b/>
          <w:bCs/>
          <w:color w:val="2E8B8B"/>
          <w:sz w:val="25"/>
          <w:szCs w:val="25"/>
        </w:rPr>
        <w:t xml:space="preserve">Principal risks</w:t>
      </w:r>
    </w:p>
    <w:tbl>
      <w:tblPr>
        <w:tblW w:type="dxa" w:w="9026"/>
        <w:tblBorders>
          <w:top w:val="single" w:color="DCE4EE" w:sz="4"/>
          <w:left w:val="single" w:color="DCE4EE" w:sz="4"/>
          <w:bottom w:val="single" w:color="DCE4EE" w:sz="4"/>
          <w:right w:val="single" w:color="DCE4EE" w:sz="4"/>
          <w:insideH w:val="single" w:color="DCE4EE" w:sz="4"/>
          <w:insideV w:val="single" w:color="DCE4EE" w:sz="4"/>
        </w:tblBorders>
        <w:tblLayout w:type="fixed"/>
      </w:tblPr>
      <w:tblGrid>
        <w:gridCol w:w="2900"/>
        <w:gridCol w:w="1400"/>
        <w:gridCol w:w="1300"/>
        <w:gridCol w:w="3426"/>
      </w:tblGrid>
      <w:tr>
        <w:trPr>
          <w:tblHeader/>
        </w:trPr>
        <w:tc>
          <w:tcPr>
            <w:tcW w:type="dxa" w:w="2900"/>
            <w:shd w:fill="1F3B63"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Risk</w:t>
            </w:r>
          </w:p>
        </w:tc>
        <w:tc>
          <w:tcPr>
            <w:tcW w:type="dxa" w:w="140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Likelihood</w:t>
            </w:r>
          </w:p>
        </w:tc>
        <w:tc>
          <w:tcPr>
            <w:tcW w:type="dxa" w:w="1300"/>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Impact</w:t>
            </w:r>
          </w:p>
        </w:tc>
        <w:tc>
          <w:tcPr>
            <w:tcW w:type="dxa" w:w="3426"/>
            <w:shd w:fill="1F3B63"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FFFFFF"/>
                <w:sz w:val="20"/>
                <w:szCs w:val="20"/>
              </w:rPr>
              <w:t xml:space="preserve">Mitigation</w:t>
            </w:r>
          </w:p>
        </w:tc>
      </w:tr>
      <w:tr>
        <w:tc>
          <w:tcPr>
            <w:tcW w:type="dxa" w:w="29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Delivery backlog delays renewals</w:t>
            </w:r>
          </w:p>
        </w:tc>
        <w:tc>
          <w:tcPr>
            <w:tcW w:type="dxa" w:w="1400"/>
            <w:tcMar>
              <w:top w:type="dxa" w:w="80"/>
              <w:left w:type="dxa" w:w="120"/>
              <w:bottom w:type="dxa" w:w="80"/>
              <w:right w:type="dxa" w:w="120"/>
            </w:tcMar>
            <w:vAlign w:val="center"/>
          </w:tcPr>
          <w:p>
            <w:pPr>
              <w:spacing w:after="0"/>
              <w:jc w:val="center"/>
            </w:pPr>
            <w:r>
              <w:rPr>
                <w:rFonts w:ascii="Calibri" w:cs="Calibri" w:eastAsia="Calibri" w:hAnsi="Calibri"/>
                <w:b/>
                <w:bCs/>
                <w:color w:val="B03A3A"/>
                <w:sz w:val="20"/>
                <w:szCs w:val="20"/>
              </w:rPr>
              <w:t xml:space="preserve">High</w:t>
            </w:r>
          </w:p>
        </w:tc>
        <w:tc>
          <w:tcPr>
            <w:tcW w:type="dxa" w:w="130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High</w:t>
            </w:r>
          </w:p>
        </w:tc>
        <w:tc>
          <w:tcPr>
            <w:tcW w:type="dxa" w:w="3426"/>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Contract three partner firms for overflow work</w:t>
            </w:r>
          </w:p>
        </w:tc>
      </w:tr>
      <w:tr>
        <w:tc>
          <w:tcPr>
            <w:tcW w:type="dxa" w:w="2900"/>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Take-rate erosion in marketplace</w:t>
            </w:r>
          </w:p>
        </w:tc>
        <w:tc>
          <w:tcPr>
            <w:tcW w:type="dxa" w:w="140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bCs/>
                <w:color w:val="9A6B1F"/>
                <w:sz w:val="20"/>
                <w:szCs w:val="20"/>
              </w:rPr>
              <w:t xml:space="preserve">Medium</w:t>
            </w:r>
          </w:p>
        </w:tc>
        <w:tc>
          <w:tcPr>
            <w:tcW w:type="dxa" w:w="1300"/>
            <w:shd w:fill="EEF2F7" w:color="auto" w:val="clear"/>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Medium</w:t>
            </w:r>
          </w:p>
        </w:tc>
        <w:tc>
          <w:tcPr>
            <w:tcW w:type="dxa" w:w="3426"/>
            <w:shd w:fill="EEF2F7" w:color="auto" w:val="clear"/>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Sunset promotional tiers on a published schedule</w:t>
            </w:r>
          </w:p>
        </w:tc>
      </w:tr>
      <w:tr>
        <w:tc>
          <w:tcPr>
            <w:tcW w:type="dxa" w:w="2900"/>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APAC residency rules tighten further</w:t>
            </w:r>
          </w:p>
        </w:tc>
        <w:tc>
          <w:tcPr>
            <w:tcW w:type="dxa" w:w="1400"/>
            <w:tcMar>
              <w:top w:type="dxa" w:w="80"/>
              <w:left w:type="dxa" w:w="120"/>
              <w:bottom w:type="dxa" w:w="80"/>
              <w:right w:type="dxa" w:w="120"/>
            </w:tcMar>
            <w:vAlign w:val="center"/>
          </w:tcPr>
          <w:p>
            <w:pPr>
              <w:spacing w:after="0"/>
              <w:jc w:val="center"/>
            </w:pPr>
            <w:r>
              <w:rPr>
                <w:rFonts w:ascii="Calibri" w:cs="Calibri" w:eastAsia="Calibri" w:hAnsi="Calibri"/>
                <w:b/>
                <w:bCs/>
                <w:color w:val="1F7A4D"/>
                <w:sz w:val="20"/>
                <w:szCs w:val="20"/>
              </w:rPr>
              <w:t xml:space="preserve">Low</w:t>
            </w:r>
          </w:p>
        </w:tc>
        <w:tc>
          <w:tcPr>
            <w:tcW w:type="dxa" w:w="1300"/>
            <w:tcMar>
              <w:top w:type="dxa" w:w="80"/>
              <w:left w:type="dxa" w:w="120"/>
              <w:bottom w:type="dxa" w:w="80"/>
              <w:right w:type="dxa" w:w="120"/>
            </w:tcMar>
            <w:vAlign w:val="center"/>
          </w:tcPr>
          <w:p>
            <w:pPr>
              <w:spacing w:after="0"/>
              <w:jc w:val="center"/>
            </w:pPr>
            <w:r>
              <w:rPr>
                <w:rFonts w:ascii="Calibri" w:cs="Calibri" w:eastAsia="Calibri" w:hAnsi="Calibri"/>
                <w:b w:val="false"/>
                <w:bCs w:val="false"/>
                <w:color w:val="2B2F36"/>
                <w:sz w:val="20"/>
                <w:szCs w:val="20"/>
              </w:rPr>
              <w:t xml:space="preserve">High</w:t>
            </w:r>
          </w:p>
        </w:tc>
        <w:tc>
          <w:tcPr>
            <w:tcW w:type="dxa" w:w="3426"/>
            <w:tcMar>
              <w:top w:type="dxa" w:w="80"/>
              <w:left w:type="dxa" w:w="120"/>
              <w:bottom w:type="dxa" w:w="80"/>
              <w:right w:type="dxa" w:w="120"/>
            </w:tcMar>
            <w:vAlign w:val="center"/>
          </w:tcPr>
          <w:p>
            <w:pPr>
              <w:spacing w:after="0"/>
              <w:jc w:val="left"/>
            </w:pPr>
            <w:r>
              <w:rPr>
                <w:rFonts w:ascii="Calibri" w:cs="Calibri" w:eastAsia="Calibri" w:hAnsi="Calibri"/>
                <w:b w:val="false"/>
                <w:bCs w:val="false"/>
                <w:color w:val="2B2F36"/>
                <w:sz w:val="20"/>
                <w:szCs w:val="20"/>
              </w:rPr>
              <w:t xml:space="preserve">Bring the Tokyo region forward to Q4 if signalled</w:t>
            </w:r>
          </w:p>
        </w:tc>
      </w:tr>
    </w:tbl>
    <w:p>
      <w:pPr>
        <w:spacing w:after="200"/>
      </w:pPr>
    </w:p>
    <w:p>
      <w:pPr>
        <w:pStyle w:val="Heading2"/>
        <w:spacing w:after="120" w:before="220"/>
      </w:pPr>
      <w:r>
        <w:rPr>
          <w:rFonts w:ascii="Calibri" w:cs="Calibri" w:eastAsia="Calibri" w:hAnsi="Calibri"/>
          <w:b/>
          <w:bCs/>
          <w:color w:val="2E8B8B"/>
          <w:sz w:val="25"/>
          <w:szCs w:val="25"/>
        </w:rPr>
        <w:t xml:space="preserve">Appendix — document contents</w:t>
      </w:r>
    </w:p>
    <w:p>
      <w:pPr>
        <w:tabs>
          <w:tab w:val="right" w:pos="9026" w:leader="dot"/>
        </w:tabs>
        <w:spacing w:after="80"/>
      </w:pPr>
      <w:r>
        <w:rPr>
          <w:rFonts w:ascii="Calibri" w:cs="Calibri" w:eastAsia="Calibri" w:hAnsi="Calibri"/>
          <w:sz w:val="21"/>
          <w:szCs w:val="21"/>
        </w:rPr>
        <w:t xml:space="preserve">Executive summary and highlights</w:t>
      </w:r>
      <w:r>
        <w:rPr>
          <w:rFonts w:ascii="Calibri" w:cs="Calibri" w:eastAsia="Calibri" w:hAnsi="Calibri"/>
          <w:sz w:val="21"/>
          <w:szCs w:val="21"/>
        </w:rPr>
        <w:tab/>
        <w:t xml:space="preserve">1</w:t>
      </w:r>
    </w:p>
    <w:p>
      <w:pPr>
        <w:tabs>
          <w:tab w:val="right" w:pos="9026" w:leader="dot"/>
        </w:tabs>
        <w:spacing w:after="80"/>
      </w:pPr>
      <w:r>
        <w:rPr>
          <w:rFonts w:ascii="Calibri" w:cs="Calibri" w:eastAsia="Calibri" w:hAnsi="Calibri"/>
          <w:sz w:val="21"/>
          <w:szCs w:val="21"/>
        </w:rPr>
        <w:t xml:space="preserve">Financial performance and summary of results</w:t>
      </w:r>
      <w:r>
        <w:rPr>
          <w:rFonts w:ascii="Calibri" w:cs="Calibri" w:eastAsia="Calibri" w:hAnsi="Calibri"/>
          <w:sz w:val="21"/>
          <w:szCs w:val="21"/>
        </w:rPr>
        <w:tab/>
        <w:t xml:space="preserve">2</w:t>
      </w:r>
    </w:p>
    <w:p>
      <w:pPr>
        <w:tabs>
          <w:tab w:val="right" w:pos="9026" w:leader="dot"/>
        </w:tabs>
        <w:spacing w:after="80"/>
      </w:pPr>
      <w:r>
        <w:rPr>
          <w:rFonts w:ascii="Calibri" w:cs="Calibri" w:eastAsia="Calibri" w:hAnsi="Calibri"/>
          <w:sz w:val="21"/>
          <w:szCs w:val="21"/>
        </w:rPr>
        <w:t xml:space="preserve">Customers, growth and revenue mix</w:t>
      </w:r>
      <w:r>
        <w:rPr>
          <w:rFonts w:ascii="Calibri" w:cs="Calibri" w:eastAsia="Calibri" w:hAnsi="Calibri"/>
          <w:sz w:val="21"/>
          <w:szCs w:val="21"/>
        </w:rPr>
        <w:tab/>
        <w:t xml:space="preserve">3</w:t>
      </w:r>
    </w:p>
    <w:p>
      <w:pPr>
        <w:tabs>
          <w:tab w:val="right" w:pos="9026" w:leader="dot"/>
        </w:tabs>
        <w:spacing w:after="80"/>
      </w:pPr>
      <w:r>
        <w:rPr>
          <w:rFonts w:ascii="Calibri" w:cs="Calibri" w:eastAsia="Calibri" w:hAnsi="Calibri"/>
          <w:sz w:val="21"/>
          <w:szCs w:val="21"/>
        </w:rPr>
        <w:t xml:space="preserve">Roadmap, actions and appendix</w:t>
      </w:r>
      <w:r>
        <w:rPr>
          <w:rFonts w:ascii="Calibri" w:cs="Calibri" w:eastAsia="Calibri" w:hAnsi="Calibri"/>
          <w:sz w:val="21"/>
          <w:szCs w:val="21"/>
        </w:rPr>
        <w:tab/>
        <w:t xml:space="preserve">4</w:t>
      </w:r>
    </w:p>
    <w:p>
      <w:pPr>
        <w:spacing w:after="280"/>
      </w:pPr>
    </w:p>
    <w:p>
      <w:pPr>
        <w:spacing w:after="160" w:line="276"/>
        <w:jc w:val="left"/>
      </w:pPr>
      <w:r>
        <w:rPr>
          <w:rFonts w:ascii="Calibri" w:cs="Calibri" w:eastAsia="Calibri" w:hAnsi="Calibri"/>
          <w:color w:val="2B2F36"/>
          <w:sz w:val="21"/>
          <w:szCs w:val="21"/>
        </w:rPr>
        <w:t xml:space="preserve">This document is a sample produced to demonstrate layout elements: headings, justified body text, bulleted and numbered lists, shaded tables, embedded charts and images, a pull quote, dot-leader entries, and running headers and footers with page numbering.</w:t>
      </w:r>
    </w:p>
    <w:p>
      <w:pPr>
        <w:pBdr>
          <w:top w:val="single" w:color="DCE4EE" w:sz="6" w:space="8"/>
        </w:pBdr>
        <w:spacing w:before="300"/>
      </w:pPr>
      <w:r>
        <w:rPr>
          <w:rFonts w:ascii="Calibri" w:cs="Calibri" w:eastAsia="Calibri" w:hAnsi="Calibri"/>
          <w:color w:val="5A6478"/>
          <w:sz w:val="17"/>
          <w:szCs w:val="17"/>
        </w:rPr>
        <w:t xml:space="preserve">Approved by the executive committee · Northwind Analytics s.r.o. · Prague</w:t>
      </w:r>
    </w:p>
    <w:sectPr>
      <w:headerReference w:type="default" r:id="rId7"/>
      <w:footerReference w:type="default" r:id="rId8"/>
      <w:pgSz w:w="11906" w:h="16838" w:orient="portrait"/>
      <w:pgMar w:top="1150" w:right="1440" w:bottom="1150" w:left="1440" w:header="560" w:footer="56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8"/>
        <w:sz w:val="16"/>
        <w:szCs w:val="16"/>
      </w:rPr>
      <w:t xml:space="preserve">Confidential — internal distribution only    |    Page </w:t>
    </w:r>
    <w:r>
      <w:rPr>
        <w:rFonts w:ascii="Calibri" w:cs="Calibri" w:eastAsia="Calibri" w:hAnsi="Calibri"/>
        <w:b/>
        <w:bCs/>
        <w:color w:val="1F3B63"/>
        <w:sz w:val="16"/>
        <w:szCs w:val="16"/>
      </w:rPr>
      <w:fldChar w:fldCharType="begin"/>
      <w:instrText xml:space="preserve">PAGE</w:instrText>
      <w:fldChar w:fldCharType="separate"/>
      <w:fldChar w:fldCharType="end"/>
    </w:r>
    <w:r>
      <w:rPr>
        <w:rFonts w:ascii="Calibri" w:cs="Calibri" w:eastAsia="Calibri" w:hAnsi="Calibri"/>
        <w:color w:val="5A6478"/>
        <w:sz w:val="16"/>
        <w:szCs w:val="16"/>
      </w:rPr>
      <w:t xml:space="preserve"> of </w:t>
    </w:r>
    <w:r>
      <w:rPr>
        <w:rFonts w:ascii="Calibri" w:cs="Calibri" w:eastAsia="Calibri" w:hAnsi="Calibri"/>
        <w:color w:val="5A64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E" w:sz="4" w:space="6"/>
      </w:pBdr>
      <w:tabs>
        <w:tab w:val="right" w:pos="9026" w:leader="none"/>
      </w:tabs>
      <w:spacing w:after="0"/>
    </w:pPr>
    <w:r>
      <w:drawing>
        <wp:inline distT="0" distB="0" distL="0" distR="0">
          <wp:extent cx="1524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152400"/>
                  </a:xfrm>
                  <a:prstGeom prst="rect">
                    <a:avLst/>
                  </a:prstGeom>
                </pic:spPr>
              </pic:pic>
            </a:graphicData>
          </a:graphic>
        </wp:inline>
      </w:drawing>
    </w:r>
    <w:r>
      <w:rPr>
        <w:rFonts w:ascii="Calibri" w:cs="Calibri" w:eastAsia="Calibri" w:hAnsi="Calibri"/>
        <w:b/>
        <w:bCs/>
        <w:color w:val="1F3B63"/>
        <w:sz w:val="17"/>
        <w:szCs w:val="17"/>
      </w:rPr>
      <w:t xml:space="preserve">  Northwind Analytics</w:t>
    </w:r>
    <w:r>
      <w:rPr>
        <w:rFonts w:ascii="Calibri" w:cs="Calibri" w:eastAsia="Calibri" w:hAnsi="Calibri"/>
        <w:color w:val="5A6478"/>
        <w:sz w:val="17"/>
        <w:szCs w:val="17"/>
      </w:rPr>
      <w:tab/>
      <w:t xml:space="preserve">Quarterly Business Review · Q2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ea3e77fcf03623f54d6106575e4bbb66616de.png"/><Relationship Id="rId10" Type="http://schemas.openxmlformats.org/officeDocument/2006/relationships/image" Target="media/c43e9d1e00a75624b44d6bcf9b4ab0dd79fae877.png"/><Relationship Id="rId11" Type="http://schemas.openxmlformats.org/officeDocument/2006/relationships/image" Target="media/bdd8e91843d86063ff9897890ec8661ca1088d6b.png"/><Relationship Id="rId12" Type="http://schemas.openxmlformats.org/officeDocument/2006/relationships/image" Target="media/4c34b2284ba113b712412734abd7e761048b19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09ff383d3259c71a7c4b60dab4e16d35d6299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Business Review — Q2 2026</dc:title>
  <dc:creator>Northwind Analytics</dc:creator>
  <dc:description>Sample document demonstrating text, tables, charts and images</dc:description>
  <cp:lastModifiedBy>Un-named</cp:lastModifiedBy>
  <cp:revision>1</cp:revision>
  <dcterms:created xsi:type="dcterms:W3CDTF">2026-08-20T19:47:42.478Z</dcterms:created>
  <dcterms:modified xsi:type="dcterms:W3CDTF">2026-08-20T19:47:42.478Z</dcterms:modified>
</cp:coreProperties>
</file>

<file path=docProps/custom.xml><?xml version="1.0" encoding="utf-8"?>
<Properties xmlns="http://schemas.openxmlformats.org/officeDocument/2006/custom-properties" xmlns:vt="http://schemas.openxmlformats.org/officeDocument/2006/docPropsVTypes"/>
</file>