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D47A1" w:sz="12" w:space="1"/>
        </w:pBdr>
        <w:spacing w:after="400"/>
      </w:pPr>
    </w:p>
    <w:p>
      <w:pPr>
        <w:spacing w:after="120"/>
        <w:jc w:val="left"/>
      </w:pPr>
      <w:r>
        <w:rPr>
          <w:rFonts w:ascii="Calibri" w:cs="Calibri" w:eastAsia="Calibri" w:hAnsi="Calibri"/>
          <w:color w:val="1976D2"/>
          <w:spacing w:val="60"/>
          <w:sz w:val="24"/>
          <w:szCs w:val="24"/>
        </w:rPr>
        <w:t xml:space="preserve">TECHNICAL DESIGN PROPOSAL</w:t>
      </w:r>
    </w:p>
    <w:p>
      <w:pPr>
        <w:spacing w:after="80"/>
        <w:jc w:val="left"/>
      </w:pPr>
      <w:r>
        <w:rPr>
          <w:rFonts w:ascii="Georgia" w:cs="Georgia" w:eastAsia="Georgia" w:hAnsi="Georgia"/>
          <w:b/>
          <w:bCs/>
          <w:color w:val="0D47A1"/>
          <w:sz w:val="56"/>
          <w:szCs w:val="56"/>
        </w:rPr>
        <w:t xml:space="preserve">Monolith to Microservices</w:t>
      </w:r>
    </w:p>
    <w:p>
      <w:pPr>
        <w:spacing w:after="40"/>
        <w:jc w:val="left"/>
      </w:pPr>
      <w:r>
        <w:rPr>
          <w:rFonts w:ascii="Georgia" w:cs="Georgia" w:eastAsia="Georgia" w:hAnsi="Georgia"/>
          <w:b/>
          <w:bCs/>
          <w:color w:val="0D47A1"/>
          <w:sz w:val="56"/>
          <w:szCs w:val="56"/>
        </w:rPr>
        <w:t xml:space="preserve">Migration Strategy</w:t>
      </w:r>
    </w:p>
    <w:p>
      <w:pPr>
        <w:spacing w:after="600" w:before="200"/>
        <w:jc w:val="left"/>
      </w:pPr>
      <w:r>
        <w:rPr>
          <w:rFonts w:ascii="Calibri" w:cs="Calibri" w:eastAsia="Calibri" w:hAnsi="Calibri"/>
          <w:color w:val="757575"/>
          <w:sz w:val="26"/>
          <w:szCs w:val="26"/>
        </w:rPr>
        <w:t xml:space="preserve">A phased approach using the Strangler Fig pattern to decompose a monolithic application into independently deployable microservices.</w:t>
      </w:r>
    </w:p>
    <w:p>
      <w:pPr>
        <w:pBdr>
          <w:bottom w:val="single" w:color="CCCCCC" w:sz="4" w:space="1"/>
        </w:pBdr>
        <w:spacing w:after="200"/>
      </w:pPr>
    </w:p>
    <w:p>
      <w:pPr>
        <w:spacing w:after="40"/>
        <w:jc w:val="left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Engineering Architecture Team</w:t>
      </w:r>
    </w:p>
    <w:p>
      <w:pPr>
        <w:spacing w:after="40"/>
        <w:jc w:val="left"/>
      </w:pPr>
      <w:r>
        <w:rPr>
          <w:rFonts w:ascii="Calibri" w:cs="Calibri" w:eastAsia="Calibri" w:hAnsi="Calibri"/>
          <w:color w:val="757575"/>
          <w:sz w:val="22"/>
          <w:szCs w:val="22"/>
        </w:rPr>
        <w:t xml:space="preserve">Version 1.0  |  March 2026</w:t>
      </w:r>
    </w:p>
    <w:p>
      <w:pPr>
        <w:jc w:val="left"/>
      </w:pPr>
      <w:r>
        <w:rPr>
          <w:rFonts w:ascii="Calibri" w:cs="Calibri" w:eastAsia="Calibri" w:hAnsi="Calibri"/>
          <w:color w:val="757575"/>
          <w:sz w:val="22"/>
          <w:szCs w:val="22"/>
        </w:rPr>
        <w:t xml:space="preserve">Classification: Internal</w:t>
      </w:r>
    </w:p>
    <w:p>
      <w:pPr>
        <w:sectPr>
          <w:headerReference w:type="first" r:id="rId7"/>
          <w:footerReference w:type="first" r:id="rId8"/>
          <w:pgSz w:w="12240" w:h="15840" w:orient="portrait"/>
          <w:pgMar w:top="4320" w:right="1440" w:bottom="2880" w:left="144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This proposal outlines a migration strategy for decomposing our monolithic application into a microservices architecture. The current system has reached inflection points in scalability, deployment velocity, and team autonomy that justify the investment. We recommend a phased Strangler Fig approach over 12 months, prioritizing high-value domain boundaries while maintaining production stability throughout the transition.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0D47A1" w:sz="8"/>
              <w:bottom w:val="single" w:color="1976D2" w:sz="1"/>
              <w:right w:val="single" w:color="1976D2" w:sz="1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D47A1"/>
                <w:sz w:val="22"/>
                <w:szCs w:val="22"/>
              </w:rPr>
              <w:t xml:space="preserve">Key Outcome</w:t>
            </w:r>
          </w:p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Independent deployability for 6 core services, reducing release cycle time from 2 weeks to under 1 day per service, with zero planned downtime during migration.</w:t>
            </w:r>
          </w:p>
        </w:tc>
      </w:tr>
    </w:tbl>
    <w:p>
      <w:pPr>
        <w:pStyle w:val="Heading1"/>
      </w:pPr>
      <w:r>
        <w:t xml:space="preserve">2. Current State Analysis</w:t>
      </w:r>
    </w:p>
    <w:p>
      <w:pPr>
        <w:spacing w:after="120" w:line="276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The monolithic application has served the business well through initial growth, but several systemic issues now constrain engineering velocity and operational resilience: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Deployment coupling: A single change to any module requires a full application redeploy, creating a 2-week release train with high coordination overhead.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Scaling inefficiency: The entire application must scale uniformly. CPU-intensive analytics workloads are co-located with I/O-bound API handlers, leading to over-provisioning of 3–5x on average.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Blast radius: A memory leak or crash in one module brings down the entire system. We have experienced 4 production incidents in the past quarter traceable to cross-module failures.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Team contention: 5 teams contribute to the same codebase and deployment artifact, resulting in merge conflicts, broken builds, and implicit coupling through shared database tables.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Technology lock-in: The monolith enforces a single runtime and framework version across all domains, preventing teams from adopting fit-for-purpose tools.</w:t>
      </w:r>
    </w:p>
    <w:p>
      <w:pPr>
        <w:pStyle w:val="Heading1"/>
      </w:pPr>
      <w:r>
        <w:t xml:space="preserve">3. Target Architecture</w:t>
      </w:r>
    </w:p>
    <w:p>
      <w:pPr>
        <w:spacing w:after="120" w:line="276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The target state is a set of loosely coupled, independently deployable services organized around business domain boundaries. Each service owns its data, exposes a well-defined API contract, and communicates asynchronously where possible.</w:t>
      </w:r>
    </w:p>
    <w:p>
      <w:pPr>
        <w:pStyle w:val="Heading2"/>
      </w:pPr>
      <w:r>
        <w:t xml:space="preserve">3.1 Core Principles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Single responsibility per service, aligned to a bounded context.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Data sovereignty: each service owns its datastore; no shared databases.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Asynchronous communication via an event bus (Kafka/NATS) as the default; synchronous REST/gRPC only for request-response flows.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Infrastructure as code: every service is deployable via CI/CD with no manual steps.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Observability built in: distributed tracing, structured logging, and health endpoints from day one.</w:t>
      </w:r>
    </w:p>
    <w:p>
      <w:pPr>
        <w:pStyle w:val="Heading2"/>
      </w:pPr>
      <w:r>
        <w:t xml:space="preserve">3.2 Service Topology</w:t>
      </w:r>
    </w:p>
    <w:p>
      <w:pPr>
        <w:spacing w:after="120" w:line="276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Services communicate through an API Gateway for external traffic and a message broker for inter-service events. A service mesh (Istio/Linkerd) handles mTLS, retries, and circuit breaking at the infrastructure layer.</w:t>
      </w:r>
    </w:p>
    <w:p>
      <w:pPr>
        <w:pStyle w:val="Heading1"/>
      </w:pPr>
      <w:r>
        <w:t xml:space="preserve">4. Migration Strategy</w:t>
      </w:r>
    </w:p>
    <w:p>
      <w:pPr>
        <w:spacing w:after="120" w:line="276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We adopt the Strangler Fig pattern: new functionality is built as microservices from the outset, while existing monolith capabilities are incrementally extracted behind a routing facade. The monolith remains operational throughout, shrinking over time until it can be decommissioned.</w:t>
      </w:r>
    </w:p>
    <w:p>
      <w:pPr>
        <w:pStyle w:val="Heading2"/>
      </w:pPr>
      <w:r>
        <w:t xml:space="preserve">4.1 Approach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Phase 1 — Facade: </w:t>
      </w:r>
      <w:r>
        <w:rPr>
          <w:rFonts w:ascii="Calibri" w:cs="Calibri" w:eastAsia="Calibri" w:hAnsi="Calibri"/>
          <w:color w:val="212121"/>
          <w:sz w:val="24"/>
          <w:szCs w:val="24"/>
        </w:rPr>
        <w:t xml:space="preserve">Deploy an API gateway in front of the monolith. All external traffic routes through the gateway, enabling transparent rerouting to new services without client changes.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Phase 2 — Extract: </w:t>
      </w:r>
      <w:r>
        <w:rPr>
          <w:rFonts w:ascii="Calibri" w:cs="Calibri" w:eastAsia="Calibri" w:hAnsi="Calibri"/>
          <w:color w:val="212121"/>
          <w:sz w:val="24"/>
          <w:szCs w:val="24"/>
        </w:rPr>
        <w:t xml:space="preserve">Identify the highest-value bounded context (see Section 5), build it as a standalone service, replicate its data, and cut over traffic at the gateway. Validate with shadow traffic before switching.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Phase 3 — Iterate: </w:t>
      </w:r>
      <w:r>
        <w:rPr>
          <w:rFonts w:ascii="Calibri" w:cs="Calibri" w:eastAsia="Calibri" w:hAnsi="Calibri"/>
          <w:color w:val="212121"/>
          <w:sz w:val="24"/>
          <w:szCs w:val="24"/>
        </w:rPr>
        <w:t xml:space="preserve">Repeat extraction for subsequent services in priority order. Each extraction follows the same pattern: build, replicate data, shadow, cut over, decommission monolith code.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Phase 4 — Decommission: </w:t>
      </w:r>
      <w:r>
        <w:rPr>
          <w:rFonts w:ascii="Calibri" w:cs="Calibri" w:eastAsia="Calibri" w:hAnsi="Calibri"/>
          <w:color w:val="212121"/>
          <w:sz w:val="24"/>
          <w:szCs w:val="24"/>
        </w:rPr>
        <w:t xml:space="preserve">Once all domains are extracted, retire the monolith shell and the temporary data synchronization layer.</w:t>
      </w:r>
    </w:p>
    <w:p>
      <w:pPr>
        <w:pStyle w:val="Heading1"/>
      </w:pPr>
      <w:r>
        <w:t xml:space="preserve">5. Service Decomposition</w:t>
      </w:r>
    </w:p>
    <w:p>
      <w:pPr>
        <w:spacing w:after="120" w:line="276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Domain analysis identified 6 bounded contexts suitable for extraction. Extraction priority is based on deployment frequency, scaling needs, and team ownership clarity: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Deploy Freq</w:t>
            </w:r>
          </w:p>
        </w:tc>
        <w:tc>
          <w:tcPr>
            <w:tcW w:type="dxa" w:w="18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Scale Need</w:t>
            </w:r>
          </w:p>
        </w:tc>
        <w:tc>
          <w:tcPr>
            <w:tcW w:type="dxa" w:w="17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User &amp; 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Daily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Billing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Weekly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Payments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Daily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Engagement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Weekly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Very 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Content Mgmt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Bi-weekly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Product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Reporting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Monthly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Data</w:t>
            </w:r>
          </w:p>
        </w:tc>
      </w:tr>
    </w:tbl>
    <w:p>
      <w:pPr>
        <w:spacing w:after="120" w:before="200"/>
      </w:pPr>
    </w:p>
    <w:p>
      <w:pPr>
        <w:pStyle w:val="Heading1"/>
      </w:pPr>
      <w:r>
        <w:t xml:space="preserve">6. Data Management</w:t>
      </w:r>
    </w:p>
    <w:p>
      <w:pPr>
        <w:spacing w:after="120" w:line="276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The most critical challenge in decomposition is untangling shared data. Our strategy: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Database-per-service: each extracted service gets its own database instance (PostgreSQL or DynamoDB depending on access patterns).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Change Data Capture (CDC): during the transition period, Debezium streams changes from the monolith database to new service databases, ensuring consistency without dual writes.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Event sourcing for cross-service data: services publish domain events to the event bus. Downstream consumers build local read models rather than querying upstream services.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Data migration validation: automated reconciliation jobs compare monolith and service data during the shadow period, flagging discrepancies before cutover.</w:t>
      </w:r>
    </w:p>
    <w:p>
      <w:pPr>
        <w:pStyle w:val="Heading1"/>
      </w:pPr>
      <w:r>
        <w:t xml:space="preserve">7. Infrastructure and DevOps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Container orchestration: Kubernetes (EKS) with namespace-per-team isolation.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CI/CD: per-service pipelines (GitHub Actions) with independent versioning, canary deployments, and automated rollback.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Service mesh: Istio for mTLS, traffic management, and circuit breaking.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Observability: OpenTelemetry for distributed tracing, Prometheus + Grafana for metrics, centralized logging via Loki.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Secrets management: HashiCorp Vault with Kubernetes sidecar injection.</w:t>
      </w:r>
    </w:p>
    <w:p>
      <w:r>
        <w:br w:type="page"/>
      </w:r>
    </w:p>
    <w:p>
      <w:pPr>
        <w:pStyle w:val="Heading1"/>
      </w:pPr>
      <w:r>
        <w:t xml:space="preserve">8. Risk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26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Data inconsistency during migration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High — incorrect billing, lost records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CDC + automated reconciliation; shadow traffic validation before cutover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Increased operational complexity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Medium — more services to monitor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Service mesh, centralized observability, on-call runbooks per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Network latency between services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Medium — degraded response times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Async-first communication; caching layers; latency budgets per call chain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Team skill gaps in distributed systems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Medium — slower initial velocity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Training program in weeks 1–4; embedded SRE support during Phase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Scope creep during extraction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High — delayed timelines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Strict bounded context boundaries; time-boxed extraction sprints</w:t>
            </w:r>
          </w:p>
        </w:tc>
      </w:tr>
    </w:tbl>
    <w:p>
      <w:pPr>
        <w:spacing w:after="120" w:before="200"/>
      </w:pPr>
    </w:p>
    <w:p>
      <w:pPr>
        <w:pStyle w:val="Heading1"/>
      </w:pPr>
      <w:r>
        <w:t xml:space="preserve">9. Timeline</w:t>
      </w:r>
    </w:p>
    <w:p>
      <w:pPr>
        <w:spacing w:after="120" w:line="276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The migration spans 12 months across 4 phases: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55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Months 1–2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API gateway deployed; traffic routing in place; observability stack operational; team training complete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Months 3–5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User &amp; Auth and Billing services extracted; CDC pipelines running; shadow traffic validated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Months 6–9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Notifications and Analytics services live; event bus handling cross-service communication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Months 10–12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Content Mgmt and Reporting extracted; monolith decommissioned; CDC pipelines retired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0D47A1" w:sz="8"/>
              <w:bottom w:val="single" w:color="1976D2" w:sz="1"/>
              <w:right w:val="single" w:color="1976D2" w:sz="1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D47A1"/>
                <w:sz w:val="22"/>
                <w:szCs w:val="22"/>
              </w:rPr>
              <w:t xml:space="preserve">Next Steps</w:t>
            </w:r>
          </w:p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1) Architecture review board approval.  2) Staff Phase 1 team (2 senior engineers + 1 SRE).  3) Procure API gateway and Kubernetes infrastructure.  4) Begin gateway deployment in sprint 1.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57575"/>
        <w:sz w:val="18"/>
        <w:szCs w:val="18"/>
      </w:rPr>
      <w:t xml:space="preserve">Page </w:t>
    </w:r>
    <w:r>
      <w:rPr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57575"/>
        <w:sz w:val="18"/>
        <w:szCs w:val="18"/>
      </w:rPr>
      <w:t xml:space="preserve"> of </w:t>
    </w:r>
    <w:r>
      <w:rPr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757575"/>
        <w:sz w:val="18"/>
        <w:szCs w:val="18"/>
      </w:rPr>
      <w:t xml:space="preserve">Monolith to Microservices Migration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Georgia" w:cs="Georgia" w:eastAsia="Georgia" w:hAnsi="Georgia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</w:pPr>
    <w:rPr>
      <w:rFonts w:ascii="Georgia" w:cs="Georgia" w:eastAsia="Georgia" w:hAnsi="Georgia"/>
      <w:b/>
      <w:bCs/>
      <w:color w:val="1976D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Proposal: Monolith to Microservices Migration</dc:title>
  <dc:creator>Engineering Architecture Team</dc:creator>
  <cp:lastModifiedBy>Un-named</cp:lastModifiedBy>
  <cp:revision>1</cp:revision>
  <dcterms:created xsi:type="dcterms:W3CDTF">2026-03-31T20:42:56.943Z</dcterms:created>
  <dcterms:modified xsi:type="dcterms:W3CDTF">2026-03-31T20:42:56.943Z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