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5A074"/>
          <w:sz w:val="48"/>
          <w:szCs w:val="48"/>
        </w:rPr>
        <w:t xml:space="preserve">ProcFly</w:t>
      </w:r>
    </w:p>
    <w:p>
      <w:pPr>
        <w:spacing w:after="240"/>
      </w:pPr>
      <w:r>
        <w:rPr>
          <w:rFonts w:ascii="Calibri" w:cs="Calibri" w:eastAsia="Calibri" w:hAnsi="Calibri"/>
          <w:color w:val="79808E"/>
          <w:sz w:val="24"/>
          <w:szCs w:val="24"/>
        </w:rPr>
        <w:t xml:space="preserve">Dizaino specifikacija — šriftai ir spalvos (dizaineriui)</w:t>
      </w:r>
    </w:p>
    <w:p>
      <w:pPr>
        <w:spacing w:after="100"/>
      </w:pPr>
      <w:r>
        <w:rPr>
          <w:rFonts w:ascii="Calibri" w:cs="Calibri" w:eastAsia="Calibri" w:hAnsi="Calibri"/>
          <w:color w:val="171C28"/>
          <w:sz w:val="22"/>
          <w:szCs w:val="22"/>
        </w:rPr>
        <w:t xml:space="preserve">Visa sistema naudoja vieną šriftų šeimą (Geist) — hierarchiją kuria svoriai, ne atskiras antraščių šriftas. Spalvų pagrindas — firminė žalia ant šalto beveik balto fono.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71C28"/>
          <w:sz w:val="32"/>
          <w:szCs w:val="32"/>
        </w:rPr>
        <w:t xml:space="preserve">Tipografija (Typography)</w:t>
      </w:r>
    </w:p>
    <w:tbl>
      <w:tblPr>
        <w:tblW w:type="pct" w:w="100%"/>
        <w:tblBorders>
          <w:top w:val="single" w:color="D9DDE2" w:sz="4"/>
          <w:left w:val="single" w:color="D9DDE2" w:sz="4"/>
          <w:bottom w:val="single" w:color="D9DDE2" w:sz="4"/>
          <w:right w:val="single" w:color="D9DDE2" w:sz="4"/>
          <w:insideH w:val="single" w:color="D9DDE2" w:sz="4"/>
          <w:insideV w:val="single" w:color="D9DDE2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3886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Paskirtis (Role)</w:t>
            </w:r>
          </w:p>
        </w:tc>
        <w:tc>
          <w:tcPr>
            <w:shd w:fill="13886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Šriftas (Font)</w:t>
            </w:r>
          </w:p>
        </w:tc>
        <w:tc>
          <w:tcPr>
            <w:shd w:fill="13886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Pastabos (Notes)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1C28"/>
                <w:sz w:val="20"/>
                <w:szCs w:val="20"/>
              </w:rPr>
              <w:t xml:space="preserve">Antraštės / Headings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C28"/>
                <w:sz w:val="20"/>
                <w:szCs w:val="20"/>
              </w:rPr>
              <w:t xml:space="preserve">Geist Sans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C28"/>
                <w:sz w:val="20"/>
                <w:szCs w:val="20"/>
              </w:rPr>
              <w:t xml:space="preserve">Svoriai 600–700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1C28"/>
                <w:sz w:val="20"/>
                <w:szCs w:val="20"/>
              </w:rPr>
              <w:t xml:space="preserve">Tekstas / Body &amp; UI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C28"/>
                <w:sz w:val="20"/>
                <w:szCs w:val="20"/>
              </w:rPr>
              <w:t xml:space="preserve">Geist Sans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C28"/>
                <w:sz w:val="20"/>
                <w:szCs w:val="20"/>
              </w:rPr>
              <w:t xml:space="preserve">Numatytasis, line-height ~1.5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1C28"/>
                <w:sz w:val="20"/>
                <w:szCs w:val="20"/>
              </w:rPr>
              <w:t xml:space="preserve">Kodas / Mono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C28"/>
                <w:sz w:val="20"/>
                <w:szCs w:val="20"/>
              </w:rPr>
              <w:t xml:space="preserve">Geist Mono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C28"/>
                <w:sz w:val="20"/>
                <w:szCs w:val="20"/>
              </w:rPr>
              <w:t xml:space="preserve">Kodai, SKU, skaičiai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71C28"/>
          <w:sz w:val="32"/>
          <w:szCs w:val="32"/>
        </w:rPr>
        <w:t xml:space="preserve">Pagrindinės spalvos (Core colors — light tema)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9808E"/>
          <w:sz w:val="22"/>
          <w:szCs w:val="22"/>
        </w:rPr>
        <w:t xml:space="preserve">Spalvos kode saugomos OKLCH formatu (tai tikslus šaltinis). HEX reikšmės pateiktos kaip patogus apytikslis atitikmuo.</w:t>
      </w:r>
    </w:p>
    <w:tbl>
      <w:tblPr>
        <w:tblW w:type="pct" w:w="100%"/>
        <w:tblBorders>
          <w:top w:val="single" w:color="D9DDE2" w:sz="4"/>
          <w:left w:val="single" w:color="D9DDE2" w:sz="4"/>
          <w:bottom w:val="single" w:color="D9DDE2" w:sz="4"/>
          <w:right w:val="single" w:color="D9DDE2" w:sz="4"/>
          <w:insideH w:val="single" w:color="D9DDE2" w:sz="4"/>
          <w:insideV w:val="single" w:color="D9DDE2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3886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Tokenas (Token)</w:t>
            </w:r>
          </w:p>
        </w:tc>
        <w:tc>
          <w:tcPr>
            <w:shd w:fill="13886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Spalva (HEX)</w:t>
            </w:r>
          </w:p>
        </w:tc>
        <w:tc>
          <w:tcPr>
            <w:shd w:fill="13886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OKLCH (tikslus)</w:t>
            </w:r>
          </w:p>
        </w:tc>
        <w:tc>
          <w:tcPr>
            <w:shd w:fill="13886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Naudojimas (Use)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1C28"/>
                <w:sz w:val="20"/>
                <w:szCs w:val="20"/>
              </w:rPr>
              <w:t xml:space="preserve">Background</w:t>
            </w:r>
          </w:p>
        </w:tc>
        <w:tc>
          <w:tcPr>
            <w:tcW w:type="pct" w:w="16%"/>
            <w:shd w:fill="F7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1C28"/>
                <w:sz w:val="18"/>
                <w:szCs w:val="18"/>
              </w:rPr>
              <w:t xml:space="preserve">#F7F8FA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9808E"/>
                <w:sz w:val="20"/>
                <w:szCs w:val="20"/>
              </w:rPr>
              <w:t xml:space="preserve">0.985 0.003 240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C28"/>
                <w:sz w:val="20"/>
                <w:szCs w:val="20"/>
              </w:rPr>
              <w:t xml:space="preserve">Aplikacijos fonas (šaltas beveik baltas)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1C28"/>
                <w:sz w:val="20"/>
                <w:szCs w:val="20"/>
              </w:rPr>
              <w:t xml:space="preserve">Foreground</w:t>
            </w:r>
          </w:p>
        </w:tc>
        <w:tc>
          <w:tcPr>
            <w:tcW w:type="pct" w:w="16%"/>
            <w:shd w:fill="171C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#171C28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9808E"/>
                <w:sz w:val="20"/>
                <w:szCs w:val="20"/>
              </w:rPr>
              <w:t xml:space="preserve">0.18 0.03 250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C28"/>
                <w:sz w:val="20"/>
                <w:szCs w:val="20"/>
              </w:rPr>
              <w:t xml:space="preserve">Pagrindinis tekstas (tamsus slate-navy)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1C28"/>
                <w:sz w:val="20"/>
                <w:szCs w:val="20"/>
              </w:rPr>
              <w:t xml:space="preserve">Card</w:t>
            </w:r>
          </w:p>
        </w:tc>
        <w:tc>
          <w:tcPr>
            <w:tcW w:type="pct" w:w="16%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1C28"/>
                <w:sz w:val="18"/>
                <w:szCs w:val="18"/>
              </w:rPr>
              <w:t xml:space="preserve">#FFFFFF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9808E"/>
                <w:sz w:val="20"/>
                <w:szCs w:val="20"/>
              </w:rPr>
              <w:t xml:space="preserve">1 0 0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C28"/>
                <w:sz w:val="20"/>
                <w:szCs w:val="20"/>
              </w:rPr>
              <w:t xml:space="preserve">Kortelės, lentelės, modalai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1C28"/>
                <w:sz w:val="20"/>
                <w:szCs w:val="20"/>
              </w:rPr>
              <w:t xml:space="preserve">Primary (brand)</w:t>
            </w:r>
          </w:p>
        </w:tc>
        <w:tc>
          <w:tcPr>
            <w:tcW w:type="pct" w:w="16%"/>
            <w:shd w:fill="15A07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#15A074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9808E"/>
                <w:sz w:val="20"/>
                <w:szCs w:val="20"/>
              </w:rPr>
              <w:t xml:space="preserve">0.62 0.13 162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C28"/>
                <w:sz w:val="20"/>
                <w:szCs w:val="20"/>
              </w:rPr>
              <w:t xml:space="preserve">Mygtukai, aktyvios būsenos, nuorodos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1C28"/>
                <w:sz w:val="20"/>
                <w:szCs w:val="20"/>
              </w:rPr>
              <w:t xml:space="preserve">Primary foreground</w:t>
            </w:r>
          </w:p>
        </w:tc>
        <w:tc>
          <w:tcPr>
            <w:tcW w:type="pct" w:w="16%"/>
            <w:shd w:fill="FCFC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1C28"/>
                <w:sz w:val="18"/>
                <w:szCs w:val="18"/>
              </w:rPr>
              <w:t xml:space="preserve">#FCFCFC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9808E"/>
                <w:sz w:val="20"/>
                <w:szCs w:val="20"/>
              </w:rPr>
              <w:t xml:space="preserve">0.99 0 0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C28"/>
                <w:sz w:val="20"/>
                <w:szCs w:val="20"/>
              </w:rPr>
              <w:t xml:space="preserve">Tekstas ant žalių mygtukų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1C28"/>
                <w:sz w:val="20"/>
                <w:szCs w:val="20"/>
              </w:rPr>
              <w:t xml:space="preserve">Sidebar</w:t>
            </w:r>
          </w:p>
        </w:tc>
        <w:tc>
          <w:tcPr>
            <w:tcW w:type="pct" w:w="16%"/>
            <w:shd w:fill="13886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#138862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9808E"/>
                <w:sz w:val="20"/>
                <w:szCs w:val="20"/>
              </w:rPr>
              <w:t xml:space="preserve">0.55 0.12 162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C28"/>
                <w:sz w:val="20"/>
                <w:szCs w:val="20"/>
              </w:rPr>
              <w:t xml:space="preserve">Kairysis meniu (gilesnė žalia)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1C28"/>
                <w:sz w:val="20"/>
                <w:szCs w:val="20"/>
              </w:rPr>
              <w:t xml:space="preserve">Sidebar foreground</w:t>
            </w:r>
          </w:p>
        </w:tc>
        <w:tc>
          <w:tcPr>
            <w:tcW w:type="pct" w:w="16%"/>
            <w:shd w:fill="FBF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1C28"/>
                <w:sz w:val="18"/>
                <w:szCs w:val="18"/>
              </w:rPr>
              <w:t xml:space="preserve">#FBFEFB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9808E"/>
                <w:sz w:val="20"/>
                <w:szCs w:val="20"/>
              </w:rPr>
              <w:t xml:space="preserve">0.99 0.01 162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C28"/>
                <w:sz w:val="20"/>
                <w:szCs w:val="20"/>
              </w:rPr>
              <w:t xml:space="preserve">Meniu tekstas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1C28"/>
                <w:sz w:val="20"/>
                <w:szCs w:val="20"/>
              </w:rPr>
              <w:t xml:space="preserve">Secondary / Muted</w:t>
            </w:r>
          </w:p>
        </w:tc>
        <w:tc>
          <w:tcPr>
            <w:tcW w:type="pct" w:w="16%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1C28"/>
                <w:sz w:val="18"/>
                <w:szCs w:val="18"/>
              </w:rPr>
              <w:t xml:space="preserve">#F1F3F5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9808E"/>
                <w:sz w:val="20"/>
                <w:szCs w:val="20"/>
              </w:rPr>
              <w:t xml:space="preserve">0.96 0.005 240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C28"/>
                <w:sz w:val="20"/>
                <w:szCs w:val="20"/>
              </w:rPr>
              <w:t xml:space="preserve">Subtilūs užpildai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1C28"/>
                <w:sz w:val="20"/>
                <w:szCs w:val="20"/>
              </w:rPr>
              <w:t xml:space="preserve">Muted foreground</w:t>
            </w:r>
          </w:p>
        </w:tc>
        <w:tc>
          <w:tcPr>
            <w:tcW w:type="pct" w:w="16%"/>
            <w:shd w:fill="79808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#79808E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9808E"/>
                <w:sz w:val="20"/>
                <w:szCs w:val="20"/>
              </w:rPr>
              <w:t xml:space="preserve">0.55 0.02 250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C28"/>
                <w:sz w:val="20"/>
                <w:szCs w:val="20"/>
              </w:rPr>
              <w:t xml:space="preserve">Antrinis / etikečių tekstas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1C28"/>
                <w:sz w:val="20"/>
                <w:szCs w:val="20"/>
              </w:rPr>
              <w:t xml:space="preserve">Accent</w:t>
            </w:r>
          </w:p>
        </w:tc>
        <w:tc>
          <w:tcPr>
            <w:tcW w:type="pct" w:w="16%"/>
            <w:shd w:fill="E3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1C28"/>
                <w:sz w:val="18"/>
                <w:szCs w:val="18"/>
              </w:rPr>
              <w:t xml:space="preserve">#E3F3EC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9808E"/>
                <w:sz w:val="20"/>
                <w:szCs w:val="20"/>
              </w:rPr>
              <w:t xml:space="preserve">0.95 0.03 162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C28"/>
                <w:sz w:val="20"/>
                <w:szCs w:val="20"/>
              </w:rPr>
              <w:t xml:space="preserve">Šviesūs žali ženkleliai / chip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1C28"/>
                <w:sz w:val="20"/>
                <w:szCs w:val="20"/>
              </w:rPr>
              <w:t xml:space="preserve">Accent foreground</w:t>
            </w:r>
          </w:p>
        </w:tc>
        <w:tc>
          <w:tcPr>
            <w:tcW w:type="pct" w:w="16%"/>
            <w:shd w:fill="2C6B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#2C6B4F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9808E"/>
                <w:sz w:val="20"/>
                <w:szCs w:val="20"/>
              </w:rPr>
              <w:t xml:space="preserve">0.35 0.09 162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C28"/>
                <w:sz w:val="20"/>
                <w:szCs w:val="20"/>
              </w:rPr>
              <w:t xml:space="preserve">Tekstas ant žalių chip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1C28"/>
                <w:sz w:val="20"/>
                <w:szCs w:val="20"/>
              </w:rPr>
              <w:t xml:space="preserve">Destructive</w:t>
            </w:r>
          </w:p>
        </w:tc>
        <w:tc>
          <w:tcPr>
            <w:tcW w:type="pct" w:w="16%"/>
            <w:shd w:fill="DB3B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#DB3B2C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9808E"/>
                <w:sz w:val="20"/>
                <w:szCs w:val="20"/>
              </w:rPr>
              <w:t xml:space="preserve">0.585 0.2 27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C28"/>
                <w:sz w:val="20"/>
                <w:szCs w:val="20"/>
              </w:rPr>
              <w:t xml:space="preserve">Klaidos, didelė rizika, trinti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1C28"/>
                <w:sz w:val="20"/>
                <w:szCs w:val="20"/>
              </w:rPr>
              <w:t xml:space="preserve">Border / Input</w:t>
            </w:r>
          </w:p>
        </w:tc>
        <w:tc>
          <w:tcPr>
            <w:tcW w:type="pct" w:w="16%"/>
            <w:shd w:fill="E4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1C28"/>
                <w:sz w:val="18"/>
                <w:szCs w:val="18"/>
              </w:rPr>
              <w:t xml:space="preserve">#E4E7EB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9808E"/>
                <w:sz w:val="20"/>
                <w:szCs w:val="20"/>
              </w:rPr>
              <w:t xml:space="preserve">0.92 0.006 240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C28"/>
                <w:sz w:val="20"/>
                <w:szCs w:val="20"/>
              </w:rPr>
              <w:t xml:space="preserve">Skirtukai, laukų rėmeliai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71C28"/>
          <w:sz w:val="32"/>
          <w:szCs w:val="32"/>
        </w:rPr>
        <w:t xml:space="preserve">Grafikai / duomenų vizualizacija (Charts)</w:t>
      </w:r>
    </w:p>
    <w:tbl>
      <w:tblPr>
        <w:tblW w:type="pct" w:w="100%"/>
        <w:tblBorders>
          <w:top w:val="single" w:color="D9DDE2" w:sz="4"/>
          <w:left w:val="single" w:color="D9DDE2" w:sz="4"/>
          <w:bottom w:val="single" w:color="D9DDE2" w:sz="4"/>
          <w:right w:val="single" w:color="D9DDE2" w:sz="4"/>
          <w:insideH w:val="single" w:color="D9DDE2" w:sz="4"/>
          <w:insideV w:val="single" w:color="D9DDE2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3886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Pavadinimas</w:t>
            </w:r>
          </w:p>
        </w:tc>
        <w:tc>
          <w:tcPr>
            <w:shd w:fill="13886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Spalva (HEX)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C28"/>
                <w:sz w:val="20"/>
                <w:szCs w:val="20"/>
              </w:rPr>
              <w:t xml:space="preserve">Green</w:t>
            </w:r>
          </w:p>
        </w:tc>
        <w:tc>
          <w:tcPr>
            <w:tcW w:type="pct" w:w="16%"/>
            <w:shd w:fill="15A07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#15A074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C28"/>
                <w:sz w:val="20"/>
                <w:szCs w:val="20"/>
              </w:rPr>
              <w:t xml:space="preserve">Amber</w:t>
            </w:r>
          </w:p>
        </w:tc>
        <w:tc>
          <w:tcPr>
            <w:tcW w:type="pct" w:w="16%"/>
            <w:shd w:fill="D9A44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#D9A441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C28"/>
                <w:sz w:val="20"/>
                <w:szCs w:val="20"/>
              </w:rPr>
              <w:t xml:space="preserve">Blue</w:t>
            </w:r>
          </w:p>
        </w:tc>
        <w:tc>
          <w:tcPr>
            <w:tcW w:type="pct" w:w="16%"/>
            <w:shd w:fill="3A6FD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#3A6FD8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C28"/>
                <w:sz w:val="20"/>
                <w:szCs w:val="20"/>
              </w:rPr>
              <w:t xml:space="preserve">Red</w:t>
            </w:r>
          </w:p>
        </w:tc>
        <w:tc>
          <w:tcPr>
            <w:tcW w:type="pct" w:w="16%"/>
            <w:shd w:fill="DB3B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#DB3B2C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C28"/>
                <w:sz w:val="20"/>
                <w:szCs w:val="20"/>
              </w:rPr>
              <w:t xml:space="preserve">Deep green</w:t>
            </w:r>
          </w:p>
        </w:tc>
        <w:tc>
          <w:tcPr>
            <w:tcW w:type="pct" w:w="16%"/>
            <w:shd w:fill="2E755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#2E7556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71C28"/>
          <w:sz w:val="32"/>
          <w:szCs w:val="32"/>
        </w:rPr>
        <w:t xml:space="preserve">Formos (Shape)</w:t>
      </w:r>
    </w:p>
    <w:p>
      <w:pPr>
        <w:spacing w:after="100"/>
      </w:pPr>
      <w:r>
        <w:rPr>
          <w:rFonts w:ascii="Calibri" w:cs="Calibri" w:eastAsia="Calibri" w:hAnsi="Calibri"/>
          <w:color w:val="171C28"/>
          <w:sz w:val="22"/>
          <w:szCs w:val="22"/>
        </w:rPr>
        <w:t xml:space="preserve">Bazinis kampų apvalinimas: --radius = 0.75rem (12px). Žingsniai: sm ≈ 7px → 4xl.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71C28"/>
          <w:sz w:val="32"/>
          <w:szCs w:val="32"/>
        </w:rPr>
        <w:t xml:space="preserve">Pastabos dizaineriui (Notes)</w:t>
      </w:r>
    </w:p>
    <w:p>
      <w:pPr>
        <w:spacing w:after="100"/>
      </w:pPr>
      <w:r>
        <w:rPr>
          <w:rFonts w:ascii="Calibri" w:cs="Calibri" w:eastAsia="Calibri" w:hAnsi="Calibri"/>
          <w:color w:val="171C28"/>
          <w:sz w:val="22"/>
          <w:szCs w:val="22"/>
        </w:rPr>
        <w:t xml:space="preserve">• HEX reikšmės yra apytikslės OKLCH originalų reikšmės — OKLCH yra tikslus etalonas.</w:t>
      </w:r>
    </w:p>
    <w:p>
      <w:pPr>
        <w:spacing w:after="100"/>
      </w:pPr>
      <w:r>
        <w:rPr>
          <w:rFonts w:ascii="Calibri" w:cs="Calibri" w:eastAsia="Calibri" w:hAnsi="Calibri"/>
          <w:color w:val="171C28"/>
          <w:sz w:val="22"/>
          <w:szCs w:val="22"/>
        </w:rPr>
        <w:t xml:space="preserve">• Dizainuokite pagal light temą. Dark tema kode egzistuoja, bet tai neutralus pilkas placeholder, kuris neturi firminės žalios.</w:t>
      </w:r>
    </w:p>
    <w:p>
      <w:pPr>
        <w:spacing w:after="100"/>
      </w:pPr>
      <w:r>
        <w:rPr>
          <w:rFonts w:ascii="Calibri" w:cs="Calibri" w:eastAsia="Calibri" w:hAnsi="Calibri"/>
          <w:color w:val="171C28"/>
          <w:sz w:val="22"/>
          <w:szCs w:val="22"/>
        </w:rPr>
        <w:t xml:space="preserve">• Violetinė / purpurinė spalva sąmoningai vengiama visoje sistemoje.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ProcFly — Dizaino specifikacija</dc:title>
  <dc:creator>ProcFly</dc:creator>
  <cp:lastModifiedBy>Un-named</cp:lastModifiedBy>
  <cp:revision>1</cp:revision>
  <dcterms:created xsi:type="dcterms:W3CDTF">2026-06-20T08:45:32.604Z</dcterms:created>
  <dcterms:modified xsi:type="dcterms:W3CDTF">2026-06-20T08:45:32.607Z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