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85BC9" w:rsidRDefault="00785BC9" w:rsidP="00785BC9">
      <w:r>
        <w:rPr>
          <w:rFonts w:ascii="-webkit-standard" w:hAnsi="-webkit-standard"/>
          <w:noProof/>
          <w:color w:val="0000FF"/>
          <w:shd w:val="clear" w:color="auto" w:fill="FFFFFF"/>
        </w:rPr>
        <w:drawing>
          <wp:inline distT="0" distB="0" distL="0" distR="0">
            <wp:extent cx="5756910" cy="1030605"/>
            <wp:effectExtent l="0" t="0" r="0" b="0"/>
            <wp:docPr id="55" name="Grafik 55"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Pr>
          <w:rStyle w:val="apple-converted-space"/>
          <w:rFonts w:ascii="-webkit-standard" w:hAnsi="-webkit-standard"/>
          <w:color w:val="000000"/>
          <w:sz w:val="27"/>
          <w:szCs w:val="27"/>
          <w:shd w:val="clear" w:color="auto" w:fill="FFFFFF"/>
        </w:rPr>
        <w:t> </w:t>
      </w:r>
      <w:r>
        <w:rPr>
          <w:rFonts w:ascii="-webkit-standard" w:hAnsi="-webkit-standard"/>
          <w:color w:val="000000"/>
        </w:rPr>
        <w:br w:type="textWrapping" w:clear="all"/>
      </w:r>
      <w:r>
        <w:rPr>
          <w:rFonts w:ascii="-webkit-standard" w:hAnsi="-webkit-standard"/>
          <w:i/>
          <w:iCs/>
          <w:color w:val="000000"/>
          <w:sz w:val="27"/>
          <w:szCs w:val="27"/>
          <w:shd w:val="clear" w:color="auto" w:fill="FFFFFF"/>
        </w:rPr>
        <w:t>Release Date: October 5, 1999</w:t>
      </w:r>
    </w:p>
    <w:p w:rsidR="00785BC9" w:rsidRDefault="00785BC9" w:rsidP="00785BC9">
      <w:pPr>
        <w:pStyle w:val="StandardWeb"/>
        <w:shd w:val="clear" w:color="auto" w:fill="FFFFFF"/>
        <w:rPr>
          <w:rFonts w:ascii="-webkit-standard" w:hAnsi="-webkit-standard"/>
          <w:color w:val="000000"/>
        </w:rPr>
      </w:pP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785BC9" w:rsidTr="00785BC9">
        <w:trPr>
          <w:tblCellSpacing w:w="15" w:type="dxa"/>
        </w:trPr>
        <w:tc>
          <w:tcPr>
            <w:tcW w:w="0" w:type="auto"/>
            <w:vAlign w:val="center"/>
            <w:hideMark/>
          </w:tcPr>
          <w:p w:rsidR="00785BC9" w:rsidRDefault="00785BC9">
            <w:pPr>
              <w:rPr>
                <w:rFonts w:ascii="Times New Roman" w:hAnsi="Times New Roman"/>
              </w:rPr>
            </w:pPr>
            <w:r>
              <w:rPr>
                <w:sz w:val="27"/>
                <w:szCs w:val="27"/>
              </w:rPr>
              <w:t>For immediate release</w:t>
            </w:r>
          </w:p>
        </w:tc>
      </w:tr>
    </w:tbl>
    <w:p w:rsidR="00785BC9" w:rsidRDefault="00785BC9" w:rsidP="00785BC9">
      <w:pPr>
        <w:pStyle w:val="StandardWeb"/>
        <w:shd w:val="clear" w:color="auto" w:fill="FFFFFF"/>
        <w:spacing w:before="0" w:beforeAutospacing="0" w:after="0" w:afterAutospacing="0"/>
        <w:rPr>
          <w:rFonts w:ascii="-webkit-standard" w:hAnsi="-webkit-standard"/>
          <w:vanish/>
          <w:color w:val="00000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785BC9" w:rsidTr="00785BC9">
        <w:trPr>
          <w:tblCellSpacing w:w="15" w:type="dxa"/>
        </w:trPr>
        <w:tc>
          <w:tcPr>
            <w:tcW w:w="0" w:type="auto"/>
            <w:vAlign w:val="center"/>
            <w:hideMark/>
          </w:tcPr>
          <w:p w:rsidR="00785BC9" w:rsidRPr="00785BC9" w:rsidRDefault="00785BC9">
            <w:pPr>
              <w:pStyle w:val="StandardWeb"/>
              <w:rPr>
                <w:lang w:val="en-US"/>
              </w:rPr>
            </w:pPr>
            <w:r w:rsidRPr="00785BC9">
              <w:rPr>
                <w:lang w:val="en-US"/>
              </w:rPr>
              <w:t>The Federal Open Market Committee decided today to leave its target for the federal funds rate unchanged.</w:t>
            </w:r>
            <w:r w:rsidRPr="00785BC9">
              <w:rPr>
                <w:rStyle w:val="apple-converted-space"/>
                <w:lang w:val="en-US"/>
              </w:rPr>
              <w:t> </w:t>
            </w:r>
          </w:p>
          <w:p w:rsidR="00785BC9" w:rsidRDefault="00785BC9">
            <w:pPr>
              <w:pStyle w:val="StandardWeb"/>
            </w:pPr>
            <w:r>
              <w:t>Strengthening productivity growth has been fostering favorable trends in unit costs and prices, and much recent information suggests that these trends have been sustained.</w:t>
            </w:r>
            <w:r>
              <w:rPr>
                <w:rStyle w:val="apple-converted-space"/>
              </w:rPr>
              <w:t> </w:t>
            </w:r>
          </w:p>
          <w:p w:rsidR="00785BC9" w:rsidRDefault="00785BC9">
            <w:pPr>
              <w:pStyle w:val="StandardWeb"/>
            </w:pPr>
            <w:r>
              <w:t>Nonetheless, the growth of demand has continued to outpace that of supply, as evidenced by a decreasing pool of available workers willing to take jobs. In these circumstances, the Federal Open Market Committee will need to be especially alert in the months ahead to the potential for costs to increase significantly in excess of productivity in a manner that could contribute to inflation pressures and undermine the impressive performance of the economy.</w:t>
            </w:r>
          </w:p>
          <w:p w:rsidR="00785BC9" w:rsidRDefault="00785BC9">
            <w:pPr>
              <w:pStyle w:val="StandardWeb"/>
            </w:pPr>
            <w:r>
              <w:t>Against this background, the Committee adopted a directive that was biased toward a possible firming of policy going forward. Committee members emphasized that such a directive did not signify a commitment to near-term action. The Committee will need to evaluate additional information on the balance of aggregate supply and demand and conditions in financial markets.</w:t>
            </w:r>
            <w:r>
              <w:rPr>
                <w:rStyle w:val="apple-converted-space"/>
              </w:rPr>
              <w:t> </w:t>
            </w:r>
          </w:p>
        </w:tc>
      </w:tr>
    </w:tbl>
    <w:p w:rsidR="00785BC9" w:rsidRDefault="00785BC9" w:rsidP="00785BC9">
      <w:pPr>
        <w:pStyle w:val="StandardWeb"/>
        <w:shd w:val="clear" w:color="auto" w:fill="FFFFFF"/>
        <w:rPr>
          <w:rFonts w:ascii="-webkit-standard" w:hAnsi="-webkit-standard"/>
          <w:color w:val="000000"/>
        </w:rPr>
      </w:pPr>
      <w:hyperlink r:id="rId7" w:history="1">
        <w:r>
          <w:rPr>
            <w:rStyle w:val="Hyperlink"/>
            <w:rFonts w:ascii="-webkit-standard" w:hAnsi="-webkit-standard"/>
          </w:rPr>
          <w:t>1999 Monetary policy</w:t>
        </w:r>
      </w:hyperlink>
    </w:p>
    <w:p w:rsidR="00785BC9" w:rsidRDefault="00846D93" w:rsidP="00785BC9">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785BC9" w:rsidRDefault="00785BC9" w:rsidP="00785BC9">
      <w:hyperlink r:id="rId8"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9" w:history="1">
        <w:r>
          <w:rPr>
            <w:rStyle w:val="Hyperlink"/>
            <w:rFonts w:ascii="-webkit-standard" w:hAnsi="-webkit-standard"/>
            <w:sz w:val="20"/>
            <w:szCs w:val="20"/>
            <w:shd w:val="clear" w:color="auto" w:fill="FFFFFF"/>
          </w:rPr>
          <w:t>News and events</w:t>
        </w:r>
      </w:hyperlink>
      <w:r>
        <w:rPr>
          <w:rFonts w:ascii="-webkit-standard" w:hAnsi="-webkit-standard"/>
          <w:color w:val="000000"/>
          <w:sz w:val="20"/>
          <w:szCs w:val="20"/>
          <w:shd w:val="clear" w:color="auto" w:fill="FFFFFF"/>
        </w:rPr>
        <w:br/>
      </w:r>
      <w:hyperlink r:id="rId10"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October 5, 1999</w:t>
      </w:r>
    </w:p>
    <w:p w:rsidR="00F67AA3" w:rsidRPr="00785BC9" w:rsidRDefault="00F67AA3" w:rsidP="00785BC9"/>
    <w:sectPr w:rsidR="00F67AA3" w:rsidRPr="00785BC9"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9585C"/>
    <w:multiLevelType w:val="multilevel"/>
    <w:tmpl w:val="258A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6"/>
  </w:num>
  <w:num w:numId="4">
    <w:abstractNumId w:val="5"/>
  </w:num>
  <w:num w:numId="5">
    <w:abstractNumId w:val="7"/>
  </w:num>
  <w:num w:numId="6">
    <w:abstractNumId w:val="11"/>
  </w:num>
  <w:num w:numId="7">
    <w:abstractNumId w:val="10"/>
  </w:num>
  <w:num w:numId="8">
    <w:abstractNumId w:val="3"/>
  </w:num>
  <w:num w:numId="9">
    <w:abstractNumId w:val="14"/>
  </w:num>
  <w:num w:numId="10">
    <w:abstractNumId w:val="0"/>
  </w:num>
  <w:num w:numId="11">
    <w:abstractNumId w:val="1"/>
  </w:num>
  <w:num w:numId="12">
    <w:abstractNumId w:val="2"/>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6742D"/>
    <w:rsid w:val="000775CC"/>
    <w:rsid w:val="00087119"/>
    <w:rsid w:val="000A7D87"/>
    <w:rsid w:val="000B5A91"/>
    <w:rsid w:val="000F5B98"/>
    <w:rsid w:val="00116989"/>
    <w:rsid w:val="00132E39"/>
    <w:rsid w:val="00133159"/>
    <w:rsid w:val="001740C7"/>
    <w:rsid w:val="00182D67"/>
    <w:rsid w:val="00183062"/>
    <w:rsid w:val="0019319E"/>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03D6"/>
    <w:rsid w:val="003A23AB"/>
    <w:rsid w:val="003B602C"/>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87CCC"/>
    <w:rsid w:val="00695245"/>
    <w:rsid w:val="006A55F0"/>
    <w:rsid w:val="006D77F8"/>
    <w:rsid w:val="006E41E9"/>
    <w:rsid w:val="006E4D08"/>
    <w:rsid w:val="006F59BC"/>
    <w:rsid w:val="00751EBC"/>
    <w:rsid w:val="00753665"/>
    <w:rsid w:val="00784E73"/>
    <w:rsid w:val="00785BC9"/>
    <w:rsid w:val="00797A57"/>
    <w:rsid w:val="00797C7B"/>
    <w:rsid w:val="007A32C3"/>
    <w:rsid w:val="007F13C8"/>
    <w:rsid w:val="00815EC0"/>
    <w:rsid w:val="00821104"/>
    <w:rsid w:val="00821E02"/>
    <w:rsid w:val="00826CB0"/>
    <w:rsid w:val="00830792"/>
    <w:rsid w:val="00846D93"/>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C40B8"/>
    <w:rsid w:val="00AE2FE3"/>
    <w:rsid w:val="00AE4BAC"/>
    <w:rsid w:val="00B137E0"/>
    <w:rsid w:val="00B26A95"/>
    <w:rsid w:val="00B37593"/>
    <w:rsid w:val="00B42564"/>
    <w:rsid w:val="00B51212"/>
    <w:rsid w:val="00B621BF"/>
    <w:rsid w:val="00B944D2"/>
    <w:rsid w:val="00B95EE3"/>
    <w:rsid w:val="00BB36A8"/>
    <w:rsid w:val="00BE232B"/>
    <w:rsid w:val="00BE5E75"/>
    <w:rsid w:val="00BF0D51"/>
    <w:rsid w:val="00BF23AA"/>
    <w:rsid w:val="00C12DB7"/>
    <w:rsid w:val="00C34247"/>
    <w:rsid w:val="00C41596"/>
    <w:rsid w:val="00C515DE"/>
    <w:rsid w:val="00C63FB2"/>
    <w:rsid w:val="00CA517A"/>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64795"/>
    <w:rsid w:val="00E855D2"/>
    <w:rsid w:val="00E87A45"/>
    <w:rsid w:val="00E97F82"/>
    <w:rsid w:val="00EB2310"/>
    <w:rsid w:val="00EE1590"/>
    <w:rsid w:val="00EE6813"/>
    <w:rsid w:val="00EF7606"/>
    <w:rsid w:val="00F34E1E"/>
    <w:rsid w:val="00F67AA3"/>
    <w:rsid w:val="00F71542"/>
    <w:rsid w:val="00F731DD"/>
    <w:rsid w:val="00F82203"/>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585">
      <w:bodyDiv w:val="1"/>
      <w:marLeft w:val="0"/>
      <w:marRight w:val="0"/>
      <w:marTop w:val="0"/>
      <w:marBottom w:val="0"/>
      <w:divBdr>
        <w:top w:val="none" w:sz="0" w:space="0" w:color="auto"/>
        <w:left w:val="none" w:sz="0" w:space="0" w:color="auto"/>
        <w:bottom w:val="none" w:sz="0" w:space="0" w:color="auto"/>
        <w:right w:val="none" w:sz="0" w:space="0" w:color="auto"/>
      </w:divBdr>
      <w:divsChild>
        <w:div w:id="45148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992">
      <w:bodyDiv w:val="1"/>
      <w:marLeft w:val="0"/>
      <w:marRight w:val="0"/>
      <w:marTop w:val="0"/>
      <w:marBottom w:val="0"/>
      <w:divBdr>
        <w:top w:val="none" w:sz="0" w:space="0" w:color="auto"/>
        <w:left w:val="none" w:sz="0" w:space="0" w:color="auto"/>
        <w:bottom w:val="none" w:sz="0" w:space="0" w:color="auto"/>
        <w:right w:val="none" w:sz="0" w:space="0" w:color="auto"/>
      </w:divBdr>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568">
      <w:bodyDiv w:val="1"/>
      <w:marLeft w:val="0"/>
      <w:marRight w:val="0"/>
      <w:marTop w:val="0"/>
      <w:marBottom w:val="0"/>
      <w:divBdr>
        <w:top w:val="none" w:sz="0" w:space="0" w:color="auto"/>
        <w:left w:val="none" w:sz="0" w:space="0" w:color="auto"/>
        <w:bottom w:val="none" w:sz="0" w:space="0" w:color="auto"/>
        <w:right w:val="none" w:sz="0" w:space="0" w:color="auto"/>
      </w:divBdr>
      <w:divsChild>
        <w:div w:id="36799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19882485">
      <w:bodyDiv w:val="1"/>
      <w:marLeft w:val="0"/>
      <w:marRight w:val="0"/>
      <w:marTop w:val="0"/>
      <w:marBottom w:val="0"/>
      <w:divBdr>
        <w:top w:val="none" w:sz="0" w:space="0" w:color="auto"/>
        <w:left w:val="none" w:sz="0" w:space="0" w:color="auto"/>
        <w:bottom w:val="none" w:sz="0" w:space="0" w:color="auto"/>
        <w:right w:val="none" w:sz="0" w:space="0" w:color="auto"/>
      </w:divBdr>
    </w:div>
    <w:div w:id="830101590">
      <w:bodyDiv w:val="1"/>
      <w:marLeft w:val="0"/>
      <w:marRight w:val="0"/>
      <w:marTop w:val="0"/>
      <w:marBottom w:val="0"/>
      <w:divBdr>
        <w:top w:val="none" w:sz="0" w:space="0" w:color="auto"/>
        <w:left w:val="none" w:sz="0" w:space="0" w:color="auto"/>
        <w:bottom w:val="none" w:sz="0" w:space="0" w:color="auto"/>
        <w:right w:val="none" w:sz="0" w:space="0" w:color="auto"/>
      </w:divBdr>
      <w:divsChild>
        <w:div w:id="81810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0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1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4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8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85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1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9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8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2736">
      <w:bodyDiv w:val="1"/>
      <w:marLeft w:val="0"/>
      <w:marRight w:val="0"/>
      <w:marTop w:val="0"/>
      <w:marBottom w:val="0"/>
      <w:divBdr>
        <w:top w:val="none" w:sz="0" w:space="0" w:color="auto"/>
        <w:left w:val="none" w:sz="0" w:space="0" w:color="auto"/>
        <w:bottom w:val="none" w:sz="0" w:space="0" w:color="auto"/>
        <w:right w:val="none" w:sz="0" w:space="0" w:color="auto"/>
      </w:divBdr>
      <w:divsChild>
        <w:div w:id="62944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9237">
      <w:bodyDiv w:val="1"/>
      <w:marLeft w:val="0"/>
      <w:marRight w:val="0"/>
      <w:marTop w:val="0"/>
      <w:marBottom w:val="0"/>
      <w:divBdr>
        <w:top w:val="none" w:sz="0" w:space="0" w:color="auto"/>
        <w:left w:val="none" w:sz="0" w:space="0" w:color="auto"/>
        <w:bottom w:val="none" w:sz="0" w:space="0" w:color="auto"/>
        <w:right w:val="none" w:sz="0" w:space="0" w:color="auto"/>
      </w:divBdr>
      <w:divsChild>
        <w:div w:id="179825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82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533080">
      <w:bodyDiv w:val="1"/>
      <w:marLeft w:val="0"/>
      <w:marRight w:val="0"/>
      <w:marTop w:val="0"/>
      <w:marBottom w:val="0"/>
      <w:divBdr>
        <w:top w:val="none" w:sz="0" w:space="0" w:color="auto"/>
        <w:left w:val="none" w:sz="0" w:space="0" w:color="auto"/>
        <w:bottom w:val="none" w:sz="0" w:space="0" w:color="auto"/>
        <w:right w:val="none" w:sz="0" w:space="0" w:color="auto"/>
      </w:divBdr>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286434">
      <w:bodyDiv w:val="1"/>
      <w:marLeft w:val="0"/>
      <w:marRight w:val="0"/>
      <w:marTop w:val="0"/>
      <w:marBottom w:val="0"/>
      <w:divBdr>
        <w:top w:val="none" w:sz="0" w:space="0" w:color="auto"/>
        <w:left w:val="none" w:sz="0" w:space="0" w:color="auto"/>
        <w:bottom w:val="none" w:sz="0" w:space="0" w:color="auto"/>
        <w:right w:val="none" w:sz="0" w:space="0" w:color="auto"/>
      </w:divBdr>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706967">
      <w:bodyDiv w:val="1"/>
      <w:marLeft w:val="0"/>
      <w:marRight w:val="0"/>
      <w:marTop w:val="0"/>
      <w:marBottom w:val="0"/>
      <w:divBdr>
        <w:top w:val="none" w:sz="0" w:space="0" w:color="auto"/>
        <w:left w:val="none" w:sz="0" w:space="0" w:color="auto"/>
        <w:bottom w:val="none" w:sz="0" w:space="0" w:color="auto"/>
        <w:right w:val="none" w:sz="0" w:space="0" w:color="auto"/>
      </w:divBdr>
      <w:divsChild>
        <w:div w:id="444662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18267">
      <w:bodyDiv w:val="1"/>
      <w:marLeft w:val="0"/>
      <w:marRight w:val="0"/>
      <w:marTop w:val="0"/>
      <w:marBottom w:val="0"/>
      <w:divBdr>
        <w:top w:val="none" w:sz="0" w:space="0" w:color="auto"/>
        <w:left w:val="none" w:sz="0" w:space="0" w:color="auto"/>
        <w:bottom w:val="none" w:sz="0" w:space="0" w:color="auto"/>
        <w:right w:val="none" w:sz="0" w:space="0" w:color="auto"/>
      </w:divBdr>
      <w:divsChild>
        <w:div w:id="512377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443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096124956">
      <w:bodyDiv w:val="1"/>
      <w:marLeft w:val="0"/>
      <w:marRight w:val="0"/>
      <w:marTop w:val="0"/>
      <w:marBottom w:val="0"/>
      <w:divBdr>
        <w:top w:val="none" w:sz="0" w:space="0" w:color="auto"/>
        <w:left w:val="none" w:sz="0" w:space="0" w:color="auto"/>
        <w:bottom w:val="none" w:sz="0" w:space="0" w:color="auto"/>
        <w:right w:val="none" w:sz="0" w:space="0" w:color="auto"/>
      </w:divBdr>
      <w:divsChild>
        <w:div w:id="1306466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19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1301</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2020-03-21T18:12:00Z</cp:lastPrinted>
  <dcterms:created xsi:type="dcterms:W3CDTF">2020-03-21T18:13:00Z</dcterms:created>
  <dcterms:modified xsi:type="dcterms:W3CDTF">2020-03-21T18:13:00Z</dcterms:modified>
</cp:coreProperties>
</file>