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502E" w:rsidRPr="0053502E" w:rsidRDefault="0053502E" w:rsidP="0053502E">
      <w:pPr>
        <w:pStyle w:val="articletime"/>
        <w:shd w:val="clear" w:color="auto" w:fill="FFFFFF"/>
        <w:spacing w:before="0" w:beforeAutospacing="0" w:after="150" w:afterAutospacing="0"/>
        <w:rPr>
          <w:rFonts w:ascii="Arial" w:hAnsi="Arial" w:cs="Arial"/>
          <w:color w:val="163855"/>
          <w:sz w:val="21"/>
          <w:szCs w:val="21"/>
          <w:lang w:val="en-US"/>
        </w:rPr>
      </w:pPr>
      <w:r w:rsidRPr="0053502E">
        <w:rPr>
          <w:rFonts w:ascii="Arial" w:hAnsi="Arial" w:cs="Arial"/>
          <w:color w:val="163855"/>
          <w:sz w:val="21"/>
          <w:szCs w:val="21"/>
          <w:lang w:val="en-US"/>
        </w:rPr>
        <w:t>January 27, 2010</w:t>
      </w:r>
    </w:p>
    <w:p w:rsidR="0053502E" w:rsidRPr="0053502E" w:rsidRDefault="0053502E" w:rsidP="0053502E">
      <w:pPr>
        <w:pStyle w:val="berschrift3"/>
        <w:shd w:val="clear" w:color="auto" w:fill="FFFFFF"/>
        <w:spacing w:before="150" w:beforeAutospacing="0" w:after="225" w:afterAutospacing="0"/>
        <w:rPr>
          <w:rFonts w:ascii="Georgia" w:hAnsi="Georgia" w:cs="Arial"/>
          <w:b w:val="0"/>
          <w:bCs w:val="0"/>
          <w:color w:val="163855"/>
          <w:lang w:val="en-US"/>
        </w:rPr>
      </w:pPr>
      <w:r w:rsidRPr="0053502E">
        <w:rPr>
          <w:rFonts w:ascii="Georgia" w:hAnsi="Georgia" w:cs="Arial"/>
          <w:b w:val="0"/>
          <w:bCs w:val="0"/>
          <w:color w:val="163855"/>
          <w:lang w:val="en-US"/>
        </w:rPr>
        <w:t>FOMC statement</w:t>
      </w:r>
    </w:p>
    <w:p w:rsidR="0053502E" w:rsidRPr="0053502E" w:rsidRDefault="0053502E" w:rsidP="0053502E">
      <w:pPr>
        <w:pStyle w:val="releasetime"/>
        <w:shd w:val="clear" w:color="auto" w:fill="FFFFFF"/>
        <w:spacing w:before="0" w:beforeAutospacing="0" w:after="150" w:afterAutospacing="0"/>
        <w:rPr>
          <w:rFonts w:ascii="Arial" w:hAnsi="Arial" w:cs="Arial"/>
          <w:color w:val="163855"/>
          <w:sz w:val="21"/>
          <w:szCs w:val="21"/>
          <w:lang w:val="en-US"/>
        </w:rPr>
      </w:pPr>
      <w:r w:rsidRPr="0053502E">
        <w:rPr>
          <w:rFonts w:ascii="Arial" w:hAnsi="Arial" w:cs="Arial"/>
          <w:color w:val="163855"/>
          <w:sz w:val="21"/>
          <w:szCs w:val="21"/>
          <w:lang w:val="en-US"/>
        </w:rPr>
        <w:t>For immediate release</w:t>
      </w:r>
      <w:r w:rsidRPr="0053502E">
        <w:rPr>
          <w:rStyle w:val="apple-converted-space"/>
          <w:rFonts w:ascii="Arial" w:hAnsi="Arial" w:cs="Arial"/>
          <w:color w:val="163855"/>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Information received since the Federal Open Market Committee met in December suggests that economic activity has continued to strengthen and that the deterioration in the labor market is abating. Household spending is expanding at a moderate rate but remains constrained by a weak labor market, modest income growth, lower housing wealth, and tight credit. Business spending on equipment and software appears to be picking up, but investment in structures is still contracting and employers remain reluctant to add to payrolls. Firms have brought inventory stocks into better alignment with sales. While bank lending continues to contract, financial market conditions remain supportive of economic growth. Although the pace of economic recovery is likely to be moderate for a time, the Committee anticipates a gradual return to higher levels of resource utilization in a context of price stability.</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With substantial resource slack continuing to restrain cost pressures and with longer-term inflation expectations stable, inflation is likely to be subdued for some time.</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 xml:space="preserve">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 To provide support to mortgage lending and housing markets and to improve overall conditions in private credit markets, the Federal Reserve is in the process of purchasing $1.25 trillion of agency mortgage-backed securities and about $175 </w:t>
      </w:r>
      <w:proofErr w:type="spellStart"/>
      <w:r w:rsidRPr="0053502E">
        <w:rPr>
          <w:rFonts w:ascii="Arial" w:hAnsi="Arial" w:cs="Arial"/>
          <w:color w:val="333333"/>
          <w:sz w:val="21"/>
          <w:szCs w:val="21"/>
          <w:lang w:val="en-US"/>
        </w:rPr>
        <w:t>billion</w:t>
      </w:r>
      <w:proofErr w:type="spellEnd"/>
      <w:r w:rsidRPr="0053502E">
        <w:rPr>
          <w:rFonts w:ascii="Arial" w:hAnsi="Arial" w:cs="Arial"/>
          <w:color w:val="333333"/>
          <w:sz w:val="21"/>
          <w:szCs w:val="21"/>
          <w:lang w:val="en-US"/>
        </w:rPr>
        <w:t xml:space="preserve"> of agency debt. In order to promote a smooth transition in markets, the Committee is gradually slowing the pace of these purchases, and it anticipates that these transactions will be executed by the end of the first quarter. The Committee will continue to evaluate its purchases of securities in light of the evolving economic outlook and conditions in financial markets.</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 xml:space="preserve">In light of improved functioning of financial markets, the Federal Reserve will be closing the Asset-Backed Commercial Paper Money Market Mutual Fund Liquidity Facility, the Commercial Paper Funding Facility, the Primary Dealer Credit Facility, and the Term Securities Lending Facility on February 1, as previously announced. In addition, the temporary liquidity swap arrangements between the Federal Reserve and other central banks will expire on February 1. The Federal Reserve is in the process of winding down its Term Auction Facility: $50 billion in 28-day credit will be offered on February 8 and $25 billion in 28-day credit will be offered at the final auction on March 8. The anticipated expiration dates for the Term Asset-Backed Securities Loan Facility remain set at June 30 for loans backed by new-issue commercial mortgage-backed securities and March 31 for loans backed by all other types of collateral. The Federal Reserve is prepared to modify these plans if </w:t>
      </w:r>
      <w:proofErr w:type="gramStart"/>
      <w:r w:rsidRPr="0053502E">
        <w:rPr>
          <w:rFonts w:ascii="Arial" w:hAnsi="Arial" w:cs="Arial"/>
          <w:color w:val="333333"/>
          <w:sz w:val="21"/>
          <w:szCs w:val="21"/>
          <w:lang w:val="en-US"/>
        </w:rPr>
        <w:t>necessary</w:t>
      </w:r>
      <w:proofErr w:type="gramEnd"/>
      <w:r w:rsidRPr="0053502E">
        <w:rPr>
          <w:rFonts w:ascii="Arial" w:hAnsi="Arial" w:cs="Arial"/>
          <w:color w:val="333333"/>
          <w:sz w:val="21"/>
          <w:szCs w:val="21"/>
          <w:lang w:val="en-US"/>
        </w:rPr>
        <w:t xml:space="preserve"> to support financial stability and economic growth.</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 xml:space="preserve">Voting for the FOMC monetary policy action were: Ben S. Bernanke, Chairman; William C. Dudley, Vice Chairman; James Bullard; Elizabeth A. Duke; Donald L. Kohn; Sandra </w:t>
      </w:r>
      <w:proofErr w:type="spellStart"/>
      <w:r w:rsidRPr="0053502E">
        <w:rPr>
          <w:rFonts w:ascii="Arial" w:hAnsi="Arial" w:cs="Arial"/>
          <w:color w:val="333333"/>
          <w:sz w:val="21"/>
          <w:szCs w:val="21"/>
          <w:lang w:val="en-US"/>
        </w:rPr>
        <w:t>Pianalto</w:t>
      </w:r>
      <w:proofErr w:type="spellEnd"/>
      <w:r w:rsidRPr="0053502E">
        <w:rPr>
          <w:rFonts w:ascii="Arial" w:hAnsi="Arial" w:cs="Arial"/>
          <w:color w:val="333333"/>
          <w:sz w:val="21"/>
          <w:szCs w:val="21"/>
          <w:lang w:val="en-US"/>
        </w:rPr>
        <w:t xml:space="preserve">; Eric S. Rosengren; Daniel K. </w:t>
      </w:r>
      <w:proofErr w:type="spellStart"/>
      <w:r w:rsidRPr="0053502E">
        <w:rPr>
          <w:rFonts w:ascii="Arial" w:hAnsi="Arial" w:cs="Arial"/>
          <w:color w:val="333333"/>
          <w:sz w:val="21"/>
          <w:szCs w:val="21"/>
          <w:lang w:val="en-US"/>
        </w:rPr>
        <w:t>Tarullo</w:t>
      </w:r>
      <w:proofErr w:type="spellEnd"/>
      <w:r w:rsidRPr="0053502E">
        <w:rPr>
          <w:rFonts w:ascii="Arial" w:hAnsi="Arial" w:cs="Arial"/>
          <w:color w:val="333333"/>
          <w:sz w:val="21"/>
          <w:szCs w:val="21"/>
          <w:lang w:val="en-US"/>
        </w:rPr>
        <w:t xml:space="preserve">; and Kevin M. </w:t>
      </w:r>
      <w:proofErr w:type="spellStart"/>
      <w:r w:rsidRPr="0053502E">
        <w:rPr>
          <w:rFonts w:ascii="Arial" w:hAnsi="Arial" w:cs="Arial"/>
          <w:color w:val="333333"/>
          <w:sz w:val="21"/>
          <w:szCs w:val="21"/>
          <w:lang w:val="en-US"/>
        </w:rPr>
        <w:t>Warsh</w:t>
      </w:r>
      <w:proofErr w:type="spellEnd"/>
      <w:r w:rsidRPr="0053502E">
        <w:rPr>
          <w:rFonts w:ascii="Arial" w:hAnsi="Arial" w:cs="Arial"/>
          <w:color w:val="333333"/>
          <w:sz w:val="21"/>
          <w:szCs w:val="21"/>
          <w:lang w:val="en-US"/>
        </w:rPr>
        <w:t>. Voting against the policy action was Thomas M. Hoenig, who believed that economic and financial conditions had changed sufficiently that the expectation of exceptionally low levels of the federal funds rate for an extended period was no longer warranted.</w:t>
      </w:r>
      <w:r w:rsidRPr="0053502E">
        <w:rPr>
          <w:rStyle w:val="apple-converted-space"/>
          <w:rFonts w:ascii="Arial" w:hAnsi="Arial" w:cs="Arial"/>
          <w:color w:val="333333"/>
          <w:sz w:val="21"/>
          <w:szCs w:val="21"/>
          <w:lang w:val="en-US"/>
        </w:rPr>
        <w:t> </w:t>
      </w:r>
    </w:p>
    <w:p w:rsidR="0053502E" w:rsidRDefault="0053502E" w:rsidP="0053502E">
      <w:pPr>
        <w:shd w:val="clear" w:color="auto" w:fill="FFFFFF"/>
        <w:rPr>
          <w:rFonts w:ascii="Georgia" w:hAnsi="Georgia" w:cs="Arial"/>
          <w:color w:val="333333"/>
          <w:sz w:val="21"/>
          <w:szCs w:val="21"/>
        </w:rPr>
      </w:pPr>
      <w:r>
        <w:rPr>
          <w:rFonts w:ascii="Georgia" w:hAnsi="Georgia" w:cs="Arial"/>
          <w:color w:val="333333"/>
          <w:sz w:val="21"/>
          <w:szCs w:val="21"/>
        </w:rPr>
        <w:t xml:space="preserve">Last Update: </w:t>
      </w:r>
      <w:proofErr w:type="spellStart"/>
      <w:r>
        <w:rPr>
          <w:rFonts w:ascii="Georgia" w:hAnsi="Georgia" w:cs="Arial"/>
          <w:color w:val="333333"/>
          <w:sz w:val="21"/>
          <w:szCs w:val="21"/>
        </w:rPr>
        <w:t>January</w:t>
      </w:r>
      <w:proofErr w:type="spellEnd"/>
      <w:r>
        <w:rPr>
          <w:rFonts w:ascii="Georgia" w:hAnsi="Georgia" w:cs="Arial"/>
          <w:color w:val="333333"/>
          <w:sz w:val="21"/>
          <w:szCs w:val="21"/>
        </w:rPr>
        <w:t xml:space="preserve"> 27, 2010</w:t>
      </w:r>
    </w:p>
    <w:p w:rsidR="00F67AA3" w:rsidRPr="0053502E" w:rsidRDefault="00F67AA3" w:rsidP="0053502E"/>
    <w:sectPr w:rsidR="00F67AA3" w:rsidRPr="0053502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8"/>
  </w:num>
  <w:num w:numId="4">
    <w:abstractNumId w:val="40"/>
  </w:num>
  <w:num w:numId="5">
    <w:abstractNumId w:val="20"/>
  </w:num>
  <w:num w:numId="6">
    <w:abstractNumId w:val="23"/>
  </w:num>
  <w:num w:numId="7">
    <w:abstractNumId w:val="26"/>
  </w:num>
  <w:num w:numId="8">
    <w:abstractNumId w:val="34"/>
  </w:num>
  <w:num w:numId="9">
    <w:abstractNumId w:val="28"/>
  </w:num>
  <w:num w:numId="10">
    <w:abstractNumId w:val="19"/>
  </w:num>
  <w:num w:numId="11">
    <w:abstractNumId w:val="6"/>
  </w:num>
  <w:num w:numId="12">
    <w:abstractNumId w:val="7"/>
  </w:num>
  <w:num w:numId="13">
    <w:abstractNumId w:val="36"/>
  </w:num>
  <w:num w:numId="14">
    <w:abstractNumId w:val="30"/>
  </w:num>
  <w:num w:numId="15">
    <w:abstractNumId w:val="29"/>
  </w:num>
  <w:num w:numId="16">
    <w:abstractNumId w:val="9"/>
  </w:num>
  <w:num w:numId="17">
    <w:abstractNumId w:val="35"/>
  </w:num>
  <w:num w:numId="18">
    <w:abstractNumId w:val="25"/>
  </w:num>
  <w:num w:numId="19">
    <w:abstractNumId w:val="37"/>
  </w:num>
  <w:num w:numId="20">
    <w:abstractNumId w:val="15"/>
  </w:num>
  <w:num w:numId="21">
    <w:abstractNumId w:val="31"/>
  </w:num>
  <w:num w:numId="22">
    <w:abstractNumId w:val="38"/>
  </w:num>
  <w:num w:numId="23">
    <w:abstractNumId w:val="22"/>
  </w:num>
  <w:num w:numId="24">
    <w:abstractNumId w:val="2"/>
  </w:num>
  <w:num w:numId="25">
    <w:abstractNumId w:val="12"/>
  </w:num>
  <w:num w:numId="26">
    <w:abstractNumId w:val="4"/>
  </w:num>
  <w:num w:numId="27">
    <w:abstractNumId w:val="3"/>
  </w:num>
  <w:num w:numId="28">
    <w:abstractNumId w:val="32"/>
  </w:num>
  <w:num w:numId="29">
    <w:abstractNumId w:val="10"/>
  </w:num>
  <w:num w:numId="30">
    <w:abstractNumId w:val="11"/>
  </w:num>
  <w:num w:numId="31">
    <w:abstractNumId w:val="27"/>
  </w:num>
  <w:num w:numId="32">
    <w:abstractNumId w:val="5"/>
  </w:num>
  <w:num w:numId="33">
    <w:abstractNumId w:val="33"/>
  </w:num>
  <w:num w:numId="34">
    <w:abstractNumId w:val="42"/>
  </w:num>
  <w:num w:numId="35">
    <w:abstractNumId w:val="0"/>
  </w:num>
  <w:num w:numId="36">
    <w:abstractNumId w:val="13"/>
  </w:num>
  <w:num w:numId="37">
    <w:abstractNumId w:val="1"/>
  </w:num>
  <w:num w:numId="38">
    <w:abstractNumId w:val="24"/>
  </w:num>
  <w:num w:numId="39">
    <w:abstractNumId w:val="17"/>
  </w:num>
  <w:num w:numId="40">
    <w:abstractNumId w:val="41"/>
  </w:num>
  <w:num w:numId="41">
    <w:abstractNumId w:val="39"/>
  </w:num>
  <w:num w:numId="42">
    <w:abstractNumId w:val="1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A02E32"/>
    <w:rsid w:val="00AE2FE3"/>
    <w:rsid w:val="00BB36A8"/>
    <w:rsid w:val="00BF0D51"/>
    <w:rsid w:val="00C12DB7"/>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2020-03-21T12:35:00Z</cp:lastPrinted>
  <dcterms:created xsi:type="dcterms:W3CDTF">2020-03-21T12:42:00Z</dcterms:created>
  <dcterms:modified xsi:type="dcterms:W3CDTF">2020-03-21T12:42:00Z</dcterms:modified>
</cp:coreProperties>
</file>