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95D" w:rsidRPr="009A195D" w:rsidRDefault="009A195D" w:rsidP="009A195D">
      <w:pPr>
        <w:pStyle w:val="articletime"/>
        <w:shd w:val="clear" w:color="auto" w:fill="FFFFFF"/>
        <w:spacing w:before="0" w:beforeAutospacing="0" w:after="150" w:afterAutospacing="0"/>
        <w:rPr>
          <w:rFonts w:ascii="Arial" w:hAnsi="Arial" w:cs="Arial"/>
          <w:color w:val="163855"/>
          <w:sz w:val="21"/>
          <w:szCs w:val="21"/>
          <w:lang w:val="en-US"/>
        </w:rPr>
      </w:pPr>
      <w:r w:rsidRPr="009A195D">
        <w:rPr>
          <w:rFonts w:ascii="Arial" w:hAnsi="Arial" w:cs="Arial"/>
          <w:color w:val="163855"/>
          <w:sz w:val="21"/>
          <w:szCs w:val="21"/>
          <w:lang w:val="en-US"/>
        </w:rPr>
        <w:t>August 10, 2010</w:t>
      </w:r>
    </w:p>
    <w:p w:rsidR="009A195D" w:rsidRPr="009A195D" w:rsidRDefault="009A195D" w:rsidP="009A195D">
      <w:pPr>
        <w:pStyle w:val="berschrift3"/>
        <w:shd w:val="clear" w:color="auto" w:fill="FFFFFF"/>
        <w:spacing w:before="150" w:beforeAutospacing="0" w:after="225" w:afterAutospacing="0"/>
        <w:rPr>
          <w:rFonts w:ascii="Georgia" w:hAnsi="Georgia" w:cs="Arial"/>
          <w:b w:val="0"/>
          <w:bCs w:val="0"/>
          <w:color w:val="163855"/>
          <w:lang w:val="en-US"/>
        </w:rPr>
      </w:pPr>
      <w:r w:rsidRPr="009A195D">
        <w:rPr>
          <w:rFonts w:ascii="Georgia" w:hAnsi="Georgia" w:cs="Arial"/>
          <w:b w:val="0"/>
          <w:bCs w:val="0"/>
          <w:color w:val="163855"/>
          <w:lang w:val="en-US"/>
        </w:rPr>
        <w:t>FOMC statement</w:t>
      </w:r>
    </w:p>
    <w:p w:rsidR="009A195D" w:rsidRPr="009A195D" w:rsidRDefault="009A195D" w:rsidP="009A195D">
      <w:pPr>
        <w:pStyle w:val="releasetime"/>
        <w:shd w:val="clear" w:color="auto" w:fill="FFFFFF"/>
        <w:spacing w:before="0" w:beforeAutospacing="0" w:after="150" w:afterAutospacing="0"/>
        <w:rPr>
          <w:rFonts w:ascii="Arial" w:hAnsi="Arial" w:cs="Arial"/>
          <w:color w:val="163855"/>
          <w:sz w:val="21"/>
          <w:szCs w:val="21"/>
          <w:lang w:val="en-US"/>
        </w:rPr>
      </w:pPr>
      <w:r w:rsidRPr="009A195D">
        <w:rPr>
          <w:rFonts w:ascii="Arial" w:hAnsi="Arial" w:cs="Arial"/>
          <w:color w:val="163855"/>
          <w:sz w:val="21"/>
          <w:szCs w:val="21"/>
          <w:lang w:val="en-US"/>
        </w:rPr>
        <w:t>For immediate release</w:t>
      </w:r>
      <w:r w:rsidRPr="009A195D">
        <w:rPr>
          <w:rStyle w:val="apple-converted-space"/>
          <w:rFonts w:ascii="Arial" w:hAnsi="Arial" w:cs="Arial"/>
          <w:color w:val="163855"/>
          <w:sz w:val="21"/>
          <w:szCs w:val="21"/>
          <w:lang w:val="en-US"/>
        </w:rPr>
        <w:t> </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 xml:space="preserve">Information received since the Federal Open Market Committee met in June indicates that the pace of recovery in output and employment has slowed in recent months. Household spending is increasing gradually, but remains constrained by high unemployment, modest income growth, lower housing wealth, and tight credit. Business spending on equipment and software is rising; however, investment in nonresidential structures continues to be weak and employers remain reluctant to add to payrolls. Housing starts </w:t>
      </w:r>
      <w:proofErr w:type="gramStart"/>
      <w:r w:rsidRPr="009A195D">
        <w:rPr>
          <w:rFonts w:ascii="Arial" w:hAnsi="Arial" w:cs="Arial"/>
          <w:color w:val="333333"/>
          <w:sz w:val="21"/>
          <w:szCs w:val="21"/>
          <w:lang w:val="en-US"/>
        </w:rPr>
        <w:t>remain</w:t>
      </w:r>
      <w:proofErr w:type="gramEnd"/>
      <w:r w:rsidRPr="009A195D">
        <w:rPr>
          <w:rFonts w:ascii="Arial" w:hAnsi="Arial" w:cs="Arial"/>
          <w:color w:val="333333"/>
          <w:sz w:val="21"/>
          <w:szCs w:val="21"/>
          <w:lang w:val="en-US"/>
        </w:rPr>
        <w:t xml:space="preserve"> at a depressed level. Bank lending has continued to contract. Nonetheless, the Committee anticipates a gradual return to higher levels of resource utilization in a context of price stability, although the pace of economic recovery is likely to be more modest in the near term than had been anticipated.</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Measures of underlying inflation have trended lower in recent quarters and, with substantial resource slack continuing to restrain cost pressures and longer-term inflation expectations stable, inflation is likely to be subdued for some time.</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To help support the economic recovery in a context of price stability, the Committee will keep constant the Federal Reserve's holdings of securities at their current level by reinvesting principal payments from agency debt and agency mortgage-backed securities in longer-term Treasury securities.</w:t>
      </w:r>
      <w:hyperlink r:id="rId5" w:anchor="fn1" w:tooltip="footnote 1" w:history="1">
        <w:r w:rsidRPr="009A195D">
          <w:rPr>
            <w:rStyle w:val="Hyperlink"/>
            <w:rFonts w:ascii="Arial" w:hAnsi="Arial" w:cs="Arial"/>
            <w:color w:val="3A6C9C"/>
            <w:sz w:val="16"/>
            <w:szCs w:val="16"/>
            <w:vertAlign w:val="superscript"/>
            <w:lang w:val="en-US"/>
          </w:rPr>
          <w:t>1</w:t>
        </w:r>
      </w:hyperlink>
      <w:bookmarkStart w:id="0" w:name="f1"/>
      <w:r w:rsidRPr="009A195D">
        <w:rPr>
          <w:rStyle w:val="apple-converted-space"/>
          <w:rFonts w:ascii="Arial" w:hAnsi="Arial" w:cs="Arial"/>
          <w:color w:val="3A6C9C"/>
          <w:sz w:val="21"/>
          <w:szCs w:val="21"/>
          <w:lang w:val="en-US"/>
        </w:rPr>
        <w:t> </w:t>
      </w:r>
      <w:bookmarkEnd w:id="0"/>
      <w:r w:rsidRPr="009A195D">
        <w:rPr>
          <w:rFonts w:ascii="Arial" w:hAnsi="Arial" w:cs="Arial"/>
          <w:color w:val="333333"/>
          <w:sz w:val="21"/>
          <w:szCs w:val="21"/>
          <w:lang w:val="en-US"/>
        </w:rPr>
        <w:t>The Committee will continue to roll over the Federal Reserve's holdings of Treasury securities as they mature.</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The Committee will continue to monitor the economic outlook and financial developments and will employ its policy tools as necessary to promote economic recovery and price stability.</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Voting for the FOMC monetary policy action were: Ben S. Bernanke, Chairman; William C. Dudley, Vice Chairman; James Bullard; Elizabeth A. Duke; Donald L. Kohn; Sandra Pianalto; Eric S. Rosengren; Daniel K. Tarullo; and Kevin M. Warsh.</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Voting against the policy was Thomas M. Hoenig, who judges that the economy is recovering modestly, as projected. Accordingly, he believed that continuing to express the expectation of exceptionally low levels of the federal funds rate for an extended period was no longer warranted and limits the Committee's ability to adjust policy when needed. In addition, given economic and financial conditions, Mr. Hoenig did not believe that keeping constant the size of the Federal Reserve's holdings of longer-term securities at their current level was required to support a return to the Committee's policy objectives.</w:t>
      </w:r>
    </w:p>
    <w:p w:rsidR="009A195D" w:rsidRPr="009A195D" w:rsidRDefault="009A195D" w:rsidP="009A195D">
      <w:pPr>
        <w:pStyle w:val="StandardWeb"/>
        <w:shd w:val="clear" w:color="auto" w:fill="FFFFFF"/>
        <w:spacing w:before="0" w:beforeAutospacing="0" w:after="150" w:afterAutospacing="0"/>
        <w:rPr>
          <w:rFonts w:ascii="Arial" w:hAnsi="Arial" w:cs="Arial"/>
          <w:color w:val="333333"/>
          <w:sz w:val="21"/>
          <w:szCs w:val="21"/>
          <w:lang w:val="en-US"/>
        </w:rPr>
      </w:pPr>
      <w:r w:rsidRPr="009A195D">
        <w:rPr>
          <w:rFonts w:ascii="Arial" w:hAnsi="Arial" w:cs="Arial"/>
          <w:color w:val="333333"/>
          <w:sz w:val="21"/>
          <w:szCs w:val="21"/>
          <w:lang w:val="en-US"/>
        </w:rPr>
        <w:t> </w:t>
      </w:r>
    </w:p>
    <w:p w:rsidR="009A195D" w:rsidRDefault="001C1C8C" w:rsidP="009A195D">
      <w:pPr>
        <w:shd w:val="clear" w:color="auto" w:fill="FFFFFF"/>
        <w:spacing w:before="300" w:after="300"/>
        <w:rPr>
          <w:rFonts w:ascii="Arial" w:hAnsi="Arial" w:cs="Arial"/>
          <w:color w:val="333333"/>
          <w:sz w:val="21"/>
          <w:szCs w:val="21"/>
        </w:rPr>
      </w:pPr>
      <w:r>
        <w:rPr>
          <w:rFonts w:ascii="Arial" w:hAnsi="Arial" w:cs="Arial"/>
          <w:noProof/>
          <w:color w:val="333333"/>
          <w:sz w:val="21"/>
          <w:szCs w:val="21"/>
        </w:rPr>
        <w:pict>
          <v:rect id="_x0000_i1025" alt="" style="width:149.7pt;height:.05pt;mso-width-percent:0;mso-height-percent:0;mso-width-percent:0;mso-height-percent:0" o:hrpct="330" o:hrstd="t" o:hr="t" fillcolor="#a0a0a0" stroked="f"/>
        </w:pict>
      </w:r>
    </w:p>
    <w:p w:rsidR="009A195D" w:rsidRDefault="009A195D" w:rsidP="009A195D">
      <w:pPr>
        <w:pStyle w:val="StandardWeb"/>
        <w:shd w:val="clear" w:color="auto" w:fill="FFFFFF"/>
        <w:spacing w:before="0" w:beforeAutospacing="0" w:after="150" w:afterAutospacing="0"/>
        <w:rPr>
          <w:rFonts w:ascii="Arial" w:hAnsi="Arial" w:cs="Arial"/>
          <w:color w:val="333333"/>
          <w:sz w:val="21"/>
          <w:szCs w:val="21"/>
        </w:rPr>
      </w:pPr>
      <w:bookmarkStart w:id="1" w:name="fn1"/>
      <w:r w:rsidRPr="009A195D">
        <w:rPr>
          <w:rFonts w:ascii="Arial" w:hAnsi="Arial" w:cs="Arial"/>
          <w:color w:val="3A6C9C"/>
          <w:sz w:val="21"/>
          <w:szCs w:val="21"/>
          <w:lang w:val="en-US"/>
        </w:rPr>
        <w:t>1.</w:t>
      </w:r>
      <w:bookmarkEnd w:id="1"/>
      <w:r w:rsidRPr="009A195D">
        <w:rPr>
          <w:rStyle w:val="apple-converted-space"/>
          <w:rFonts w:ascii="Arial" w:hAnsi="Arial" w:cs="Arial"/>
          <w:color w:val="333333"/>
          <w:sz w:val="21"/>
          <w:szCs w:val="21"/>
          <w:lang w:val="en-US"/>
        </w:rPr>
        <w:t> </w:t>
      </w:r>
      <w:r w:rsidRPr="009A195D">
        <w:rPr>
          <w:rFonts w:ascii="Arial" w:hAnsi="Arial" w:cs="Arial"/>
          <w:color w:val="333333"/>
          <w:sz w:val="21"/>
          <w:szCs w:val="21"/>
          <w:lang w:val="en-US"/>
        </w:rPr>
        <w:t>The Open Market Desk will issue a</w:t>
      </w:r>
      <w:r w:rsidRPr="009A195D">
        <w:rPr>
          <w:rStyle w:val="apple-converted-space"/>
          <w:rFonts w:ascii="Arial" w:hAnsi="Arial" w:cs="Arial"/>
          <w:color w:val="333333"/>
          <w:sz w:val="21"/>
          <w:szCs w:val="21"/>
          <w:lang w:val="en-US"/>
        </w:rPr>
        <w:t> </w:t>
      </w:r>
      <w:hyperlink r:id="rId6" w:tgtFrame="_self" w:history="1">
        <w:r w:rsidRPr="009A195D">
          <w:rPr>
            <w:rStyle w:val="Hyperlink"/>
            <w:rFonts w:ascii="Arial" w:hAnsi="Arial" w:cs="Arial"/>
            <w:color w:val="3A6C9C"/>
            <w:sz w:val="21"/>
            <w:szCs w:val="21"/>
            <w:lang w:val="en-US"/>
          </w:rPr>
          <w:t>technical note</w:t>
        </w:r>
      </w:hyperlink>
      <w:r w:rsidRPr="009A195D">
        <w:rPr>
          <w:rStyle w:val="apple-converted-space"/>
          <w:rFonts w:ascii="Arial" w:hAnsi="Arial" w:cs="Arial"/>
          <w:color w:val="333333"/>
          <w:sz w:val="21"/>
          <w:szCs w:val="21"/>
          <w:lang w:val="en-US"/>
        </w:rPr>
        <w:t> </w:t>
      </w:r>
      <w:r w:rsidRPr="009A195D">
        <w:rPr>
          <w:rFonts w:ascii="Arial" w:hAnsi="Arial" w:cs="Arial"/>
          <w:color w:val="333333"/>
          <w:sz w:val="21"/>
          <w:szCs w:val="21"/>
          <w:lang w:val="en-US"/>
        </w:rPr>
        <w:t>shortly after the statement providing operational details on how it will carry out these transactions.</w:t>
      </w:r>
      <w:r w:rsidRPr="009A195D">
        <w:rPr>
          <w:rStyle w:val="apple-converted-space"/>
          <w:rFonts w:ascii="Arial" w:hAnsi="Arial" w:cs="Arial"/>
          <w:color w:val="333333"/>
          <w:sz w:val="21"/>
          <w:szCs w:val="21"/>
          <w:lang w:val="en-US"/>
        </w:rPr>
        <w:t> </w:t>
      </w:r>
      <w:hyperlink r:id="rId7" w:anchor="f1" w:history="1">
        <w:r>
          <w:rPr>
            <w:rStyle w:val="Hyperlink"/>
            <w:rFonts w:ascii="Arial" w:hAnsi="Arial" w:cs="Arial"/>
            <w:color w:val="3A6C9C"/>
            <w:sz w:val="21"/>
            <w:szCs w:val="21"/>
          </w:rPr>
          <w:t>Return to text</w:t>
        </w:r>
      </w:hyperlink>
    </w:p>
    <w:p w:rsidR="009A195D" w:rsidRDefault="009A195D" w:rsidP="009A195D">
      <w:pPr>
        <w:shd w:val="clear" w:color="auto" w:fill="FFFFFF"/>
        <w:rPr>
          <w:rFonts w:ascii="Georgia" w:hAnsi="Georgia" w:cs="Arial"/>
          <w:color w:val="333333"/>
          <w:sz w:val="21"/>
          <w:szCs w:val="21"/>
        </w:rPr>
      </w:pPr>
      <w:r>
        <w:rPr>
          <w:rFonts w:ascii="Georgia" w:hAnsi="Georgia" w:cs="Arial"/>
          <w:color w:val="333333"/>
          <w:sz w:val="21"/>
          <w:szCs w:val="21"/>
        </w:rPr>
        <w:t>Last Update: August 10, 2010</w:t>
      </w:r>
    </w:p>
    <w:p w:rsidR="00F67AA3" w:rsidRPr="009A195D" w:rsidRDefault="00F67AA3" w:rsidP="009A195D"/>
    <w:sectPr w:rsidR="00F67AA3" w:rsidRPr="009A195D"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92"/>
    <w:multiLevelType w:val="multilevel"/>
    <w:tmpl w:val="833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A45F3"/>
    <w:multiLevelType w:val="multilevel"/>
    <w:tmpl w:val="A24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0"/>
  </w:num>
  <w:num w:numId="4">
    <w:abstractNumId w:val="44"/>
  </w:num>
  <w:num w:numId="5">
    <w:abstractNumId w:val="23"/>
  </w:num>
  <w:num w:numId="6">
    <w:abstractNumId w:val="26"/>
  </w:num>
  <w:num w:numId="7">
    <w:abstractNumId w:val="29"/>
  </w:num>
  <w:num w:numId="8">
    <w:abstractNumId w:val="37"/>
  </w:num>
  <w:num w:numId="9">
    <w:abstractNumId w:val="31"/>
  </w:num>
  <w:num w:numId="10">
    <w:abstractNumId w:val="22"/>
  </w:num>
  <w:num w:numId="11">
    <w:abstractNumId w:val="8"/>
  </w:num>
  <w:num w:numId="12">
    <w:abstractNumId w:val="9"/>
  </w:num>
  <w:num w:numId="13">
    <w:abstractNumId w:val="39"/>
  </w:num>
  <w:num w:numId="14">
    <w:abstractNumId w:val="33"/>
  </w:num>
  <w:num w:numId="15">
    <w:abstractNumId w:val="32"/>
  </w:num>
  <w:num w:numId="16">
    <w:abstractNumId w:val="11"/>
  </w:num>
  <w:num w:numId="17">
    <w:abstractNumId w:val="38"/>
  </w:num>
  <w:num w:numId="18">
    <w:abstractNumId w:val="28"/>
  </w:num>
  <w:num w:numId="19">
    <w:abstractNumId w:val="40"/>
  </w:num>
  <w:num w:numId="20">
    <w:abstractNumId w:val="17"/>
  </w:num>
  <w:num w:numId="21">
    <w:abstractNumId w:val="34"/>
  </w:num>
  <w:num w:numId="22">
    <w:abstractNumId w:val="41"/>
  </w:num>
  <w:num w:numId="23">
    <w:abstractNumId w:val="25"/>
  </w:num>
  <w:num w:numId="24">
    <w:abstractNumId w:val="3"/>
  </w:num>
  <w:num w:numId="25">
    <w:abstractNumId w:val="14"/>
  </w:num>
  <w:num w:numId="26">
    <w:abstractNumId w:val="5"/>
  </w:num>
  <w:num w:numId="27">
    <w:abstractNumId w:val="4"/>
  </w:num>
  <w:num w:numId="28">
    <w:abstractNumId w:val="35"/>
  </w:num>
  <w:num w:numId="29">
    <w:abstractNumId w:val="12"/>
  </w:num>
  <w:num w:numId="30">
    <w:abstractNumId w:val="13"/>
  </w:num>
  <w:num w:numId="31">
    <w:abstractNumId w:val="30"/>
  </w:num>
  <w:num w:numId="32">
    <w:abstractNumId w:val="7"/>
  </w:num>
  <w:num w:numId="33">
    <w:abstractNumId w:val="36"/>
  </w:num>
  <w:num w:numId="34">
    <w:abstractNumId w:val="46"/>
  </w:num>
  <w:num w:numId="35">
    <w:abstractNumId w:val="0"/>
  </w:num>
  <w:num w:numId="36">
    <w:abstractNumId w:val="15"/>
  </w:num>
  <w:num w:numId="37">
    <w:abstractNumId w:val="1"/>
  </w:num>
  <w:num w:numId="38">
    <w:abstractNumId w:val="27"/>
  </w:num>
  <w:num w:numId="39">
    <w:abstractNumId w:val="19"/>
  </w:num>
  <w:num w:numId="40">
    <w:abstractNumId w:val="45"/>
  </w:num>
  <w:num w:numId="41">
    <w:abstractNumId w:val="42"/>
  </w:num>
  <w:num w:numId="42">
    <w:abstractNumId w:val="18"/>
  </w:num>
  <w:num w:numId="43">
    <w:abstractNumId w:val="24"/>
  </w:num>
  <w:num w:numId="44">
    <w:abstractNumId w:val="43"/>
  </w:num>
  <w:num w:numId="45">
    <w:abstractNumId w:val="6"/>
  </w:num>
  <w:num w:numId="46">
    <w:abstractNumId w:val="21"/>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1C1C8C"/>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9A195D"/>
    <w:rsid w:val="00A02E32"/>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newsevents/pressreleases/monetary20100810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yorkfed.org/markets/opolicy/operating_policy_100810.html" TargetMode="External"/><Relationship Id="rId5" Type="http://schemas.openxmlformats.org/officeDocument/2006/relationships/hyperlink" Target="https://www.federalreserve.gov/newsevents/pressreleases/monetary20100810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2020-03-21T12:44:00Z</cp:lastPrinted>
  <dcterms:created xsi:type="dcterms:W3CDTF">2020-03-21T12:45:00Z</dcterms:created>
  <dcterms:modified xsi:type="dcterms:W3CDTF">2020-03-21T12:45:00Z</dcterms:modified>
</cp:coreProperties>
</file>